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8"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4"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File No. 333-278770</w:t>
      </w:r>
    </w:p>
    <w:p>
      <w:pPr>
        <w:spacing w:after="0" w:line="7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PROSPECTUS SUPPLEMENT</w:t>
      </w:r>
    </w:p>
    <w:p>
      <w:pPr>
        <w:spacing w:after="0" w:line="17"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3"/>
          <w:szCs w:val="13"/>
          <w:b w:val="1"/>
          <w:bCs w:val="1"/>
          <w:color w:val="auto"/>
        </w:rPr>
        <w:t>(To Prospectus dated April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67945</wp:posOffset>
            </wp:positionV>
            <wp:extent cx="1809115" cy="500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115" cy="500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29,629,632 Shares of Common Stock</w:t>
      </w:r>
    </w:p>
    <w:p>
      <w:pPr>
        <w:spacing w:after="0" w:line="8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Warrants to Purchase up to 29,629,632 Shares of Common Stock</w:t>
      </w:r>
    </w:p>
    <w:p>
      <w:pPr>
        <w:spacing w:after="0" w:line="8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8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the Shares of Common Stock underlying the Warrants</w:t>
      </w:r>
    </w:p>
    <w:p>
      <w:pPr>
        <w:spacing w:after="0" w:line="105" w:lineRule="exact"/>
        <w:rPr>
          <w:sz w:val="24"/>
          <w:szCs w:val="24"/>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3"/>
          <w:szCs w:val="13"/>
          <w:color w:val="auto"/>
        </w:rPr>
        <w:t>We are offering 29,629,632 shares of our common stock, par value $0.0001 per share (the “common stock”), and warrants to purchase up to 29,629,632 shares of our common stock (and the shares of common stock issuable from time to time upon exercise of those warrants) in a registered direct offering pursuant to this prospectus supplement, the accompanying base prospectus, and a securities purchase agreement. Each share of common stock sold in this offering will be accompanied by a warrant to purchase one share of our common stock at an exercise price of $3.24 per share. Each share of common stock and the accompanying warrant is being sold at a combined offering price of $2.70. Subject to certain ownership limitations, the warrants will be immediately exercisable, and the warrants will expire five years after the initial issuance date. The shares of common stock and the warrants will be issued separately. We refer to the shares of common stock and the accompanying warrants, including the underlying shares of common stock, to be issued in this offering, collectively, as the “securities.”</w:t>
      </w:r>
    </w:p>
    <w:p>
      <w:pPr>
        <w:spacing w:after="0" w:line="67" w:lineRule="exact"/>
        <w:rPr>
          <w:sz w:val="24"/>
          <w:szCs w:val="24"/>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3"/>
          <w:szCs w:val="13"/>
          <w:color w:val="auto"/>
        </w:rPr>
        <w:t>We have retained Piper Sandler &amp; Co. as our placement agent (the “Placement Agent”) in connection with this offering. The Placement Agent has no obligation to buy any of the securities from us or to arrange for the purchase or sale of any specific number or dollar amount of securities. We have agreed to pay the Placement Agent the placement agent fees set forth in the table below, which assumes that we sell all of the securities we are offering. See “</w:t>
      </w:r>
      <w:r>
        <w:rPr>
          <w:rFonts w:ascii="Times New Roman" w:cs="Times New Roman" w:eastAsia="Times New Roman" w:hAnsi="Times New Roman"/>
          <w:sz w:val="13"/>
          <w:szCs w:val="13"/>
          <w:u w:val="single" w:color="auto"/>
          <w:color w:val="0000EE"/>
        </w:rPr>
        <w:t>Plan of Distribution</w:t>
      </w:r>
      <w:r>
        <w:rPr>
          <w:rFonts w:ascii="Times New Roman" w:cs="Times New Roman" w:eastAsia="Times New Roman" w:hAnsi="Times New Roman"/>
          <w:sz w:val="13"/>
          <w:szCs w:val="13"/>
          <w:color w:val="auto"/>
        </w:rPr>
        <w:t>” beginning on page S-29 of this prospectus supplement for more information regarding these arrangements.</w:t>
      </w:r>
    </w:p>
    <w:p>
      <w:pPr>
        <w:spacing w:after="0" w:line="65" w:lineRule="exact"/>
        <w:rPr>
          <w:sz w:val="24"/>
          <w:szCs w:val="24"/>
          <w:color w:val="auto"/>
        </w:rPr>
      </w:pPr>
    </w:p>
    <w:p>
      <w:pPr>
        <w:ind w:left="1360" w:right="259" w:firstLine="343"/>
        <w:spacing w:after="0" w:line="265" w:lineRule="auto"/>
        <w:rPr>
          <w:sz w:val="20"/>
          <w:szCs w:val="20"/>
          <w:color w:val="auto"/>
        </w:rPr>
      </w:pPr>
      <w:r>
        <w:rPr>
          <w:rFonts w:ascii="Times New Roman" w:cs="Times New Roman" w:eastAsia="Times New Roman" w:hAnsi="Times New Roman"/>
          <w:sz w:val="13"/>
          <w:szCs w:val="13"/>
          <w:color w:val="auto"/>
        </w:rPr>
        <w:t>Our common stock is listed on The Nasdaq Global Select Market (“Nasdaq”) under the symbol “IBRX.” The closing price of our common stock on July 24, 2025, as reported by Nasdaq, was $3.01 per share. There is no established public trading market for the warrants, and we do not intend to list the warrants on any national securities exchange or nationally-recognized trading system.</w:t>
      </w:r>
    </w:p>
    <w:p>
      <w:pPr>
        <w:spacing w:after="0" w:line="60" w:lineRule="exact"/>
        <w:rPr>
          <w:sz w:val="24"/>
          <w:szCs w:val="24"/>
          <w:color w:val="auto"/>
        </w:rPr>
      </w:pPr>
    </w:p>
    <w:p>
      <w:pPr>
        <w:ind w:left="1360" w:right="679" w:firstLine="343"/>
        <w:spacing w:after="0" w:line="281" w:lineRule="auto"/>
        <w:rPr>
          <w:sz w:val="20"/>
          <w:szCs w:val="20"/>
          <w:color w:val="auto"/>
        </w:rPr>
      </w:pPr>
      <w:r>
        <w:rPr>
          <w:rFonts w:ascii="Times New Roman" w:cs="Times New Roman" w:eastAsia="Times New Roman" w:hAnsi="Times New Roman"/>
          <w:sz w:val="12"/>
          <w:szCs w:val="12"/>
          <w:b w:val="1"/>
          <w:bCs w:val="1"/>
          <w:color w:val="auto"/>
        </w:rPr>
        <w:t>Investing in our securities involves significant risks. See “</w:t>
      </w:r>
      <w:r>
        <w:rPr>
          <w:rFonts w:ascii="Times New Roman" w:cs="Times New Roman" w:eastAsia="Times New Roman" w:hAnsi="Times New Roman"/>
          <w:sz w:val="12"/>
          <w:szCs w:val="12"/>
          <w:b w:val="1"/>
          <w:bCs w:val="1"/>
          <w:u w:val="single" w:color="auto"/>
          <w:color w:val="0000EE"/>
        </w:rPr>
        <w:t>Risk Factors</w:t>
      </w:r>
      <w:r>
        <w:rPr>
          <w:rFonts w:ascii="Times New Roman" w:cs="Times New Roman" w:eastAsia="Times New Roman" w:hAnsi="Times New Roman"/>
          <w:sz w:val="12"/>
          <w:szCs w:val="12"/>
          <w:b w:val="1"/>
          <w:bCs w:val="1"/>
          <w:color w:val="auto"/>
        </w:rPr>
        <w:t>” beginning on page S-8 of this prospectus supplement and on page 6 of the accompanying prospectus, as well as the information under the caption “Risk Factors” in our Annual Report on Form 10-K for the year ended</w:t>
      </w:r>
    </w:p>
    <w:p>
      <w:pPr>
        <w:spacing w:after="0" w:line="1" w:lineRule="exact"/>
        <w:rPr>
          <w:sz w:val="24"/>
          <w:szCs w:val="24"/>
          <w:color w:val="auto"/>
        </w:rPr>
      </w:pPr>
    </w:p>
    <w:p>
      <w:pPr>
        <w:ind w:left="1360" w:right="299"/>
        <w:spacing w:after="0" w:line="259" w:lineRule="auto"/>
        <w:rPr>
          <w:sz w:val="20"/>
          <w:szCs w:val="20"/>
          <w:color w:val="auto"/>
        </w:rPr>
      </w:pPr>
      <w:r>
        <w:rPr>
          <w:rFonts w:ascii="Times New Roman" w:cs="Times New Roman" w:eastAsia="Times New Roman" w:hAnsi="Times New Roman"/>
          <w:sz w:val="13"/>
          <w:szCs w:val="13"/>
          <w:b w:val="1"/>
          <w:bCs w:val="1"/>
          <w:color w:val="auto"/>
        </w:rPr>
        <w:t>December 31, 2024, the information under the caption “Risk Factors” in our Quarterly Report on Form 10-Q for the three months ended March 31, 2025, and under similar headings in the other documents incorporated by reference into this prospectus supplement and the accompanying base prospectus for a discussion of the factors you should carefully consider before investing in our common stock.</w:t>
      </w:r>
    </w:p>
    <w:p>
      <w:pPr>
        <w:spacing w:after="0" w:line="64" w:lineRule="exact"/>
        <w:rPr>
          <w:sz w:val="24"/>
          <w:szCs w:val="24"/>
          <w:color w:val="auto"/>
        </w:rPr>
      </w:pPr>
    </w:p>
    <w:p>
      <w:pPr>
        <w:ind w:left="1360" w:right="239" w:firstLine="343"/>
        <w:spacing w:after="0" w:line="323" w:lineRule="auto"/>
        <w:rPr>
          <w:sz w:val="20"/>
          <w:szCs w:val="20"/>
          <w:color w:val="auto"/>
        </w:rPr>
      </w:pPr>
      <w:r>
        <w:rPr>
          <w:rFonts w:ascii="Times New Roman" w:cs="Times New Roman" w:eastAsia="Times New Roman" w:hAnsi="Times New Roman"/>
          <w:sz w:val="12"/>
          <w:szCs w:val="12"/>
          <w:b w:val="1"/>
          <w:bCs w:val="1"/>
          <w:color w:val="auto"/>
        </w:rPr>
        <w:t>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1" w:lineRule="exact"/>
        <w:rPr>
          <w:sz w:val="24"/>
          <w:szCs w:val="24"/>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Per Share and</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760" w:type="dxa"/>
            <w:vAlign w:val="bottom"/>
            <w:gridSpan w:val="3"/>
          </w:tcPr>
          <w:p>
            <w:pPr>
              <w:ind w:left="580"/>
              <w:spacing w:after="0"/>
              <w:rPr>
                <w:sz w:val="20"/>
                <w:szCs w:val="20"/>
                <w:color w:val="auto"/>
              </w:rPr>
            </w:pPr>
            <w:r>
              <w:rPr>
                <w:rFonts w:ascii="Times New Roman" w:cs="Times New Roman" w:eastAsia="Times New Roman" w:hAnsi="Times New Roman"/>
                <w:sz w:val="11"/>
                <w:szCs w:val="11"/>
                <w:b w:val="1"/>
                <w:bCs w:val="1"/>
                <w:color w:val="auto"/>
              </w:rPr>
              <w:t>Accompanying Warrant</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20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color w:val="auto"/>
              </w:rPr>
              <w:t>Offering price for common stock and accompanying</w:t>
            </w:r>
          </w:p>
        </w:tc>
        <w:tc>
          <w:tcPr>
            <w:tcW w:w="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80,000,006.40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Placement agent fees (1)</w:t>
            </w: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4,800,000.38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before expenses, to us (2)</w:t>
            </w:r>
          </w:p>
        </w:tc>
        <w:tc>
          <w:tcPr>
            <w:tcW w:w="7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75,200,006.02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66675</wp:posOffset>
            </wp:positionV>
            <wp:extent cx="5943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6" w:lineRule="exact"/>
        <w:rPr>
          <w:sz w:val="24"/>
          <w:szCs w:val="24"/>
          <w:color w:val="auto"/>
        </w:rPr>
      </w:pPr>
    </w:p>
    <w:p>
      <w:pPr>
        <w:ind w:left="1700" w:right="519" w:hanging="345"/>
        <w:spacing w:after="0" w:line="258" w:lineRule="auto"/>
        <w:tabs>
          <w:tab w:leader="none" w:pos="170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agreed to pay the Placement Agent a cash fee of 6.00% of the aggregate gross proceeds raised in connection with the offering as described under the “Plan of Distribution” on page S-29 of this prospectus supplement.</w:t>
      </w:r>
    </w:p>
    <w:p>
      <w:pPr>
        <w:ind w:left="1700" w:right="1059" w:hanging="345"/>
        <w:spacing w:after="0" w:line="370" w:lineRule="auto"/>
        <w:tabs>
          <w:tab w:leader="none" w:pos="1693"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of the offering proceeds to us presented in this table does not include proceeds from the exercise of the warrants issued in the offering. Delivery of the shares of common stock and warrants will be made on or about July 28, 2025.</w:t>
      </w:r>
    </w:p>
    <w:p>
      <w:pPr>
        <w:spacing w:after="0" w:line="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Piper Sandler</w:t>
      </w:r>
    </w:p>
    <w:p>
      <w:pPr>
        <w:spacing w:after="0" w:line="10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color w:val="auto"/>
        </w:rPr>
        <w:t>The date of this prospectus supplement is July 24, 2025.</w:t>
      </w:r>
    </w:p>
    <w:p>
      <w:pPr>
        <w:sectPr>
          <w:pgSz w:w="11900" w:h="16838" w:orient="portrait"/>
          <w:cols w:equalWidth="0" w:num="1">
            <w:col w:w="10159"/>
          </w:cols>
          <w:pgMar w:left="300" w:top="20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About This Prospectus Supplement</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Prospectus Supplement Summary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The Offering</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Special Note Regarding Forward-Looking Statements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Dilution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Securities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3"/>
          <w:szCs w:val="13"/>
          <w:u w:val="single" w:color="auto"/>
          <w:color w:val="0000EE"/>
        </w:rPr>
        <w:t>Certain United States Federal Income Tax Considerations</w:t>
      </w:r>
    </w:p>
    <w:p>
      <w:pPr>
        <w:spacing w:after="0" w:line="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Information Incorporated by Reference</w:t>
      </w:r>
    </w:p>
    <w:p>
      <w:pPr>
        <w:spacing w:after="0" w:line="18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About this Prospectus</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Prospectus Summary</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Risk Factors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Forward-Looking Statements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Use of Proceeds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Capital Stock</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Debt Securities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Depositary Shares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Warrants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Subscription Rights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Purchase Contracts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Description of Units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Plan of Distribution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Legal Matters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Experts</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Where You Can Find More Information</w:t>
      </w:r>
    </w:p>
    <w:p>
      <w:pPr>
        <w:spacing w:after="0" w:line="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u w:val="single" w:color="auto"/>
          <w:color w:val="0000EE"/>
        </w:rPr>
        <w:t>Incorporation by Reference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46"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1"/>
          <w:szCs w:val="11"/>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5080</wp:posOffset>
            </wp:positionV>
            <wp:extent cx="20002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025" cy="6985"/>
                    </a:xfrm>
                    <a:prstGeom prst="rect">
                      <a:avLst/>
                    </a:prstGeom>
                    <a:noFill/>
                  </pic:spPr>
                </pic:pic>
              </a:graphicData>
            </a:graphic>
          </wp:anchor>
        </w:drawing>
      </w:r>
    </w:p>
    <w:p>
      <w:pPr>
        <w:jc w:val="right"/>
        <w:ind w:right="259"/>
        <w:spacing w:after="0"/>
        <w:rPr>
          <w:sz w:val="20"/>
          <w:szCs w:val="20"/>
          <w:color w:val="auto"/>
        </w:rPr>
      </w:pPr>
      <w:r>
        <w:rPr>
          <w:rFonts w:ascii="Times New Roman" w:cs="Times New Roman" w:eastAsia="Times New Roman" w:hAnsi="Times New Roman"/>
          <w:sz w:val="14"/>
          <w:szCs w:val="14"/>
          <w:color w:val="auto"/>
        </w:rPr>
        <w:t>S-ii</w:t>
      </w:r>
    </w:p>
    <w:p>
      <w:pPr>
        <w:spacing w:after="0" w:line="6"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S-1</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S-5</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S-8</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S-12</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S-16</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S-17</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S-19</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S-22</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S-29</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S-31</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S-31</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S-31</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S-32</w:t>
      </w:r>
    </w:p>
    <w:p>
      <w:pPr>
        <w:spacing w:after="0" w:line="23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1"/>
          <w:szCs w:val="11"/>
          <w:b w:val="1"/>
          <w:bCs w:val="1"/>
          <w:u w:val="single" w:color="auto"/>
          <w:color w:val="auto"/>
        </w:rPr>
        <w:t>Page</w:t>
      </w:r>
    </w:p>
    <w:p>
      <w:pPr>
        <w:spacing w:after="0" w:line="20"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ii</w:t>
      </w:r>
    </w:p>
    <w:p>
      <w:pPr>
        <w:spacing w:after="0" w:line="6"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1</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6</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7</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10</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11</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12</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20</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23</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24</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25</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26</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27</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7" w:lineRule="exact"/>
        <w:rPr>
          <w:sz w:val="20"/>
          <w:szCs w:val="20"/>
          <w:color w:val="auto"/>
        </w:rPr>
      </w:pPr>
    </w:p>
    <w:p>
      <w:pPr>
        <w:jc w:val="right"/>
        <w:ind w:right="259"/>
        <w:spacing w:after="0"/>
        <w:rPr>
          <w:sz w:val="20"/>
          <w:szCs w:val="20"/>
          <w:color w:val="auto"/>
        </w:rPr>
      </w:pPr>
      <w:r>
        <w:rPr>
          <w:rFonts w:ascii="Times New Roman" w:cs="Times New Roman" w:eastAsia="Times New Roman" w:hAnsi="Times New Roman"/>
          <w:sz w:val="14"/>
          <w:szCs w:val="14"/>
          <w:color w:val="auto"/>
        </w:rPr>
        <w:t>29</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2">
            <w:col w:w="4580" w:space="320"/>
            <w:col w:w="5259"/>
          </w:cols>
          <w:pgMar w:left="300" w:top="386"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 SUPPLEMENT</w:t>
      </w:r>
    </w:p>
    <w:p>
      <w:pPr>
        <w:spacing w:after="0" w:line="177" w:lineRule="exact"/>
        <w:rPr>
          <w:sz w:val="20"/>
          <w:szCs w:val="20"/>
          <w:color w:val="auto"/>
        </w:rPr>
      </w:pPr>
    </w:p>
    <w:p>
      <w:pPr>
        <w:ind w:left="1360" w:right="259" w:firstLine="343"/>
        <w:spacing w:after="0" w:line="254"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are part of a registration statement on Form S-3 that we filed with the U.S. Securities and Exchange Commission (the “SEC”) utilizing a “shelf” registration process. This document is in two parts. The first part is this prospectus supplement, which describes the terms of this offering and certain other matters, also adds to, updates, or changes the information contained in the accompanying prospectus and the documents incorporated by reference into this prospectus supplement and the accompanying prospectus. The second part is the accompanying prospectus dated April 17, 2024 (included in our Registration Statement on Form S-3 (File No. 333-278770)), which provides more general information, some of which may not apply to this offering and some of which may have been supplemented or superseded by information in this prospectus supplement or documents incorporated or deemed to be incorporated by reference into this prospectus supplement that we filed with the SEC subsequent to the date of the prospectus. To the extent that there is any conflict between the information contained in this prospectus supplement, on the one hand, and the information contained in the accompanying prospectus, on the other hand, you should rely on the information in this prospectus supplement. These documents contain important information you should consider when making your investment decision.</w:t>
      </w:r>
    </w:p>
    <w:p>
      <w:pPr>
        <w:spacing w:after="0" w:line="146"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have not, and the placement agent has not, authorized anyone to provide you with any information different from that contained in this prospectus supplement and in the accompanying prospectus or in any free writing prospectus prepared by us or on our behalf. The information contained in this prospectus supplement speaks only as of the date set forth on the cover page and may not reflect subsequent changes in our business, financial condition, results of operations and prospects.</w:t>
      </w:r>
    </w:p>
    <w:p>
      <w:pPr>
        <w:spacing w:after="0" w:line="14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We are not, and the placement agent is not, making offers to sell these securities in any jurisdiction in which an offer or solicitation is not authorized or permitted or in which the person making such offer or solicitation is not qualified to do so or to any person to whom it is unlawful to make such an offer or solicitation. You should read this prospectus supplement, the accompanying prospectus, including any information incorporated by reference, and any free writing prospectus that we have authorized for use in connection with this offering, in their entirety before making an investment decision. You should also read and consider the information in the documents to which we have referred you to in the sections entitled “</w:t>
      </w:r>
      <w:r>
        <w:rPr>
          <w:rFonts w:ascii="Times New Roman" w:cs="Times New Roman" w:eastAsia="Times New Roman" w:hAnsi="Times New Roman"/>
          <w:sz w:val="14"/>
          <w:szCs w:val="14"/>
          <w:u w:val="single" w:color="auto"/>
          <w:color w:val="0000EE"/>
        </w:rPr>
        <w:t>Where You Can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Find More Information</w:t>
      </w:r>
      <w:r>
        <w:rPr>
          <w:rFonts w:ascii="Times New Roman" w:cs="Times New Roman" w:eastAsia="Times New Roman" w:hAnsi="Times New Roman"/>
          <w:sz w:val="14"/>
          <w:szCs w:val="14"/>
          <w:color w:val="000000"/>
        </w:rPr>
        <w:t>” and “</w:t>
      </w:r>
      <w:r>
        <w:rPr>
          <w:rFonts w:ascii="Times New Roman" w:cs="Times New Roman" w:eastAsia="Times New Roman" w:hAnsi="Times New Roman"/>
          <w:sz w:val="14"/>
          <w:szCs w:val="14"/>
          <w:u w:val="single" w:color="auto"/>
          <w:color w:val="0000EE"/>
        </w:rPr>
        <w:t>Information Incorporated by Reference</w:t>
      </w:r>
      <w:r>
        <w:rPr>
          <w:rFonts w:ascii="Times New Roman" w:cs="Times New Roman" w:eastAsia="Times New Roman" w:hAnsi="Times New Roman"/>
          <w:sz w:val="14"/>
          <w:szCs w:val="14"/>
          <w:color w:val="000000"/>
        </w:rPr>
        <w:t>” below.</w:t>
      </w:r>
    </w:p>
    <w:p>
      <w:pPr>
        <w:spacing w:after="0" w:line="143" w:lineRule="exact"/>
        <w:rPr>
          <w:sz w:val="20"/>
          <w:szCs w:val="20"/>
          <w:color w:val="auto"/>
        </w:rPr>
      </w:pPr>
    </w:p>
    <w:p>
      <w:pPr>
        <w:ind w:left="1360" w:right="479" w:firstLine="343"/>
        <w:spacing w:after="0" w:line="261" w:lineRule="auto"/>
        <w:rPr>
          <w:sz w:val="20"/>
          <w:szCs w:val="20"/>
          <w:color w:val="auto"/>
        </w:rPr>
      </w:pPr>
      <w:r>
        <w:rPr>
          <w:rFonts w:ascii="Times New Roman" w:cs="Times New Roman" w:eastAsia="Times New Roman" w:hAnsi="Times New Roman"/>
          <w:sz w:val="14"/>
          <w:szCs w:val="14"/>
          <w:color w:val="auto"/>
        </w:rPr>
        <w:t>We own or have rights to trademarks, trade names, or service marks that we use in conjunction with the operation of our business. Each trademark, trade name or service mark of any other company appearing in this prospectus supplement or the accompanying prospectus belongs to its holder. Use or display by us of other parties’ trademarks, trade names or service marks is not intended to and does not imply a relationship with, or endorsement or sponsorship by us of, the trademark, trade name or service mark owner.</w:t>
      </w:r>
    </w:p>
    <w:p>
      <w:pPr>
        <w:spacing w:after="0" w:line="141"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All references in this prospectus supplement or the accompanying prospectus to “ImmunityBio,” the “Company,” “we,” “us,” or “our” refer to ImmunityBio, Inc. and its consolidated subsidiaries, unless we state otherwise or the context indicates otherwise.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6"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58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3380" cy="4758690"/>
                    </a:xfrm>
                    <a:prstGeom prst="rect">
                      <a:avLst/>
                    </a:prstGeom>
                    <a:noFill/>
                  </pic:spPr>
                </pic:pic>
              </a:graphicData>
            </a:graphic>
          </wp:anchor>
        </w:drawing>
      </w:r>
    </w:p>
    <w:p>
      <w:pPr>
        <w:spacing w:after="0" w:line="36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i w:val="1"/>
          <w:iCs w:val="1"/>
          <w:color w:val="auto"/>
        </w:rPr>
        <w:t>This summary highlights certain information about this offering and selected information contained elsewhere in or incorporated by</w:t>
      </w:r>
    </w:p>
    <w:p>
      <w:pPr>
        <w:spacing w:after="0" w:line="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reference into this prospectus supplement. This summary is not complete and does not contain all of the information that you should consider</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before deciding whether to invest in our shares of common stock. You should read this entire prospectus supplement and the accompanying</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prospectus carefully, including the risk factors contained in this prospectus supplement, the accompanying prospectus, our most recent</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Annual Report on Form 10-K and subsequent Quarterly Reports on Form 10-Q, and the financial statements and related notes thereto and other</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i w:val="1"/>
          <w:iCs w:val="1"/>
          <w:color w:val="auto"/>
        </w:rPr>
        <w:t>information incorporated by reference into this prospectus supplement and in the accompanying prospectus.</w:t>
      </w:r>
    </w:p>
    <w:p>
      <w:pPr>
        <w:spacing w:after="0" w:line="24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Business</w:t>
      </w:r>
    </w:p>
    <w:p>
      <w:pPr>
        <w:spacing w:after="0" w:line="93" w:lineRule="exact"/>
        <w:rPr>
          <w:sz w:val="20"/>
          <w:szCs w:val="20"/>
          <w:color w:val="auto"/>
        </w:rPr>
      </w:pPr>
    </w:p>
    <w:p>
      <w:pPr>
        <w:ind w:left="1500" w:right="379" w:firstLine="332"/>
        <w:spacing w:after="0" w:line="255" w:lineRule="auto"/>
        <w:rPr>
          <w:sz w:val="20"/>
          <w:szCs w:val="20"/>
          <w:color w:val="auto"/>
        </w:rPr>
      </w:pPr>
      <w:r>
        <w:rPr>
          <w:rFonts w:ascii="Times New Roman" w:cs="Times New Roman" w:eastAsia="Times New Roman" w:hAnsi="Times New Roman"/>
          <w:sz w:val="14"/>
          <w:szCs w:val="14"/>
          <w:color w:val="auto"/>
        </w:rPr>
        <w:t xml:space="preserve">ImmunityBio is a vertically-integrated commercial stage biotechnology company developing next-generation therapies that bolster the natural immune system to defeat cancers and infectious diseases. The Company’s range of immunotherapy and cell therapy platforms, alone and together, act to drive an immune response with the goal of creating durable and safe protection against disease. Designated an FDA Breakthrough Therapy, ANKTIVA is the first FDA-approved immunotherapy for non-muscle invasive bladder cancer carcinoma </w:t>
      </w:r>
      <w:r>
        <w:rPr>
          <w:rFonts w:ascii="Times New Roman" w:cs="Times New Roman" w:eastAsia="Times New Roman" w:hAnsi="Times New Roman"/>
          <w:sz w:val="14"/>
          <w:szCs w:val="14"/>
          <w:i w:val="1"/>
          <w:iCs w:val="1"/>
          <w:color w:val="auto"/>
        </w:rPr>
        <w:t>in situ</w:t>
      </w:r>
      <w:r>
        <w:rPr>
          <w:rFonts w:ascii="Times New Roman" w:cs="Times New Roman" w:eastAsia="Times New Roman" w:hAnsi="Times New Roman"/>
          <w:sz w:val="14"/>
          <w:szCs w:val="14"/>
          <w:color w:val="auto"/>
        </w:rPr>
        <w:t xml:space="preserve"> (“CIS”) that activates natural killer (“NK”) cells, T cells, and memory T cells for a long duration response. The Company is applying its science and platforms to treating cancers, including the development of potential cancer vaccines, as well as developing immunotherapies and cell therapies that we believe sharply reduce or eliminate the need for standard high-dose chemotherapy. These platforms and their associated product candidates are designed to be more effective, accessible, and easily administered than current standards of care in oncology and infectious diseases.</w:t>
      </w:r>
    </w:p>
    <w:p>
      <w:pPr>
        <w:spacing w:after="0" w:line="2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3" w:lineRule="exact"/>
        <w:rPr>
          <w:sz w:val="20"/>
          <w:szCs w:val="20"/>
          <w:color w:val="auto"/>
        </w:rPr>
      </w:pPr>
    </w:p>
    <w:p>
      <w:pPr>
        <w:ind w:left="1500" w:right="419" w:firstLine="332"/>
        <w:spacing w:after="0" w:line="323" w:lineRule="auto"/>
        <w:rPr>
          <w:sz w:val="20"/>
          <w:szCs w:val="20"/>
          <w:color w:val="auto"/>
        </w:rPr>
      </w:pPr>
      <w:r>
        <w:rPr>
          <w:rFonts w:ascii="Times New Roman" w:cs="Times New Roman" w:eastAsia="Times New Roman" w:hAnsi="Times New Roman"/>
          <w:sz w:val="13"/>
          <w:szCs w:val="13"/>
          <w:color w:val="auto"/>
        </w:rPr>
        <w:t>We seek to become a leading global immunological therapeutics company by creating next-generation therapies and vaccines to address serious unmet needs within urologic and other cancers as well as infectious diseases. To achieve this goal, the key elements of our strategy include:</w:t>
      </w:r>
    </w:p>
    <w:p>
      <w:pPr>
        <w:spacing w:after="0" w:line="29" w:lineRule="exact"/>
        <w:rPr>
          <w:sz w:val="20"/>
          <w:szCs w:val="20"/>
          <w:color w:val="auto"/>
        </w:rPr>
      </w:pPr>
    </w:p>
    <w:p>
      <w:pPr>
        <w:ind w:left="2220" w:right="759" w:hanging="313"/>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advancing the commercialization of ANKTIVA as an integral component of immunotherapy combinations, including those with checkpoint inhibitors (“CPIs”) and cell therapy;</w:t>
      </w:r>
    </w:p>
    <w:p>
      <w:pPr>
        <w:spacing w:after="0" w:line="51" w:lineRule="exact"/>
        <w:rPr>
          <w:rFonts w:ascii="Times New Roman" w:cs="Times New Roman" w:eastAsia="Times New Roman" w:hAnsi="Times New Roman"/>
          <w:sz w:val="14"/>
          <w:szCs w:val="14"/>
          <w:color w:val="auto"/>
        </w:rPr>
      </w:pPr>
    </w:p>
    <w:p>
      <w:pPr>
        <w:ind w:left="2220" w:right="619" w:hanging="313"/>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accelerating product candidates generated from our immunotherapy platforms with registrational intent to address difficult-to-treat oncological and infectious disease indications in large market segments;</w:t>
      </w:r>
    </w:p>
    <w:p>
      <w:pPr>
        <w:spacing w:after="0" w:line="51" w:lineRule="exact"/>
        <w:rPr>
          <w:rFonts w:ascii="Times New Roman" w:cs="Times New Roman" w:eastAsia="Times New Roman" w:hAnsi="Times New Roman"/>
          <w:sz w:val="14"/>
          <w:szCs w:val="14"/>
          <w:color w:val="auto"/>
        </w:rPr>
      </w:pPr>
    </w:p>
    <w:p>
      <w:pPr>
        <w:ind w:left="2220" w:right="599" w:hanging="313"/>
        <w:spacing w:after="0" w:line="283"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continuously refining our pipeline and investing in high-value discovery, development, and manufacturing capabilities for our next generation product candidates;</w:t>
      </w:r>
    </w:p>
    <w:p>
      <w:pPr>
        <w:spacing w:after="0" w:line="51" w:lineRule="exact"/>
        <w:rPr>
          <w:rFonts w:ascii="Times New Roman" w:cs="Times New Roman" w:eastAsia="Times New Roman" w:hAnsi="Times New Roman"/>
          <w:sz w:val="14"/>
          <w:szCs w:val="14"/>
          <w:color w:val="auto"/>
        </w:rPr>
      </w:pPr>
    </w:p>
    <w:p>
      <w:pPr>
        <w:jc w:val="both"/>
        <w:ind w:left="2220" w:right="419" w:hanging="313"/>
        <w:spacing w:after="0" w:line="267" w:lineRule="auto"/>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prospect, license, and acquire technologies to complement and strengthen our platforms and product candidates, both as single agent and combination therapies, in order to optimize responses of the innate and adaptive immune systems to generate cellular memory against multiple tumor types and infectious diseases; and</w:t>
      </w:r>
    </w:p>
    <w:p>
      <w:pPr>
        <w:spacing w:after="0" w:line="6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cultivating new and expanding existing collaborations for our multi-stage pipeline to reach global scale efficiently.</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Approved Product – ANKTIVA</w:t>
      </w:r>
    </w:p>
    <w:p>
      <w:pPr>
        <w:spacing w:after="0" w:line="93" w:lineRule="exact"/>
        <w:rPr>
          <w:sz w:val="20"/>
          <w:szCs w:val="20"/>
          <w:color w:val="auto"/>
        </w:rPr>
      </w:pPr>
    </w:p>
    <w:p>
      <w:pPr>
        <w:ind w:left="1500" w:right="619" w:firstLine="332"/>
        <w:spacing w:after="0" w:line="267" w:lineRule="auto"/>
        <w:rPr>
          <w:sz w:val="20"/>
          <w:szCs w:val="20"/>
          <w:color w:val="auto"/>
        </w:rPr>
      </w:pPr>
      <w:r>
        <w:rPr>
          <w:rFonts w:ascii="Times New Roman" w:cs="Times New Roman" w:eastAsia="Times New Roman" w:hAnsi="Times New Roman"/>
          <w:sz w:val="14"/>
          <w:szCs w:val="14"/>
          <w:color w:val="auto"/>
        </w:rPr>
        <w:t>ANKTIVA is a first-in-class IL-15 receptor superagonist IgG1 fusion complex, consisting of an IL-15 mutant (IL-15N72D) fused with an IL-15 receptor alpha, which binds with high affinity to IL-15 receptors on NK, CD4+, and CD8+ T cells. This fusion complex of ANKTIVA mimics the natural biological properties of the</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45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3380" cy="4745355"/>
                    </a:xfrm>
                    <a:prstGeom prst="rect">
                      <a:avLst/>
                    </a:prstGeom>
                    <a:noFill/>
                  </pic:spPr>
                </pic:pic>
              </a:graphicData>
            </a:graphic>
          </wp:anchor>
        </w:drawing>
      </w:r>
    </w:p>
    <w:p>
      <w:pPr>
        <w:spacing w:after="0" w:line="368" w:lineRule="exact"/>
        <w:rPr>
          <w:sz w:val="20"/>
          <w:szCs w:val="20"/>
          <w:color w:val="auto"/>
        </w:rPr>
      </w:pPr>
    </w:p>
    <w:p>
      <w:pPr>
        <w:ind w:left="1500" w:right="399"/>
        <w:spacing w:after="0" w:line="258" w:lineRule="auto"/>
        <w:rPr>
          <w:sz w:val="20"/>
          <w:szCs w:val="20"/>
          <w:color w:val="auto"/>
        </w:rPr>
      </w:pPr>
      <w:r>
        <w:rPr>
          <w:rFonts w:ascii="Times New Roman" w:cs="Times New Roman" w:eastAsia="Times New Roman" w:hAnsi="Times New Roman"/>
          <w:sz w:val="14"/>
          <w:szCs w:val="14"/>
          <w:color w:val="auto"/>
        </w:rPr>
        <w:t>membrane-bound IL-15 receptor alpha, delivering IL-15 by dendritic cells and drives the activation and proliferation of NK cells with the generation of memory killer T cells that have retained immune memory against these tumor clones. The proliferation of the trifecta of these immune killing cells and the activation of trained immune memory results in immunogenic cell death, inducing a state of equilibrium with durable complete responses. ANKTIVA has improved pharmacokinetic properties, longer persistence in lymphoid tissues, and enhanced anti-tumor activity compared to native, non-complexed IL-15 in-vivo.</w:t>
      </w:r>
    </w:p>
    <w:p>
      <w:pPr>
        <w:spacing w:after="0" w:line="144" w:lineRule="exact"/>
        <w:rPr>
          <w:sz w:val="20"/>
          <w:szCs w:val="20"/>
          <w:color w:val="auto"/>
        </w:rPr>
      </w:pPr>
    </w:p>
    <w:p>
      <w:pPr>
        <w:jc w:val="both"/>
        <w:ind w:left="1500" w:right="719" w:firstLine="332"/>
        <w:spacing w:after="0" w:line="267" w:lineRule="auto"/>
        <w:rPr>
          <w:sz w:val="20"/>
          <w:szCs w:val="20"/>
          <w:color w:val="auto"/>
        </w:rPr>
      </w:pPr>
      <w:r>
        <w:rPr>
          <w:rFonts w:ascii="Times New Roman" w:cs="Times New Roman" w:eastAsia="Times New Roman" w:hAnsi="Times New Roman"/>
          <w:sz w:val="14"/>
          <w:szCs w:val="14"/>
          <w:color w:val="auto"/>
        </w:rPr>
        <w:t>ANKTIVA was approved by the FDA in 2024 for use in the U.S. with BCG for the treatment of adult patients with BCG-unresponsive non-muscle invasive bladder cancer with CIS with or without papillary tumors. We began commercial distribution of our approved product in May 2024.</w:t>
      </w:r>
    </w:p>
    <w:p>
      <w:pPr>
        <w:spacing w:after="0" w:line="136" w:lineRule="exact"/>
        <w:rPr>
          <w:sz w:val="20"/>
          <w:szCs w:val="20"/>
          <w:color w:val="auto"/>
        </w:rPr>
      </w:pPr>
    </w:p>
    <w:p>
      <w:pPr>
        <w:ind w:left="1500" w:right="639" w:firstLine="332"/>
        <w:spacing w:after="0" w:line="283" w:lineRule="auto"/>
        <w:rPr>
          <w:sz w:val="20"/>
          <w:szCs w:val="20"/>
          <w:color w:val="auto"/>
        </w:rPr>
      </w:pPr>
      <w:r>
        <w:rPr>
          <w:rFonts w:ascii="Times New Roman" w:cs="Times New Roman" w:eastAsia="Times New Roman" w:hAnsi="Times New Roman"/>
          <w:sz w:val="14"/>
          <w:szCs w:val="14"/>
          <w:color w:val="auto"/>
        </w:rPr>
        <w:t>In July 2025, the MHRA granted marketing authorization in the UK for ANKTIVA in combination with BCG for the treatment of certain bladder cancer patients. This is the first marketing approval outside the U.S. for ANKTIVA.</w:t>
      </w:r>
    </w:p>
    <w:p>
      <w:pPr>
        <w:spacing w:after="0" w:line="125" w:lineRule="exact"/>
        <w:rPr>
          <w:sz w:val="20"/>
          <w:szCs w:val="20"/>
          <w:color w:val="auto"/>
        </w:rPr>
      </w:pPr>
    </w:p>
    <w:p>
      <w:pPr>
        <w:ind w:left="1500" w:right="459" w:firstLine="332"/>
        <w:spacing w:after="0" w:line="257" w:lineRule="auto"/>
        <w:rPr>
          <w:sz w:val="20"/>
          <w:szCs w:val="20"/>
          <w:color w:val="auto"/>
        </w:rPr>
      </w:pPr>
      <w:r>
        <w:rPr>
          <w:rFonts w:ascii="Times New Roman" w:cs="Times New Roman" w:eastAsia="Times New Roman" w:hAnsi="Times New Roman"/>
          <w:sz w:val="14"/>
          <w:szCs w:val="14"/>
          <w:color w:val="auto"/>
        </w:rPr>
        <w:t>We believe there is potential for ANKTIVA to become a therapeutic foundation across all phases of treatment, including in adjunctive therapy, to amplify, reactivate or extend the efficacy of standard of care. ANKTIVA is being clinically evaluated in multiple oncology indications. We believe that other oncology indications with registration potential for ANKTIVA include other types of NMIBC (BCG-unresponsive papillary, for which we submitted a supplemental BLA in March 2025 and received an RTF letter from the FDA in May 2025, which we are continuing to evaluate, BCG-naïve CIS and BCG-naïve papillary), lung, colorectal, pancreatic, prostate and ovarian cancers, and glioblastoma multiforme (“GBM”) and non-Hodgkin lymphoma (“NHL”).</w:t>
      </w:r>
    </w:p>
    <w:p>
      <w:pPr>
        <w:spacing w:after="0" w:line="143" w:lineRule="exact"/>
        <w:rPr>
          <w:sz w:val="20"/>
          <w:szCs w:val="20"/>
          <w:color w:val="auto"/>
        </w:rPr>
      </w:pPr>
    </w:p>
    <w:p>
      <w:pPr>
        <w:ind w:left="1500" w:right="399" w:firstLine="332"/>
        <w:spacing w:after="0" w:line="256" w:lineRule="auto"/>
        <w:rPr>
          <w:sz w:val="20"/>
          <w:szCs w:val="20"/>
          <w:color w:val="auto"/>
        </w:rPr>
      </w:pPr>
      <w:r>
        <w:rPr>
          <w:rFonts w:ascii="Times New Roman" w:cs="Times New Roman" w:eastAsia="Times New Roman" w:hAnsi="Times New Roman"/>
          <w:sz w:val="14"/>
          <w:szCs w:val="14"/>
          <w:color w:val="auto"/>
        </w:rPr>
        <w:t>Data from multiple clinical trials suggest ANKTIVA has potential to enhance the activity of therapeutic mAbs, including CPIs (e.g., pembrolizumab/Keytruda), across a wide range of tumor types, including lung cancer. Further, ANKTIVA has been observed to increase lymphocyte count in healthy adults, making it a potential therapy to rescue lymphopenia. We are also exploring or pursuing several other studies of ANKTIVA in combination with our other product candidates, including in prostate cancer (ANKTIVA in combination with hAd5 PSA), colon cancer (ANKTIVA in combination with hAd5 TriAd (Triple Antigen (CEA, MUC1, Brachyury))), GBM (ANKTIVA in combination with PD-L1 t-haNK), and NHL (ANKTIVA in combination with rituximab). We are also exploring ANKTIVA in infectious diseases, including HIV and long COVID.</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Recent Significant Developments</w:t>
      </w:r>
    </w:p>
    <w:p>
      <w:pPr>
        <w:spacing w:after="0" w:line="93" w:lineRule="exact"/>
        <w:rPr>
          <w:sz w:val="20"/>
          <w:szCs w:val="20"/>
          <w:color w:val="auto"/>
        </w:rPr>
      </w:pPr>
    </w:p>
    <w:p>
      <w:pPr>
        <w:ind w:left="1500" w:right="419" w:firstLine="332"/>
        <w:spacing w:after="0" w:line="256" w:lineRule="auto"/>
        <w:rPr>
          <w:sz w:val="20"/>
          <w:szCs w:val="20"/>
          <w:color w:val="auto"/>
        </w:rPr>
      </w:pPr>
      <w:r>
        <w:rPr>
          <w:rFonts w:ascii="Times New Roman" w:cs="Times New Roman" w:eastAsia="Times New Roman" w:hAnsi="Times New Roman"/>
          <w:sz w:val="14"/>
          <w:szCs w:val="14"/>
          <w:color w:val="auto"/>
        </w:rPr>
        <w:t>The following is a summary of selected significant developments affecting our business that occurred since the filing of our Quarterly Report dated March 31, 2025 with the SEC on May 12, 2025; provided that the financial information set forth below reflects only our preliminary estimates based solely upon information available to us as of the date of this prospectus supplement, and the amounts reported are not a comprehensive statement of our financial results or position as of June 30, 2025, which will be reported in our Quarterly Report on Form 10-Q for the period ended June 30, 2025 and subject to our financial closing procedures and any final adjustments that may be made prior to such time. As a result, these preliminary estimates may differ materially from the actual results that will be reflected in the Company’s consolidated financial statements for the quarter when they are completed and publicly disclosed.</w:t>
      </w:r>
    </w:p>
    <w:p>
      <w:pPr>
        <w:spacing w:after="0" w:line="70" w:lineRule="exact"/>
        <w:rPr>
          <w:sz w:val="20"/>
          <w:szCs w:val="20"/>
          <w:color w:val="auto"/>
        </w:rPr>
      </w:pPr>
    </w:p>
    <w:p>
      <w:pPr>
        <w:ind w:left="2220" w:right="479" w:hanging="313"/>
        <w:spacing w:after="0" w:line="283" w:lineRule="auto"/>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Q2 2025 Revenue Growth with Continued Strong Sales Momentum: $26.4 million, up 60% from Q1 2025, with year-to-date sales of approximately $43 million.</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ANKTIVA Unit Growth since J-code: 246% unit sales growth year-to-date in 1H 2025 compared to 2H 2024.</w:t>
      </w:r>
    </w:p>
    <w:p>
      <w:pPr>
        <w:spacing w:after="0" w:line="10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Position: $153.7 million in cash, cash equivalents and marketable securities as of June 30, 2025.</w:t>
      </w:r>
    </w:p>
    <w:p>
      <w:pPr>
        <w:spacing w:after="0" w:line="2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6"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52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3380" cy="4652010"/>
                    </a:xfrm>
                    <a:prstGeom prst="rect">
                      <a:avLst/>
                    </a:prstGeom>
                    <a:noFill/>
                  </pic:spPr>
                </pic:pic>
              </a:graphicData>
            </a:graphic>
          </wp:anchor>
        </w:drawing>
      </w:r>
    </w:p>
    <w:p>
      <w:pPr>
        <w:spacing w:after="0" w:line="368" w:lineRule="exact"/>
        <w:rPr>
          <w:sz w:val="20"/>
          <w:szCs w:val="20"/>
          <w:color w:val="auto"/>
        </w:rPr>
      </w:pPr>
    </w:p>
    <w:p>
      <w:pPr>
        <w:ind w:left="2220" w:right="81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NSCLC: Initiated randomized clinical trial (ResQ201A) with N-803 + tislelizumab in 2nd line lung cancer; U.S. sites initiated, submitted clinical trial applications in the EU and UK; Canada and Asia applications planned.</w:t>
      </w:r>
    </w:p>
    <w:p>
      <w:pPr>
        <w:spacing w:after="0" w:line="51" w:lineRule="exact"/>
        <w:rPr>
          <w:rFonts w:ascii="Times New Roman" w:cs="Times New Roman" w:eastAsia="Times New Roman" w:hAnsi="Times New Roman"/>
          <w:sz w:val="14"/>
          <w:szCs w:val="14"/>
          <w:color w:val="auto"/>
        </w:rPr>
      </w:pPr>
    </w:p>
    <w:p>
      <w:pPr>
        <w:ind w:left="2220" w:right="659" w:hanging="313"/>
        <w:spacing w:after="0" w:line="323" w:lineRule="auto"/>
        <w:tabs>
          <w:tab w:leader="none" w:pos="22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Lymphopenia: FDA supportive of new data; reaffirmed RMAT/EAP; collaborative discussion outlining regulatory endpoints, trial design and registrational pathways to full approval for the treatment of lymphopenia with randomized trial design in progress.</w:t>
      </w:r>
    </w:p>
    <w:p>
      <w:pPr>
        <w:spacing w:after="0" w:line="28" w:lineRule="exact"/>
        <w:rPr>
          <w:rFonts w:ascii="Times New Roman" w:cs="Times New Roman" w:eastAsia="Times New Roman" w:hAnsi="Times New Roman"/>
          <w:sz w:val="13"/>
          <w:szCs w:val="13"/>
          <w:color w:val="auto"/>
        </w:rPr>
      </w:pPr>
    </w:p>
    <w:p>
      <w:pPr>
        <w:ind w:left="2220" w:right="639" w:hanging="313"/>
        <w:spacing w:after="0" w:line="28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Full enrollment Reached in the Randomized NCI Cancer Prevention Clinical Trial Using ANKTIVA + Adenovirus Vaccine in 186 Patients with Lynch Syndrome.</w:t>
      </w:r>
    </w:p>
    <w:p>
      <w:pPr>
        <w:spacing w:after="0" w:line="51" w:lineRule="exact"/>
        <w:rPr>
          <w:rFonts w:ascii="Times New Roman" w:cs="Times New Roman" w:eastAsia="Times New Roman" w:hAnsi="Times New Roman"/>
          <w:sz w:val="14"/>
          <w:szCs w:val="14"/>
          <w:color w:val="auto"/>
        </w:rPr>
      </w:pPr>
    </w:p>
    <w:p>
      <w:pPr>
        <w:ind w:left="2220" w:right="779" w:hanging="313"/>
        <w:spacing w:after="0" w:line="26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United Kingdom’s Medicines and Healthcare products Regulatory Agency (MHRA) marketing authorization application of ANKTIVA approved in combination with BCG for the treatment of adult patients with BCG-unresponsive non-muscle invasive bladder cancer with CIS with or without papillary tumors.</w:t>
      </w:r>
    </w:p>
    <w:p>
      <w:pPr>
        <w:spacing w:after="0" w:line="61" w:lineRule="exact"/>
        <w:rPr>
          <w:rFonts w:ascii="Times New Roman" w:cs="Times New Roman" w:eastAsia="Times New Roman" w:hAnsi="Times New Roman"/>
          <w:sz w:val="14"/>
          <w:szCs w:val="14"/>
          <w:color w:val="auto"/>
        </w:rPr>
      </w:pPr>
    </w:p>
    <w:p>
      <w:pPr>
        <w:ind w:left="2220" w:right="379" w:hanging="313"/>
        <w:spacing w:after="0" w:line="253"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Papillary NMIBC: We conducted a Type A meeting with the FDA in June to discuss our program targeting papillary-only NMIBC and the Agency’s response to our supplemental BLA filing. Contrary to the advice the FDA gave to us in January 2025 to submit the supplemental BLA, the FDA responded with a Refusal-to-File (RTF) notice in May on the basis of requiring a randomized controlled trial (RCT) against chemotherapy. At the June meeting, we provided new data regarding the updated results since the initial BLA filing of papillary only data as well as real-world data of chemotherapy just published in this indication. In the papillary only NMIBC new data based on 26 of the 100 subjects in Cohort A and 80 subjects in Cohort B (Papillary Alone) of our QUILT-3.032 trial, demonstrated long-term (36-month) progression free survival and bladder sparing with ANKTIVA + BCG. We presented the newly published real-world data which demonstrates that compared to chemotherapy, ANKTIVA + BCG led to improved outcomes of progression free survival and cystectomy avoidance at 36-months. To our knowledge, the results to date of ANKTIVA + BCG represent the longest duration of follow-up with the longest duration of bladder sparing in these subjects. We indicated at the meeting that we would seek a new meeting request with this new data and withdraw the prior supplemental BLA filing; however, we are re-evaluating this approach in consultation with our regulatory counsel and may seek to amend the initial filing with the new data rather than withdrawing it, with a commitment to initiate a RCT of chemotherapy free ANKTIVA + BCG versus chemotherapy in the papillary alone indication.</w:t>
      </w:r>
    </w:p>
    <w:p>
      <w:pPr>
        <w:spacing w:after="0" w:line="73" w:lineRule="exact"/>
        <w:rPr>
          <w:rFonts w:ascii="Times New Roman" w:cs="Times New Roman" w:eastAsia="Times New Roman" w:hAnsi="Times New Roman"/>
          <w:sz w:val="14"/>
          <w:szCs w:val="14"/>
          <w:color w:val="auto"/>
        </w:rPr>
      </w:pPr>
    </w:p>
    <w:p>
      <w:pPr>
        <w:ind w:left="2220" w:right="459" w:hanging="313"/>
        <w:spacing w:after="0" w:line="267" w:lineRule="auto"/>
        <w:tabs>
          <w:tab w:leader="none" w:pos="22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applied to the National Comprehensive Cancer Network (NCCN) to seek expansion of the BCG-unresponsive NMIBC guidelines to include papillary-only disease, in addition to the currently recognized CIS with or without papillary disease. The NCCN is expected to review the submission at its August 2025 meeting.</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Our Pipeline</w:t>
      </w:r>
    </w:p>
    <w:p>
      <w:pPr>
        <w:spacing w:after="0" w:line="93" w:lineRule="exact"/>
        <w:rPr>
          <w:sz w:val="20"/>
          <w:szCs w:val="20"/>
          <w:color w:val="auto"/>
        </w:rPr>
      </w:pPr>
    </w:p>
    <w:p>
      <w:pPr>
        <w:ind w:left="1500" w:right="379" w:firstLine="332"/>
        <w:spacing w:after="0" w:line="256" w:lineRule="auto"/>
        <w:rPr>
          <w:sz w:val="20"/>
          <w:szCs w:val="20"/>
          <w:color w:val="auto"/>
        </w:rPr>
      </w:pPr>
      <w:r>
        <w:rPr>
          <w:rFonts w:ascii="Times New Roman" w:cs="Times New Roman" w:eastAsia="Times New Roman" w:hAnsi="Times New Roman"/>
          <w:sz w:val="14"/>
          <w:szCs w:val="14"/>
          <w:color w:val="auto"/>
        </w:rPr>
        <w:t>Our proprietary platforms for the development of biologic products and product candidates include: (i) cytokine fusion proteins, (ii) vaccine vectors, and (iii) cell therapies. As of June 2025, our platforms have generated nine first-in-human therapeutic agents (including one agent approved by the FDA and the MHRA in a specific indication) that are currently or planned to be studied in clinical trials in liquid and solid tumors. Target indications include lymphopenia and bladder, lung, pancreatic, colorectal, ovarian, and prostate cancers and glioblastoma, which are among the most frequent and lethal cancer types and where there are high failure rates for existing standards of care or no available effective treatment. We are constantly monitoring and prioritizing clinical development based upon the availability of our resources and the efficacy and market developments of our competitors’ products and product candidates, among other factors.</w:t>
      </w:r>
    </w:p>
    <w:p>
      <w:pPr>
        <w:spacing w:after="0" w:line="144" w:lineRule="exact"/>
        <w:rPr>
          <w:sz w:val="20"/>
          <w:szCs w:val="20"/>
          <w:color w:val="auto"/>
        </w:rPr>
      </w:pPr>
    </w:p>
    <w:p>
      <w:pPr>
        <w:ind w:left="1500" w:right="799" w:firstLine="332"/>
        <w:spacing w:after="0" w:line="283" w:lineRule="auto"/>
        <w:rPr>
          <w:sz w:val="20"/>
          <w:szCs w:val="20"/>
          <w:color w:val="auto"/>
        </w:rPr>
      </w:pPr>
      <w:r>
        <w:rPr>
          <w:rFonts w:ascii="Times New Roman" w:cs="Times New Roman" w:eastAsia="Times New Roman" w:hAnsi="Times New Roman"/>
          <w:sz w:val="14"/>
          <w:szCs w:val="14"/>
          <w:color w:val="auto"/>
        </w:rPr>
        <w:t>Our platforms and their associated approved product and product candidates are designed to attack cancer and infectious pathogens by activating both the innate immune system, including NK cells, dendritic cells, and</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6"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254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3380" cy="1254125"/>
                    </a:xfrm>
                    <a:prstGeom prst="rect">
                      <a:avLst/>
                    </a:prstGeom>
                    <a:noFill/>
                  </pic:spPr>
                </pic:pic>
              </a:graphicData>
            </a:graphic>
          </wp:anchor>
        </w:drawing>
      </w:r>
    </w:p>
    <w:p>
      <w:pPr>
        <w:spacing w:after="0" w:line="368" w:lineRule="exact"/>
        <w:rPr>
          <w:sz w:val="20"/>
          <w:szCs w:val="20"/>
          <w:color w:val="auto"/>
        </w:rPr>
      </w:pPr>
    </w:p>
    <w:p>
      <w:pPr>
        <w:ind w:left="1500" w:right="379"/>
        <w:spacing w:after="0" w:line="258" w:lineRule="auto"/>
        <w:rPr>
          <w:sz w:val="20"/>
          <w:szCs w:val="20"/>
          <w:color w:val="auto"/>
        </w:rPr>
      </w:pPr>
      <w:r>
        <w:rPr>
          <w:rFonts w:ascii="Times New Roman" w:cs="Times New Roman" w:eastAsia="Times New Roman" w:hAnsi="Times New Roman"/>
          <w:sz w:val="14"/>
          <w:szCs w:val="14"/>
          <w:color w:val="auto"/>
        </w:rPr>
        <w:t>macrophages, as well as the adaptive immune system comprising B and T cells, in an orchestrated manner. The goal of this potentially best-in-class approach is to generate immunogenic cell death thereby eliminating rogue cells from the body whether they are cancerous or virally-infected. Our ultimate goal is to overcome the limitations of current treatments, such as CPIs, by turning immunologically cold, MHC-deficient tumors into hot tumors, and/or reducing the need for standard high-dose chemotherapy in cancer by employing a coordinated approach to establish “immunological memory” that confers long-term benefit for the patient.</w:t>
      </w:r>
    </w:p>
    <w:p>
      <w:pPr>
        <w:spacing w:after="0" w:line="2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93" w:lineRule="exact"/>
        <w:rPr>
          <w:sz w:val="20"/>
          <w:szCs w:val="20"/>
          <w:color w:val="auto"/>
        </w:rPr>
      </w:pPr>
    </w:p>
    <w:p>
      <w:pPr>
        <w:ind w:left="1500" w:right="579" w:firstLine="332"/>
        <w:spacing w:after="0" w:line="283" w:lineRule="auto"/>
        <w:rPr>
          <w:sz w:val="20"/>
          <w:szCs w:val="20"/>
          <w:color w:val="auto"/>
        </w:rPr>
      </w:pPr>
      <w:r>
        <w:rPr>
          <w:rFonts w:ascii="Times New Roman" w:cs="Times New Roman" w:eastAsia="Times New Roman" w:hAnsi="Times New Roman"/>
          <w:sz w:val="14"/>
          <w:szCs w:val="14"/>
          <w:color w:val="auto"/>
        </w:rPr>
        <w:t>For additional information related to our business and operations, please refer to the reports incorporated herein by reference, as described under the caption “</w:t>
      </w:r>
      <w:r>
        <w:rPr>
          <w:rFonts w:ascii="Times New Roman" w:cs="Times New Roman" w:eastAsia="Times New Roman" w:hAnsi="Times New Roman"/>
          <w:sz w:val="14"/>
          <w:szCs w:val="14"/>
          <w:u w:val="single" w:color="auto"/>
          <w:color w:val="0000EE"/>
        </w:rPr>
        <w:t>Information Incorporated by Reference</w:t>
      </w:r>
      <w:r>
        <w:rPr>
          <w:rFonts w:ascii="Times New Roman" w:cs="Times New Roman" w:eastAsia="Times New Roman" w:hAnsi="Times New Roman"/>
          <w:sz w:val="14"/>
          <w:szCs w:val="14"/>
          <w:color w:val="auto"/>
        </w:rPr>
        <w:t>” on page S-32 of this prospectus supplement.</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6"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70" w:type="dxa"/>
        <w:tblCellMar>
          <w:top w:w="0" w:type="dxa"/>
          <w:left w:w="0" w:type="dxa"/>
          <w:bottom w:w="0" w:type="dxa"/>
          <w:right w:w="0" w:type="dxa"/>
        </w:tblCellMar>
      </w:tblPr>
      <w:tr>
        <w:trPr>
          <w:trHeight w:val="310"/>
        </w:trPr>
        <w:tc>
          <w:tcPr>
            <w:tcW w:w="3240" w:type="dxa"/>
            <w:vAlign w:val="bottom"/>
            <w:tcBorders>
              <w:top w:val="single" w:sz="8" w:color="auto"/>
              <w:left w:val="single" w:sz="8" w:color="auto"/>
            </w:tcBorders>
          </w:tcPr>
          <w:p>
            <w:pPr>
              <w:spacing w:after="0"/>
              <w:rPr>
                <w:sz w:val="24"/>
                <w:szCs w:val="24"/>
                <w:color w:val="auto"/>
              </w:rPr>
            </w:pPr>
          </w:p>
        </w:tc>
        <w:tc>
          <w:tcPr>
            <w:tcW w:w="5340" w:type="dxa"/>
            <w:vAlign w:val="bottom"/>
            <w:tcBorders>
              <w:top w:val="single" w:sz="8" w:color="auto"/>
              <w:right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0" w:type="dxa"/>
            <w:vAlign w:val="bottom"/>
          </w:tcPr>
          <w:p>
            <w:pPr>
              <w:spacing w:after="0"/>
              <w:rPr>
                <w:sz w:val="1"/>
                <w:szCs w:val="1"/>
                <w:color w:val="auto"/>
              </w:rPr>
            </w:pPr>
          </w:p>
        </w:tc>
      </w:tr>
      <w:tr>
        <w:trPr>
          <w:trHeight w:val="341"/>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 offered by this prospectus</w:t>
            </w: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29,629,632 shares of common stock</w:t>
            </w:r>
          </w:p>
        </w:tc>
        <w:tc>
          <w:tcPr>
            <w:tcW w:w="0" w:type="dxa"/>
            <w:vAlign w:val="bottom"/>
          </w:tcPr>
          <w:p>
            <w:pPr>
              <w:spacing w:after="0"/>
              <w:rPr>
                <w:sz w:val="1"/>
                <w:szCs w:val="1"/>
                <w:color w:val="auto"/>
              </w:rPr>
            </w:pPr>
          </w:p>
        </w:tc>
      </w:tr>
      <w:tr>
        <w:trPr>
          <w:trHeight w:val="185"/>
        </w:trPr>
        <w:tc>
          <w:tcPr>
            <w:tcW w:w="32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supplement</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Warrants offered by this prospectus supplement</w:t>
            </w: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We are offering warrants to purchase up to 29,629,632 shares of common stock (and the</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shares of common stock issuable upon the exercise of the warrants). Each warrant will be</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exercisable for one share of our common stock at an exercise price of $3.24 per share, will</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be immediately exercisable, and will have a term of five years from the date of issuance.</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There is no established public trading market for the warrants, and we do not expect a</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market to develop. In addition, we do not intend to list or quote the warrants on the Nasdaq</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Global Select Market, any other national securities exchange, or any other nationally-</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recognized trading system. The shares of common stock, and the accompanying warrants,</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can only be purchased together in this offering but will be issued separately and will be</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immediately separable upon issuance. This offering also relates to the offering of the shares</w:t>
            </w:r>
          </w:p>
        </w:tc>
        <w:tc>
          <w:tcPr>
            <w:tcW w:w="0" w:type="dxa"/>
            <w:vAlign w:val="bottom"/>
          </w:tcPr>
          <w:p>
            <w:pPr>
              <w:spacing w:after="0"/>
              <w:rPr>
                <w:sz w:val="1"/>
                <w:szCs w:val="1"/>
                <w:color w:val="auto"/>
              </w:rPr>
            </w:pPr>
          </w:p>
        </w:tc>
      </w:tr>
      <w:tr>
        <w:trPr>
          <w:trHeight w:val="183"/>
        </w:trPr>
        <w:tc>
          <w:tcPr>
            <w:tcW w:w="3240" w:type="dxa"/>
            <w:vAlign w:val="bottom"/>
            <w:tcBorders>
              <w:left w:val="single" w:sz="8" w:color="auto"/>
            </w:tcBorders>
          </w:tcPr>
          <w:p>
            <w:pPr>
              <w:spacing w:after="0"/>
              <w:rPr>
                <w:sz w:val="15"/>
                <w:szCs w:val="15"/>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of common stock issuable upon exercise of the warrants.</w:t>
            </w:r>
          </w:p>
        </w:tc>
        <w:tc>
          <w:tcPr>
            <w:tcW w:w="0" w:type="dxa"/>
            <w:vAlign w:val="bottom"/>
          </w:tcPr>
          <w:p>
            <w:pPr>
              <w:spacing w:after="0"/>
              <w:rPr>
                <w:sz w:val="1"/>
                <w:szCs w:val="1"/>
                <w:color w:val="auto"/>
              </w:rPr>
            </w:pPr>
          </w:p>
        </w:tc>
      </w:tr>
      <w:tr>
        <w:trPr>
          <w:trHeight w:val="357"/>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Offering Price per share and associated warrant</w:t>
            </w:r>
          </w:p>
        </w:tc>
        <w:tc>
          <w:tcPr>
            <w:tcW w:w="1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$2.70</w:t>
            </w: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 to be outstanding after this offering</w:t>
            </w: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883,185,825 shares of common stock and which excludes certain shares as further</w:t>
            </w:r>
          </w:p>
        </w:tc>
        <w:tc>
          <w:tcPr>
            <w:tcW w:w="0" w:type="dxa"/>
            <w:vAlign w:val="bottom"/>
          </w:tcPr>
          <w:p>
            <w:pPr>
              <w:spacing w:after="0"/>
              <w:rPr>
                <w:sz w:val="1"/>
                <w:szCs w:val="1"/>
                <w:color w:val="auto"/>
              </w:rPr>
            </w:pPr>
          </w:p>
        </w:tc>
      </w:tr>
      <w:tr>
        <w:trPr>
          <w:trHeight w:val="183"/>
        </w:trPr>
        <w:tc>
          <w:tcPr>
            <w:tcW w:w="3240" w:type="dxa"/>
            <w:vAlign w:val="bottom"/>
            <w:tcBorders>
              <w:left w:val="single" w:sz="8" w:color="auto"/>
            </w:tcBorders>
          </w:tcPr>
          <w:p>
            <w:pPr>
              <w:spacing w:after="0"/>
              <w:rPr>
                <w:sz w:val="15"/>
                <w:szCs w:val="15"/>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described below.</w:t>
            </w:r>
          </w:p>
        </w:tc>
        <w:tc>
          <w:tcPr>
            <w:tcW w:w="0" w:type="dxa"/>
            <w:vAlign w:val="bottom"/>
          </w:tcPr>
          <w:p>
            <w:pPr>
              <w:spacing w:after="0"/>
              <w:rPr>
                <w:sz w:val="1"/>
                <w:szCs w:val="1"/>
                <w:color w:val="auto"/>
              </w:rPr>
            </w:pPr>
          </w:p>
        </w:tc>
      </w:tr>
      <w:tr>
        <w:trPr>
          <w:trHeight w:val="343"/>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We expect to receive net proceeds from this offering of approximately $75.3 million, after</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giving effect to expected expense reimbursements and deducting placement agent fees and</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other expenses payable by us. We currently intend to use the net proceeds from this</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offering, together with other available funds, to progress our continued commercialization</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of ANKTIVA, to fund our clinical trial programs, toward further research and</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development, for working capital needs, and for other general corporate purposes. We may</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also use a portion of the net proceeds to license intellectual property or to make</w:t>
            </w:r>
          </w:p>
        </w:tc>
        <w:tc>
          <w:tcPr>
            <w:tcW w:w="0" w:type="dxa"/>
            <w:vAlign w:val="bottom"/>
          </w:tcPr>
          <w:p>
            <w:pPr>
              <w:spacing w:after="0"/>
              <w:rPr>
                <w:sz w:val="1"/>
                <w:szCs w:val="1"/>
                <w:color w:val="auto"/>
              </w:rPr>
            </w:pPr>
          </w:p>
        </w:tc>
      </w:tr>
      <w:tr>
        <w:trPr>
          <w:trHeight w:val="151"/>
        </w:trPr>
        <w:tc>
          <w:tcPr>
            <w:tcW w:w="3240" w:type="dxa"/>
            <w:vAlign w:val="bottom"/>
            <w:tcBorders>
              <w:left w:val="single" w:sz="8" w:color="auto"/>
            </w:tcBorders>
          </w:tcPr>
          <w:p>
            <w:pPr>
              <w:spacing w:after="0"/>
              <w:rPr>
                <w:sz w:val="13"/>
                <w:szCs w:val="13"/>
                <w:color w:val="auto"/>
              </w:rPr>
            </w:pPr>
          </w:p>
        </w:tc>
        <w:tc>
          <w:tcPr>
            <w:tcW w:w="5340" w:type="dxa"/>
            <w:vAlign w:val="bottom"/>
            <w:tcBorders>
              <w:right w:val="single" w:sz="8" w:color="auto"/>
            </w:tcBorders>
            <w:gridSpan w:val="5"/>
          </w:tcPr>
          <w:p>
            <w:pPr>
              <w:ind w:left="40"/>
              <w:spacing w:after="0" w:line="151" w:lineRule="exact"/>
              <w:rPr>
                <w:sz w:val="20"/>
                <w:szCs w:val="20"/>
                <w:color w:val="auto"/>
              </w:rPr>
            </w:pPr>
            <w:r>
              <w:rPr>
                <w:rFonts w:ascii="Times New Roman" w:cs="Times New Roman" w:eastAsia="Times New Roman" w:hAnsi="Times New Roman"/>
                <w:sz w:val="14"/>
                <w:szCs w:val="14"/>
                <w:color w:val="auto"/>
              </w:rPr>
              <w:t>acquisitions or investments. See “</w:t>
            </w:r>
            <w:r>
              <w:rPr>
                <w:rFonts w:ascii="Times New Roman" w:cs="Times New Roman" w:eastAsia="Times New Roman" w:hAnsi="Times New Roman"/>
                <w:sz w:val="14"/>
                <w:szCs w:val="14"/>
                <w:color w:val="0000EE"/>
              </w:rPr>
              <w:t>Use of Proceeds</w:t>
            </w:r>
            <w:r>
              <w:rPr>
                <w:rFonts w:ascii="Times New Roman" w:cs="Times New Roman" w:eastAsia="Times New Roman" w:hAnsi="Times New Roman"/>
                <w:sz w:val="14"/>
                <w:szCs w:val="14"/>
                <w:color w:val="auto"/>
              </w:rPr>
              <w:t>” for additional information.</w:t>
            </w:r>
          </w:p>
        </w:tc>
        <w:tc>
          <w:tcPr>
            <w:tcW w:w="0" w:type="dxa"/>
            <w:vAlign w:val="bottom"/>
          </w:tcPr>
          <w:p>
            <w:pPr>
              <w:spacing w:after="0"/>
              <w:rPr>
                <w:sz w:val="1"/>
                <w:szCs w:val="1"/>
                <w:color w:val="auto"/>
              </w:rPr>
            </w:pPr>
          </w:p>
        </w:tc>
      </w:tr>
      <w:tr>
        <w:trPr>
          <w:trHeight w:val="20"/>
        </w:trPr>
        <w:tc>
          <w:tcPr>
            <w:tcW w:w="3240" w:type="dxa"/>
            <w:vAlign w:val="bottom"/>
            <w:tcBorders>
              <w:left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Dividend policy</w:t>
            </w:r>
          </w:p>
        </w:tc>
        <w:tc>
          <w:tcPr>
            <w:tcW w:w="19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3240" w:type="dxa"/>
            <w:vAlign w:val="bottom"/>
            <w:tcBorders>
              <w:left w:val="single" w:sz="8" w:color="auto"/>
            </w:tcBorders>
            <w:vMerge w:val="continue"/>
          </w:tcPr>
          <w:p>
            <w:pPr>
              <w:spacing w:after="0"/>
              <w:rPr>
                <w:sz w:val="24"/>
                <w:szCs w:val="2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We do not anticipate paying any cash dividends on our common stock.</w:t>
            </w:r>
          </w:p>
        </w:tc>
        <w:tc>
          <w:tcPr>
            <w:tcW w:w="0" w:type="dxa"/>
            <w:vAlign w:val="bottom"/>
          </w:tcPr>
          <w:p>
            <w:pPr>
              <w:spacing w:after="0"/>
              <w:rPr>
                <w:sz w:val="1"/>
                <w:szCs w:val="1"/>
                <w:color w:val="auto"/>
              </w:rPr>
            </w:pPr>
          </w:p>
        </w:tc>
      </w:tr>
      <w:tr>
        <w:trPr>
          <w:trHeight w:val="353"/>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Market Symbol</w:t>
            </w: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w:t>
            </w:r>
          </w:p>
        </w:tc>
        <w:tc>
          <w:tcPr>
            <w:tcW w:w="0" w:type="dxa"/>
            <w:vAlign w:val="bottom"/>
          </w:tcPr>
          <w:p>
            <w:pPr>
              <w:spacing w:after="0"/>
              <w:rPr>
                <w:sz w:val="1"/>
                <w:szCs w:val="1"/>
                <w:color w:val="auto"/>
              </w:rPr>
            </w:pPr>
          </w:p>
        </w:tc>
      </w:tr>
      <w:tr>
        <w:trPr>
          <w:trHeight w:val="183"/>
        </w:trPr>
        <w:tc>
          <w:tcPr>
            <w:tcW w:w="3240" w:type="dxa"/>
            <w:vAlign w:val="bottom"/>
            <w:tcBorders>
              <w:left w:val="single" w:sz="8" w:color="auto"/>
            </w:tcBorders>
          </w:tcPr>
          <w:p>
            <w:pPr>
              <w:spacing w:after="0"/>
              <w:rPr>
                <w:sz w:val="15"/>
                <w:szCs w:val="15"/>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“IBRX.”</w:t>
            </w:r>
          </w:p>
        </w:tc>
        <w:tc>
          <w:tcPr>
            <w:tcW w:w="0" w:type="dxa"/>
            <w:vAlign w:val="bottom"/>
          </w:tcPr>
          <w:p>
            <w:pPr>
              <w:spacing w:after="0"/>
              <w:rPr>
                <w:sz w:val="1"/>
                <w:szCs w:val="1"/>
                <w:color w:val="auto"/>
              </w:rPr>
            </w:pPr>
          </w:p>
        </w:tc>
      </w:tr>
      <w:tr>
        <w:trPr>
          <w:trHeight w:val="326"/>
        </w:trPr>
        <w:tc>
          <w:tcPr>
            <w:tcW w:w="32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Investing in our securities involves significant risks. You should read the “</w:t>
            </w:r>
            <w:r>
              <w:rPr>
                <w:rFonts w:ascii="Times New Roman" w:cs="Times New Roman" w:eastAsia="Times New Roman" w:hAnsi="Times New Roman"/>
                <w:sz w:val="14"/>
                <w:szCs w:val="14"/>
                <w:color w:val="0000EE"/>
              </w:rPr>
              <w:t>Risk Factors</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240" w:type="dxa"/>
            <w:vAlign w:val="bottom"/>
            <w:tcBorders>
              <w:left w:val="single" w:sz="8" w:color="auto"/>
            </w:tcBorders>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section of this prospectus supplement and in the documents incorporated by reference in</w:t>
            </w:r>
          </w:p>
        </w:tc>
        <w:tc>
          <w:tcPr>
            <w:tcW w:w="0" w:type="dxa"/>
            <w:vAlign w:val="bottom"/>
          </w:tcPr>
          <w:p>
            <w:pPr>
              <w:spacing w:after="0"/>
              <w:rPr>
                <w:sz w:val="1"/>
                <w:szCs w:val="1"/>
                <w:color w:val="auto"/>
              </w:rPr>
            </w:pPr>
          </w:p>
        </w:tc>
      </w:tr>
      <w:tr>
        <w:trPr>
          <w:trHeight w:val="168"/>
        </w:trPr>
        <w:tc>
          <w:tcPr>
            <w:tcW w:w="3240" w:type="dxa"/>
            <w:vAlign w:val="bottom"/>
            <w:tcBorders>
              <w:left w:val="single" w:sz="8" w:color="auto"/>
            </w:tcBorders>
          </w:tcPr>
          <w:p>
            <w:pPr>
              <w:spacing w:after="0"/>
              <w:rPr>
                <w:sz w:val="14"/>
                <w:szCs w:val="14"/>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this prospectus supplement for a discussion of factors to consider before deciding to</w:t>
            </w:r>
          </w:p>
        </w:tc>
        <w:tc>
          <w:tcPr>
            <w:tcW w:w="0" w:type="dxa"/>
            <w:vAlign w:val="bottom"/>
          </w:tcPr>
          <w:p>
            <w:pPr>
              <w:spacing w:after="0"/>
              <w:rPr>
                <w:sz w:val="1"/>
                <w:szCs w:val="1"/>
                <w:color w:val="auto"/>
              </w:rPr>
            </w:pPr>
          </w:p>
        </w:tc>
      </w:tr>
      <w:tr>
        <w:trPr>
          <w:trHeight w:val="183"/>
        </w:trPr>
        <w:tc>
          <w:tcPr>
            <w:tcW w:w="3240" w:type="dxa"/>
            <w:vAlign w:val="bottom"/>
            <w:tcBorders>
              <w:left w:val="single" w:sz="8" w:color="auto"/>
            </w:tcBorders>
          </w:tcPr>
          <w:p>
            <w:pPr>
              <w:spacing w:after="0"/>
              <w:rPr>
                <w:sz w:val="15"/>
                <w:szCs w:val="15"/>
                <w:color w:val="auto"/>
              </w:rPr>
            </w:pPr>
          </w:p>
        </w:tc>
        <w:tc>
          <w:tcPr>
            <w:tcW w:w="53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color w:val="auto"/>
              </w:rPr>
              <w:t>purchase our securities.</w:t>
            </w:r>
          </w:p>
        </w:tc>
        <w:tc>
          <w:tcPr>
            <w:tcW w:w="0" w:type="dxa"/>
            <w:vAlign w:val="bottom"/>
          </w:tcPr>
          <w:p>
            <w:pPr>
              <w:spacing w:after="0"/>
              <w:rPr>
                <w:sz w:val="1"/>
                <w:szCs w:val="1"/>
                <w:color w:val="auto"/>
              </w:rPr>
            </w:pPr>
          </w:p>
        </w:tc>
      </w:tr>
      <w:tr>
        <w:trPr>
          <w:trHeight w:val="132"/>
        </w:trPr>
        <w:tc>
          <w:tcPr>
            <w:tcW w:w="3240" w:type="dxa"/>
            <w:vAlign w:val="bottom"/>
            <w:tcBorders>
              <w:left w:val="single" w:sz="8" w:color="auto"/>
              <w:bottom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9"/>
        </w:trPr>
        <w:tc>
          <w:tcPr>
            <w:tcW w:w="3240" w:type="dxa"/>
            <w:vAlign w:val="bottom"/>
          </w:tcPr>
          <w:p>
            <w:pPr>
              <w:spacing w:after="0"/>
              <w:rPr>
                <w:sz w:val="24"/>
                <w:szCs w:val="24"/>
                <w:color w:val="auto"/>
              </w:rPr>
            </w:pPr>
          </w:p>
        </w:tc>
        <w:tc>
          <w:tcPr>
            <w:tcW w:w="5340" w:type="dxa"/>
            <w:vAlign w:val="bottom"/>
            <w:gridSpan w:val="5"/>
          </w:tcPr>
          <w:p>
            <w:pPr>
              <w:ind w:left="940"/>
              <w:spacing w:after="0"/>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bl>
    <w:p>
      <w:pPr>
        <w:sectPr>
          <w:pgSz w:w="11900" w:h="16838" w:orient="portrait"/>
          <w:cols w:equalWidth="0" w:num="1">
            <w:col w:w="10159"/>
          </w:cols>
          <w:pgMar w:left="300" w:top="38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193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3380" cy="5193030"/>
                    </a:xfrm>
                    <a:prstGeom prst="rect">
                      <a:avLst/>
                    </a:prstGeom>
                    <a:noFill/>
                  </pic:spPr>
                </pic:pic>
              </a:graphicData>
            </a:graphic>
          </wp:anchor>
        </w:drawing>
      </w:r>
    </w:p>
    <w:p>
      <w:pPr>
        <w:spacing w:after="0" w:line="368" w:lineRule="exact"/>
        <w:rPr>
          <w:sz w:val="20"/>
          <w:szCs w:val="20"/>
          <w:color w:val="auto"/>
        </w:rPr>
      </w:pPr>
    </w:p>
    <w:p>
      <w:pPr>
        <w:ind w:left="1500" w:right="679" w:firstLine="332"/>
        <w:spacing w:after="0" w:line="283" w:lineRule="auto"/>
        <w:rPr>
          <w:sz w:val="20"/>
          <w:szCs w:val="20"/>
          <w:color w:val="auto"/>
        </w:rPr>
      </w:pPr>
      <w:r>
        <w:rPr>
          <w:rFonts w:ascii="Times New Roman" w:cs="Times New Roman" w:eastAsia="Times New Roman" w:hAnsi="Times New Roman"/>
          <w:sz w:val="14"/>
          <w:szCs w:val="14"/>
          <w:color w:val="auto"/>
        </w:rPr>
        <w:t>Unless we indicate otherwise, all information in this prospectus supplement is based on 853,556,193 shares of common stock issued and outstanding as of March 31, 2025 and excludes as of that date:</w:t>
      </w:r>
    </w:p>
    <w:p>
      <w:pPr>
        <w:spacing w:after="0" w:line="51" w:lineRule="exact"/>
        <w:rPr>
          <w:sz w:val="20"/>
          <w:szCs w:val="20"/>
          <w:color w:val="auto"/>
        </w:rPr>
      </w:pPr>
    </w:p>
    <w:p>
      <w:pPr>
        <w:ind w:left="2220" w:right="65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 shares issued to GlobeImmune, Inc., our consolidated subsidiary, which are treated as treasury stock for purposes of U.S. generally accepted accounting principles;</w:t>
      </w:r>
    </w:p>
    <w:p>
      <w:pPr>
        <w:spacing w:after="0" w:line="51" w:lineRule="exact"/>
        <w:rPr>
          <w:rFonts w:ascii="Times New Roman" w:cs="Times New Roman" w:eastAsia="Times New Roman" w:hAnsi="Times New Roman"/>
          <w:sz w:val="14"/>
          <w:szCs w:val="14"/>
          <w:color w:val="auto"/>
        </w:rPr>
      </w:pPr>
    </w:p>
    <w:p>
      <w:pPr>
        <w:ind w:left="2220" w:right="71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25,457,673 shares of our common stock issuable upon exercise of options to purchase common stock that were outstanding as of March 31, 2025;</w:t>
      </w:r>
    </w:p>
    <w:p>
      <w:pPr>
        <w:spacing w:after="0" w:line="51" w:lineRule="exact"/>
        <w:rPr>
          <w:rFonts w:ascii="Times New Roman" w:cs="Times New Roman" w:eastAsia="Times New Roman" w:hAnsi="Times New Roman"/>
          <w:sz w:val="14"/>
          <w:szCs w:val="14"/>
          <w:color w:val="auto"/>
        </w:rPr>
      </w:pPr>
    </w:p>
    <w:p>
      <w:pPr>
        <w:ind w:left="2220" w:right="83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9,230,859 shares of our common stock issuable upon the vesting of restricted stock units (“RSUs”) that were outstanding as of March 31, 2025;</w:t>
      </w:r>
    </w:p>
    <w:p>
      <w:pPr>
        <w:spacing w:after="0" w:line="51" w:lineRule="exact"/>
        <w:rPr>
          <w:rFonts w:ascii="Times New Roman" w:cs="Times New Roman" w:eastAsia="Times New Roman" w:hAnsi="Times New Roman"/>
          <w:sz w:val="14"/>
          <w:szCs w:val="14"/>
          <w:color w:val="auto"/>
        </w:rPr>
      </w:pPr>
    </w:p>
    <w:p>
      <w:pPr>
        <w:ind w:left="2220" w:right="95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1,638,000 shares of our common stock subject to an outstanding warrant that will become exercisable if certain performance conditions are satisfied at an exercise price of $3.24 per share;</w:t>
      </w:r>
    </w:p>
    <w:p>
      <w:pPr>
        <w:spacing w:after="0" w:line="51" w:lineRule="exact"/>
        <w:rPr>
          <w:rFonts w:ascii="Times New Roman" w:cs="Times New Roman" w:eastAsia="Times New Roman" w:hAnsi="Times New Roman"/>
          <w:sz w:val="14"/>
          <w:szCs w:val="14"/>
          <w:color w:val="auto"/>
        </w:rPr>
      </w:pPr>
    </w:p>
    <w:p>
      <w:pPr>
        <w:ind w:left="2220" w:right="63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11,392,272 shares of our common stock that were reserved for future issuance under the ImmunityBio, Inc. 2015 Equity Incentive Plan (the “2015 Plan”);</w:t>
      </w:r>
    </w:p>
    <w:p>
      <w:pPr>
        <w:spacing w:after="0" w:line="51" w:lineRule="exact"/>
        <w:rPr>
          <w:rFonts w:ascii="Times New Roman" w:cs="Times New Roman" w:eastAsia="Times New Roman" w:hAnsi="Times New Roman"/>
          <w:sz w:val="14"/>
          <w:szCs w:val="14"/>
          <w:color w:val="auto"/>
        </w:rPr>
      </w:pPr>
    </w:p>
    <w:p>
      <w:pPr>
        <w:ind w:left="2220" w:right="419" w:hanging="313"/>
        <w:spacing w:after="0" w:line="261"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issuable to the former stockholders of Altor Bioscience, LLC (“Altor”), including Dr. Soon-Shiong and certain affiliates, in satisfaction of an aggregate of approximately $304.0 million in contingent value rights (“CVRs”), which such stockholders may choose to receive in shares of our common stock, upon the first calendar year prior to December 31, 2026 in which worldwide net sales of ANKTIVA exceed $1.0 billion;</w:t>
      </w:r>
    </w:p>
    <w:p>
      <w:pPr>
        <w:spacing w:after="0" w:line="67" w:lineRule="exact"/>
        <w:rPr>
          <w:rFonts w:ascii="Times New Roman" w:cs="Times New Roman" w:eastAsia="Times New Roman" w:hAnsi="Times New Roman"/>
          <w:sz w:val="14"/>
          <w:szCs w:val="14"/>
          <w:color w:val="auto"/>
        </w:rPr>
      </w:pPr>
    </w:p>
    <w:p>
      <w:pPr>
        <w:jc w:val="both"/>
        <w:ind w:left="2220" w:right="739" w:hanging="313"/>
        <w:spacing w:after="0" w:line="267"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conversion of the $505.0 million promissory note due December 31, 2027, issued to Nant Capital, LLC, an affiliate of Dr. Soon-Shiong, pursuant to which all principal shall be convertible in full (and not partially) into shares of common stock at the holder’s option at a price per share of $5.427;</w:t>
      </w:r>
    </w:p>
    <w:p>
      <w:pPr>
        <w:spacing w:after="0" w:line="61" w:lineRule="exact"/>
        <w:rPr>
          <w:rFonts w:ascii="Times New Roman" w:cs="Times New Roman" w:eastAsia="Times New Roman" w:hAnsi="Times New Roman"/>
          <w:sz w:val="14"/>
          <w:szCs w:val="14"/>
          <w:color w:val="auto"/>
        </w:rPr>
      </w:pPr>
    </w:p>
    <w:p>
      <w:pPr>
        <w:ind w:left="2220" w:right="69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2,814,523 shares of our common stock issuable upon the exercise of the warrants included in our February 2023 registered direct offering (“RDO”) at an exercise price of $3.2946 per share;</w:t>
      </w:r>
    </w:p>
    <w:p>
      <w:pPr>
        <w:spacing w:after="0" w:line="51" w:lineRule="exact"/>
        <w:rPr>
          <w:rFonts w:ascii="Times New Roman" w:cs="Times New Roman" w:eastAsia="Times New Roman" w:hAnsi="Times New Roman"/>
          <w:sz w:val="14"/>
          <w:szCs w:val="14"/>
          <w:color w:val="auto"/>
        </w:rPr>
      </w:pPr>
    </w:p>
    <w:p>
      <w:pPr>
        <w:ind w:left="2220" w:right="479" w:hanging="313"/>
        <w:spacing w:after="0" w:line="283" w:lineRule="auto"/>
        <w:tabs>
          <w:tab w:leader="none" w:pos="22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3,584,648 shares of our common stock issuable upon the exercise of the warrants included in our July 2023 RDO at an exercise price of $3.2946 per share; and</w:t>
      </w:r>
    </w:p>
    <w:p>
      <w:pPr>
        <w:spacing w:after="0" w:line="51" w:lineRule="exact"/>
        <w:rPr>
          <w:rFonts w:ascii="Times New Roman" w:cs="Times New Roman" w:eastAsia="Times New Roman" w:hAnsi="Times New Roman"/>
          <w:sz w:val="14"/>
          <w:szCs w:val="14"/>
          <w:color w:val="auto"/>
        </w:rPr>
      </w:pPr>
    </w:p>
    <w:p>
      <w:pPr>
        <w:ind w:left="2220" w:right="439" w:hanging="313"/>
        <w:spacing w:after="0" w:line="277" w:lineRule="auto"/>
        <w:tabs>
          <w:tab w:leader="none" w:pos="22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common stock that may be issued upon the exercise of the $5.0 million option held by Oberland Capital Management LLC and its affiliates (“Oberland”), for which the price per share shall be determined by the 30-day trailing volume weighted-average price of our common stock, calculated from the date of exercise, and which option is exercisable by Oberland until the earliest of</w:t>
      </w:r>
    </w:p>
    <w:p>
      <w:pPr>
        <w:spacing w:after="0" w:line="1" w:lineRule="exact"/>
        <w:rPr>
          <w:rFonts w:ascii="Times New Roman" w:cs="Times New Roman" w:eastAsia="Times New Roman" w:hAnsi="Times New Roman"/>
          <w:sz w:val="13"/>
          <w:szCs w:val="13"/>
          <w:color w:val="auto"/>
        </w:rPr>
      </w:pPr>
    </w:p>
    <w:p>
      <w:pPr>
        <w:ind w:left="22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 December 29, 2028, (ii) a change of control of the Company, or (iii) a sale of substantially all of the Company’s assets.</w:t>
      </w:r>
    </w:p>
    <w:p>
      <w:pPr>
        <w:spacing w:after="0" w:line="161" w:lineRule="exact"/>
        <w:rPr>
          <w:sz w:val="20"/>
          <w:szCs w:val="20"/>
          <w:color w:val="auto"/>
        </w:rPr>
      </w:pPr>
    </w:p>
    <w:p>
      <w:pPr>
        <w:ind w:left="1500" w:right="479" w:firstLine="332"/>
        <w:spacing w:after="0" w:line="283" w:lineRule="auto"/>
        <w:rPr>
          <w:sz w:val="20"/>
          <w:szCs w:val="20"/>
          <w:color w:val="auto"/>
        </w:rPr>
      </w:pPr>
      <w:r>
        <w:rPr>
          <w:rFonts w:ascii="Times New Roman" w:cs="Times New Roman" w:eastAsia="Times New Roman" w:hAnsi="Times New Roman"/>
          <w:sz w:val="14"/>
          <w:szCs w:val="14"/>
          <w:color w:val="auto"/>
        </w:rPr>
        <w:t>The number of shares of common stock issued and outstanding as of March 31, 2025 also excludes the following transactions and approvals that occurred after March 31, 2025:</w:t>
      </w:r>
    </w:p>
    <w:p>
      <w:pPr>
        <w:spacing w:after="0" w:line="51" w:lineRule="exact"/>
        <w:rPr>
          <w:sz w:val="20"/>
          <w:szCs w:val="20"/>
          <w:color w:val="auto"/>
        </w:rPr>
      </w:pPr>
    </w:p>
    <w:p>
      <w:pPr>
        <w:ind w:left="2220" w:hanging="313"/>
        <w:spacing w:after="0"/>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29,024,768 shares of our common stock issued in our April 2025 RDO;</w:t>
      </w:r>
    </w:p>
    <w:p>
      <w:pPr>
        <w:spacing w:after="0" w:line="101" w:lineRule="exact"/>
        <w:rPr>
          <w:rFonts w:ascii="Times New Roman" w:cs="Times New Roman" w:eastAsia="Times New Roman" w:hAnsi="Times New Roman"/>
          <w:sz w:val="14"/>
          <w:szCs w:val="14"/>
          <w:color w:val="auto"/>
        </w:rPr>
      </w:pPr>
    </w:p>
    <w:p>
      <w:pPr>
        <w:ind w:left="2220" w:right="659" w:hanging="313"/>
        <w:spacing w:after="0" w:line="283"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29,024,768 shares of our common stock issuable upon the exercise of the warrants included in our April 2025 RDO at an exercise price of $3.101 per share;</w:t>
      </w:r>
    </w:p>
    <w:p>
      <w:pPr>
        <w:spacing w:after="0" w:line="51" w:lineRule="exact"/>
        <w:rPr>
          <w:rFonts w:ascii="Times New Roman" w:cs="Times New Roman" w:eastAsia="Times New Roman" w:hAnsi="Times New Roman"/>
          <w:sz w:val="14"/>
          <w:szCs w:val="14"/>
          <w:color w:val="auto"/>
        </w:rPr>
      </w:pPr>
    </w:p>
    <w:p>
      <w:pPr>
        <w:ind w:left="2220" w:right="539" w:hanging="313"/>
        <w:spacing w:after="0" w:line="283"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32,854,486 shares of our common stock issued under our “at-the-market” sales program with Jefferies LLC during the three months ended June 30, 2025;</w:t>
      </w:r>
    </w:p>
    <w:p>
      <w:pPr>
        <w:spacing w:after="0" w:line="51" w:lineRule="exact"/>
        <w:rPr>
          <w:rFonts w:ascii="Times New Roman" w:cs="Times New Roman" w:eastAsia="Times New Roman" w:hAnsi="Times New Roman"/>
          <w:sz w:val="14"/>
          <w:szCs w:val="14"/>
          <w:color w:val="auto"/>
        </w:rPr>
      </w:pPr>
    </w:p>
    <w:p>
      <w:pPr>
        <w:ind w:left="2220" w:right="499" w:hanging="313"/>
        <w:spacing w:after="0" w:line="261" w:lineRule="auto"/>
        <w:tabs>
          <w:tab w:leader="none" w:pos="22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reserved for issuance under the ImmunityBio, Inc. 2025 Equity Incentive Plan (the “2025 Plan”), which became effective upon approval by our stockholders on June 18, 2025 (at which time no further shares were available for future issuance under the 2015 Plan), and pursuant to which the number of shares of common stock initially reserved for issuance was 46,088,027 shares, plus the</w:t>
      </w:r>
    </w:p>
    <w:p>
      <w:pPr>
        <w:spacing w:after="0" w:line="2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6"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434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3380" cy="1434465"/>
                    </a:xfrm>
                    <a:prstGeom prst="rect">
                      <a:avLst/>
                    </a:prstGeom>
                    <a:noFill/>
                  </pic:spPr>
                </pic:pic>
              </a:graphicData>
            </a:graphic>
          </wp:anchor>
        </w:drawing>
      </w:r>
    </w:p>
    <w:p>
      <w:pPr>
        <w:spacing w:after="0" w:line="368" w:lineRule="exact"/>
        <w:rPr>
          <w:sz w:val="20"/>
          <w:szCs w:val="20"/>
          <w:color w:val="auto"/>
        </w:rPr>
      </w:pPr>
    </w:p>
    <w:p>
      <w:pPr>
        <w:ind w:left="2240" w:right="519"/>
        <w:spacing w:after="0" w:line="267" w:lineRule="auto"/>
        <w:rPr>
          <w:sz w:val="20"/>
          <w:szCs w:val="20"/>
          <w:color w:val="auto"/>
        </w:rPr>
      </w:pPr>
      <w:r>
        <w:rPr>
          <w:rFonts w:ascii="Times New Roman" w:cs="Times New Roman" w:eastAsia="Times New Roman" w:hAnsi="Times New Roman"/>
          <w:sz w:val="14"/>
          <w:szCs w:val="14"/>
          <w:color w:val="auto"/>
        </w:rPr>
        <w:t>number of shares subject to awards granted under the 2015 Plan that expire or otherwise terminate without having been exercised in full or are forfeited to or repurchased by us (provided that the maximum number of shares that could be added to the 2025 Plan pursuant to awards under the 2015 Plan is 32,359,674 shares); and</w:t>
      </w:r>
    </w:p>
    <w:p>
      <w:pPr>
        <w:spacing w:after="0" w:line="62" w:lineRule="exact"/>
        <w:rPr>
          <w:sz w:val="20"/>
          <w:szCs w:val="20"/>
          <w:color w:val="auto"/>
        </w:rPr>
      </w:pPr>
    </w:p>
    <w:p>
      <w:pPr>
        <w:ind w:left="2220" w:right="679" w:hanging="313"/>
        <w:spacing w:after="0" w:line="283" w:lineRule="auto"/>
        <w:tabs>
          <w:tab w:leader="none" w:pos="2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issuable upon exercise of option to purchase common stock or vesting of RSUs that were granted subsequent to March 31, 2025.</w:t>
      </w:r>
    </w:p>
    <w:p>
      <w:pPr>
        <w:spacing w:after="0" w:line="12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color w:val="auto"/>
        </w:rPr>
        <w:t>In addition, unless we specifically state otherwise, all information in this prospectus supplement assumes:</w:t>
      </w:r>
    </w:p>
    <w:p>
      <w:pPr>
        <w:spacing w:after="0" w:line="102" w:lineRule="exact"/>
        <w:rPr>
          <w:sz w:val="20"/>
          <w:szCs w:val="20"/>
          <w:color w:val="auto"/>
        </w:rPr>
      </w:pPr>
    </w:p>
    <w:p>
      <w:pPr>
        <w:ind w:left="2220" w:hanging="313"/>
        <w:spacing w:after="0"/>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warrants offered and sold in this offering; and</w:t>
      </w:r>
    </w:p>
    <w:p>
      <w:pPr>
        <w:spacing w:after="0" w:line="101" w:lineRule="exact"/>
        <w:rPr>
          <w:rFonts w:ascii="Times New Roman" w:cs="Times New Roman" w:eastAsia="Times New Roman" w:hAnsi="Times New Roman"/>
          <w:sz w:val="14"/>
          <w:szCs w:val="14"/>
          <w:color w:val="auto"/>
        </w:rPr>
      </w:pPr>
    </w:p>
    <w:p>
      <w:pPr>
        <w:ind w:left="2220" w:right="659" w:hanging="313"/>
        <w:spacing w:after="0" w:line="283" w:lineRule="auto"/>
        <w:tabs>
          <w:tab w:leader="none" w:pos="22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outstanding stock options or warrants, or settlement of outstanding RSUs described above subsequent to March 31, 2025.</w:t>
      </w:r>
    </w:p>
    <w:p>
      <w:pPr>
        <w:spacing w:after="0" w:line="22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6"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360" w:right="239" w:firstLine="343"/>
        <w:spacing w:after="0" w:line="284" w:lineRule="auto"/>
        <w:rPr>
          <w:sz w:val="20"/>
          <w:szCs w:val="20"/>
          <w:color w:val="auto"/>
        </w:rPr>
      </w:pPr>
      <w:r>
        <w:rPr>
          <w:rFonts w:ascii="Times New Roman" w:cs="Times New Roman" w:eastAsia="Times New Roman" w:hAnsi="Times New Roman"/>
          <w:sz w:val="13"/>
          <w:szCs w:val="13"/>
          <w:i w:val="1"/>
          <w:iCs w:val="1"/>
          <w:color w:val="auto"/>
        </w:rPr>
        <w:t>Investing in our securities involves a high degree of risk. Before deciding whether to invest in our securities, you should consider carefully, among other matters, the risks and uncertainties described under the heading “</w:t>
      </w:r>
      <w:r>
        <w:rPr>
          <w:rFonts w:ascii="Times New Roman" w:cs="Times New Roman" w:eastAsia="Times New Roman" w:hAnsi="Times New Roman"/>
          <w:sz w:val="13"/>
          <w:szCs w:val="13"/>
          <w:i w:val="1"/>
          <w:iCs w:val="1"/>
          <w:u w:val="single" w:color="auto"/>
          <w:color w:val="0000EE"/>
        </w:rPr>
        <w:t>Risk Factors</w:t>
      </w:r>
      <w:r>
        <w:rPr>
          <w:rFonts w:ascii="Times New Roman" w:cs="Times New Roman" w:eastAsia="Times New Roman" w:hAnsi="Times New Roman"/>
          <w:sz w:val="13"/>
          <w:szCs w:val="13"/>
          <w:i w:val="1"/>
          <w:iCs w:val="1"/>
          <w:color w:val="auto"/>
        </w:rPr>
        <w:t>” on page 6 of the accompanying prospectus, and those discussed in our Quarterly Report on Form 10-Q for the three months ended March 31, 2025, filed with the SEC on May 12, 2025 under Part II, Item 1A. “Risk Factors,” which is incorporated herein by reference, and may be amended, updated, supplemented or superseded from time-to-time by annual, quarterly and other reports and documents that we file with the SEC in the future and any prospectus supplement related to a particular offering.</w:t>
      </w:r>
    </w:p>
    <w:p>
      <w:pPr>
        <w:spacing w:after="0" w:line="209"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The risks described in these documents are not the only ones we face. There may be other unknown or unpredictable economic, business, competitive, regulatory or other factors that could harm our future results. Additional risks not presently known to us or that we currently believe are immaterial may also significantly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harmed. This could cause the trading price of our securities to decline, resulting in a loss of all or part of your investment. Please also read carefully the section below titled “</w:t>
      </w:r>
      <w:r>
        <w:rPr>
          <w:rFonts w:ascii="Times New Roman" w:cs="Times New Roman" w:eastAsia="Times New Roman" w:hAnsi="Times New Roman"/>
          <w:sz w:val="14"/>
          <w:szCs w:val="14"/>
          <w:i w:val="1"/>
          <w:iCs w:val="1"/>
          <w:u w:val="single" w:color="auto"/>
          <w:color w:val="0000EE"/>
        </w:rPr>
        <w:t>Special Note Regarding Forward-Looking Statements</w:t>
      </w:r>
      <w:r>
        <w:rPr>
          <w:rFonts w:ascii="Times New Roman" w:cs="Times New Roman" w:eastAsia="Times New Roman" w:hAnsi="Times New Roman"/>
          <w:sz w:val="14"/>
          <w:szCs w:val="14"/>
          <w:i w:val="1"/>
          <w:iCs w:val="1"/>
          <w:color w:val="auto"/>
        </w:rPr>
        <w:t>.”</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You will experience immediate and substantial dilution as a result of this offering and may experience additional dilution in the future.</w:t>
      </w:r>
    </w:p>
    <w:p>
      <w:pPr>
        <w:spacing w:after="0" w:line="93"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You will incur immediate and substantial dilution as a result of this offering. See “</w:t>
      </w:r>
      <w:r>
        <w:rPr>
          <w:rFonts w:ascii="Times New Roman" w:cs="Times New Roman" w:eastAsia="Times New Roman" w:hAnsi="Times New Roman"/>
          <w:sz w:val="14"/>
          <w:szCs w:val="14"/>
          <w:u w:val="single" w:color="auto"/>
          <w:color w:val="0000EE"/>
        </w:rPr>
        <w:t>Dilution</w:t>
      </w:r>
      <w:r>
        <w:rPr>
          <w:rFonts w:ascii="Times New Roman" w:cs="Times New Roman" w:eastAsia="Times New Roman" w:hAnsi="Times New Roman"/>
          <w:sz w:val="14"/>
          <w:szCs w:val="14"/>
          <w:color w:val="auto"/>
        </w:rPr>
        <w:t>.” In addition, in the past, we issued options and warrants to acquire shares of common stock. To the extent these securities are ultimately exercised, you will sustain additional future dilution. In addition, exercise of the warrants that we issued in our past private placement transactions and the warrants to be issued in this offering, or exercise of other outstanding options, warrants, or other convertible securities, could result in there being a significant number of additional shares outstanding and dilution to our stockholders.</w:t>
      </w:r>
    </w:p>
    <w:p>
      <w:pPr>
        <w:spacing w:after="0" w:line="226" w:lineRule="exact"/>
        <w:rPr>
          <w:sz w:val="20"/>
          <w:szCs w:val="20"/>
          <w:color w:val="auto"/>
        </w:rPr>
      </w:pPr>
    </w:p>
    <w:p>
      <w:pPr>
        <w:ind w:left="1360" w:right="4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Because we will have broad discretion and flexibility in how the net proceeds from this offering are used, we may use the net proceeds in ways in which you disagree.</w:t>
      </w:r>
    </w:p>
    <w:p>
      <w:pPr>
        <w:spacing w:after="0" w:line="39"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Our management will have broad discretion as to the application of the net proceeds of this offering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increase the market price of our common stock. The actual amounts and timing of our expenditures are within management’s discretion and may vary significantly depending on numerous factors such as the progress of our commercialization and development efforts and any unforeseen cash needs. Because we have broad discretion in determining how the proceeds of this offering will be used, you will be relying on the judgment of our management with regard to the use of these net proceeds, and you will not have the opportunity, as part of your investment decision, to assess whether the proceeds are being used appropriately.</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has been and may continue to be volatile, and investors may have difficulty selling their shares.</w:t>
      </w:r>
    </w:p>
    <w:p>
      <w:pPr>
        <w:spacing w:after="0" w:line="9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Although our common stock is listed on the Nasdaq Global Select Market, the market for our shares has demonstrated varying levels of trading activity. You may not be able to sell your shares quickly or at the market price if trading in shares of our common stock is not active. Further, an inactive market may also impair our ability to raise capital by selling shares of our common stock and may impair our ability to enter into strategic partnerships or acquire companies or products by using our shares of common stock as consideration.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6"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 stock market in general and the market for biopharmaceutical companies in particular have experienced extreme volatility that has often been unrelated to the operating performance of particular companies. The market price of our common stock has been and may continue to be highly volatile and could be subject to wide fluctuations in response to various factors, some of which are beyond our control, including:</w:t>
      </w:r>
    </w:p>
    <w:p>
      <w:pPr>
        <w:spacing w:after="0" w:line="62" w:lineRule="exact"/>
        <w:rPr>
          <w:sz w:val="20"/>
          <w:szCs w:val="20"/>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our approved product or our failure to advance our other product candidates;</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enrollment or results of the planned clinical trials of our non-FDA-approved product candidates or any future clinical trials we may conduct, or changes in the development status of such product candidates;</w:t>
      </w:r>
    </w:p>
    <w:p>
      <w:pPr>
        <w:spacing w:after="0" w:line="51" w:lineRule="exact"/>
        <w:rPr>
          <w:rFonts w:ascii="Times New Roman" w:cs="Times New Roman" w:eastAsia="Times New Roman" w:hAnsi="Times New Roman"/>
          <w:sz w:val="14"/>
          <w:szCs w:val="14"/>
          <w:color w:val="auto"/>
        </w:rPr>
      </w:pPr>
    </w:p>
    <w:p>
      <w:pPr>
        <w:jc w:val="both"/>
        <w:ind w:left="2120" w:right="479" w:hanging="345"/>
        <w:spacing w:after="0" w:line="267"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our regulatory submissions for our approved product or our product candidates and any adverse development or perceived adverse development with respect to the applicable regulatory authority’s review of such submissions, including without limitation the FDA’s issuance of a CRL or a “refusal to file” letter or a request for additional information;</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results or delays in clinical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decision to initiate a clinical trial, not to initiate a clinical trial or to terminate an existing clinical trial;</w:t>
      </w:r>
    </w:p>
    <w:p>
      <w:pPr>
        <w:spacing w:after="0" w:line="10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regulatory decisions, including failure to receive regulatory approval of our approved product in new markets or of our other product candidates;</w:t>
      </w:r>
    </w:p>
    <w:p>
      <w:pPr>
        <w:spacing w:after="0" w:line="5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approved product or other product candidates, including but not limited to clinical trial requirements for approvals;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or departures of key scientific or management personnel;</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serious safety concerns related to the use of our approved product or other product candidates;</w:t>
      </w:r>
    </w:p>
    <w:p>
      <w:pPr>
        <w:spacing w:after="0" w:line="101" w:lineRule="exact"/>
        <w:rPr>
          <w:rFonts w:ascii="Times New Roman" w:cs="Times New Roman" w:eastAsia="Times New Roman" w:hAnsi="Times New Roman"/>
          <w:sz w:val="14"/>
          <w:szCs w:val="14"/>
          <w:color w:val="auto"/>
        </w:rPr>
      </w:pPr>
    </w:p>
    <w:p>
      <w:pPr>
        <w:ind w:left="2120" w:right="1059" w:hanging="345"/>
        <w:spacing w:after="0" w:line="283"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contracts, acquisitions, strategic partnerships, joint ventures or capital commitments;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our quarterly operating results, including those driven by liability accounting associated with embedded derivatives;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liquidity position, RIPA liability covenants and the amount and nature of any debt we may incur;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that our revenue or income are below or that costs or losses are greater than analysts’ expectations;</w:t>
      </w:r>
    </w:p>
    <w:p>
      <w:pPr>
        <w:spacing w:after="0" w:line="10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 or immunotherapy in particular, or positive or negative recommendations or withdrawal of research coverage by securities analysts;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of similar companies;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large blocks of our common stock;</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stock market prices and volumes;</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technologies;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10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perception of our clinical trial results by retail investors, which investors may be subject to the influence of information provided by third party investor websites and independent authors distributing information on the internet;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6"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slowdowns;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government-imposed lockdowns, supply chain disruptions, and adverse economic effects from a potential pandemic, epidemic, or outbreak of an infectious disease, in the U.S. and abroad;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geopolitical tensions and war, including the war in Ukraine and ongoing conflicts in Gaza and Yemen;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coordinated actions by independent third-party actors to affect the price of certain stocks, coordinated via the internet and otherwise;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described in this “Risk Factors” section.</w:t>
      </w:r>
    </w:p>
    <w:p>
      <w:pPr>
        <w:spacing w:after="0" w:line="175" w:lineRule="exact"/>
        <w:rPr>
          <w:sz w:val="20"/>
          <w:szCs w:val="20"/>
          <w:color w:val="auto"/>
        </w:rPr>
      </w:pPr>
    </w:p>
    <w:p>
      <w:pPr>
        <w:jc w:val="both"/>
        <w:ind w:left="1360" w:right="519" w:firstLine="343"/>
        <w:spacing w:after="0" w:line="267" w:lineRule="auto"/>
        <w:rPr>
          <w:sz w:val="20"/>
          <w:szCs w:val="20"/>
          <w:color w:val="auto"/>
        </w:rPr>
      </w:pPr>
      <w:r>
        <w:rPr>
          <w:rFonts w:ascii="Times New Roman" w:cs="Times New Roman" w:eastAsia="Times New Roman" w:hAnsi="Times New Roman"/>
          <w:sz w:val="14"/>
          <w:szCs w:val="14"/>
          <w:color w:val="auto"/>
        </w:rPr>
        <w:t>In the past, securities class action litigation has often been instituted against companies following periods of volatility in the market price of a company’s securities. This type of litigation could result in substantial costs and a diversion of management’s attention and resources, which would harm our business, operating results, or financial condition.</w:t>
      </w:r>
    </w:p>
    <w:p>
      <w:pPr>
        <w:spacing w:after="0" w:line="218"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Future sales and issuances of our common stock or rights to purchase common stock, including pursuant to our equity incentive plan, could result in additional dilution of the percentage ownership of our stockholders and could cause our stock price to fall.</w:t>
      </w:r>
    </w:p>
    <w:p>
      <w:pPr>
        <w:spacing w:after="0" w:line="39"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 If our stockholders sell, or the market perceives that our stockholders intend to sell substantial amounts of our common stock in the public market, including shares obtained from the conversion or exchange of our convertible promissory note, exercise of our warrants, satisfaction of our CVRs, or the exercise or settlement of our equity incentive awards, the market price of our common stock could decline significantly. In addition, our Founder, Executive Chairman and Global Chief Scientific and Medical Officer, Dr. Soon-Shiong, and his affiliates owned approximately 76.1% of our common stock outstanding as of March 31, 2025. Sales of stock by Dr. Soon-Shiong and his affiliates could have an adverse effect on the trading price of our common stock.</w:t>
      </w:r>
    </w:p>
    <w:p>
      <w:pPr>
        <w:spacing w:after="0" w:line="143" w:lineRule="exact"/>
        <w:rPr>
          <w:sz w:val="20"/>
          <w:szCs w:val="20"/>
          <w:color w:val="auto"/>
        </w:rPr>
      </w:pPr>
    </w:p>
    <w:p>
      <w:pPr>
        <w:ind w:left="1360" w:right="339" w:firstLine="343"/>
        <w:spacing w:after="0" w:line="257" w:lineRule="auto"/>
        <w:rPr>
          <w:sz w:val="20"/>
          <w:szCs w:val="20"/>
          <w:color w:val="auto"/>
        </w:rPr>
      </w:pPr>
      <w:r>
        <w:rPr>
          <w:rFonts w:ascii="Times New Roman" w:cs="Times New Roman" w:eastAsia="Times New Roman" w:hAnsi="Times New Roman"/>
          <w:sz w:val="14"/>
          <w:szCs w:val="14"/>
          <w:color w:val="auto"/>
        </w:rPr>
        <w:t>Pursuant to the 2025 Plan, which was approved by our stockholders on June 18, 2025, our board of directors or its duly authorized committee is authorized to grant equity awards to our employees, directors, and consultants. Initially, the aggregate number of shares of our common stock that was able to be issued pursuant to equity awards under the 2025 Plan was 46,088,027 shares, plus the number of shares subject to awards granted under the 2015 Plan that expire or otherwise terminate without having been exercised in full or are forfeited to or repurchased by us (provided that the maximum number of shares that could (and can) be added to the 2025 Plan pursuant to awards under the 2015 Plan is 32,359,674 shares). As a result of the 2025 Plan, our stockholders may experience additional dilution.</w:t>
      </w:r>
    </w:p>
    <w:p>
      <w:pPr>
        <w:spacing w:after="0" w:line="143" w:lineRule="exact"/>
        <w:rPr>
          <w:sz w:val="20"/>
          <w:szCs w:val="20"/>
          <w:color w:val="auto"/>
        </w:rPr>
      </w:pPr>
    </w:p>
    <w:p>
      <w:pPr>
        <w:jc w:val="both"/>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Certain holders of our common stock are entitled to certain rights with respect to the registration of their shares under the Securities Act of 1933, as amended (the “Securities Act”), including the shares purchased by affiliates of Oberland in connection with our entry into the RIPA. Registration of these shares under the Securities Act would result in the shares becoming freely tradable without restriction under the Securities Act, except for shares held by our affiliates as defined in Rule 144 under the Securities Act. Any sales of securities by these stockholders could have an adverse effect on the market price of our common stock.</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addition, we expect that additional capital may be needed in the future to continue our planned operations, including our commercialization efforts, conducting clinical trials, regulatory approval efforts, expanded research and development activities, and costs associated with operating as a public company. To raise capital, we may sell common stock, preferred stock, convertible securities, or other equity securities (including warrants) in one or more transactions at prices and in a manner we determine from time to time. If we sell common stock, preferred stock, convertible securities, or other equity securities, existing investors may be materially diluted, and new investors could gain rights, preferences, and privileges senior to the holders of our common stock. The issuance of additional shares of common stock or warrants to purchase common stock,</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6"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619"/>
        <w:spacing w:after="0" w:line="283" w:lineRule="auto"/>
        <w:rPr>
          <w:sz w:val="20"/>
          <w:szCs w:val="20"/>
          <w:color w:val="auto"/>
        </w:rPr>
      </w:pPr>
      <w:r>
        <w:rPr>
          <w:rFonts w:ascii="Times New Roman" w:cs="Times New Roman" w:eastAsia="Times New Roman" w:hAnsi="Times New Roman"/>
          <w:sz w:val="14"/>
          <w:szCs w:val="14"/>
          <w:color w:val="auto"/>
        </w:rPr>
        <w:t>perception that such issuances may occur, or the exercise of outstanding warrants or other equity securities will have a material dilutive impact on existing stockholders and could have a material negative effect on the market price of our common stock.</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There is no public market for the warrants to purchase common stock being offered in this offering.</w:t>
      </w:r>
    </w:p>
    <w:p>
      <w:pPr>
        <w:spacing w:after="0" w:line="93"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There is no established public trading market for the warrants being offered through this prospectus supplement, and we do not expect a market to develop. In addition, we do not intend to apply for listing of the warrants on any securities exchange. Without an active market, the liquidity of the warrants will be limited.</w:t>
      </w:r>
    </w:p>
    <w:p>
      <w:pPr>
        <w:spacing w:after="0" w:line="218" w:lineRule="exact"/>
        <w:rPr>
          <w:sz w:val="20"/>
          <w:szCs w:val="20"/>
          <w:color w:val="auto"/>
        </w:rPr>
      </w:pPr>
    </w:p>
    <w:p>
      <w:pPr>
        <w:ind w:left="1360" w:right="3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Holders of our warrants will have no rights as common stockholders until such holders exercise their warrants and acquire our common stock and will only have the rights provided in the warrants.</w:t>
      </w:r>
    </w:p>
    <w:p>
      <w:pPr>
        <w:spacing w:after="0" w:line="39" w:lineRule="exact"/>
        <w:rPr>
          <w:sz w:val="20"/>
          <w:szCs w:val="20"/>
          <w:color w:val="auto"/>
        </w:rPr>
      </w:pPr>
    </w:p>
    <w:p>
      <w:pPr>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Until holders of the warrants acquire shares of our common stock upon exercise of the warrants, holders of the warrants will have no rights with respect to the shares of our common stock underlying such warrants, such as voting rights or right to receive dividends, and will only have the rights provided by the terms of the warrants. Upon exercise of the warrants, the holders thereof will be entitled to exercise the rights of a common stockholder only as to matters for which the record date occurs after the exercise date.</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The warrants are speculative in nature.</w:t>
      </w:r>
    </w:p>
    <w:p>
      <w:pPr>
        <w:spacing w:after="0" w:line="93" w:lineRule="exact"/>
        <w:rPr>
          <w:sz w:val="20"/>
          <w:szCs w:val="20"/>
          <w:color w:val="auto"/>
        </w:rPr>
      </w:pPr>
    </w:p>
    <w:p>
      <w:pPr>
        <w:ind w:left="1360" w:right="999" w:firstLine="343"/>
        <w:spacing w:after="0" w:line="283" w:lineRule="auto"/>
        <w:rPr>
          <w:sz w:val="20"/>
          <w:szCs w:val="20"/>
          <w:color w:val="auto"/>
        </w:rPr>
      </w:pPr>
      <w:r>
        <w:rPr>
          <w:rFonts w:ascii="Times New Roman" w:cs="Times New Roman" w:eastAsia="Times New Roman" w:hAnsi="Times New Roman"/>
          <w:sz w:val="14"/>
          <w:szCs w:val="14"/>
          <w:color w:val="auto"/>
        </w:rPr>
        <w:t>There can be no assurance that the market price of our common stock will ever equal or exceed the exercise price of the warrants and consequently, there is no certainty that it will ever be profitable for holders of the warrants to exercise the warrants.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6"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5"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i w:val="1"/>
          <w:iCs w:val="1"/>
          <w:color w:val="auto"/>
        </w:rPr>
        <w:t>This prospectus supplement, the accompanying prospectus and the information and documents we incorporate herein and therein by reference, and any free writing prospectus that we have authorized for use in connection with this offering contain, and we may from time to time make, written or oral “forward-looking statements” within the meaning of Section 27A of the Securities Act and Section 21E of the Securities Exchange Act of 1934, as amended (the “Exchange Act”) that are based on our management’s beliefs and assumptions and on information currently available to our management. All statements other than statements of historical fact are, or may be deemed to be, forward-looking statements. Although we believe that we have a reasonable basis for each forward-looking statement contained and incorporated by reference included in this prospectus supplement and the accompanying prospectus, we caution you that these statements are based on our projections of the future that are subject to known and unknown risks, including business, regulatory, economic and competitive risks, uncertainties, contingencies, assumptions and other factors that may cause our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those discussed elsewhere in this prospectus supplement, the risks discussed in our other filings with the SEC and as set forth below. Forward-looking statements include, but are not limited to:</w:t>
      </w:r>
    </w:p>
    <w:p>
      <w:pPr>
        <w:spacing w:after="0" w:line="79" w:lineRule="exact"/>
        <w:rPr>
          <w:sz w:val="20"/>
          <w:szCs w:val="20"/>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commercialize ANKTIVA or any future approved products in the United States or internationally;</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incremental approvals for ANKTIVA for new indications, including, without limitation, in BCG-unresponsive NMIBC papillary, from the FDA or clearances or approvals from international regulatory agencies for the treatment of patients with NMIBC or other indications;</w:t>
      </w:r>
    </w:p>
    <w:p>
      <w:pPr>
        <w:spacing w:after="0" w:line="6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future uses and applications of ANKTIVA, including as a lymphopenia rescue agent, and use in cancer vaccines and across multiple tumor types;</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next-generation therapies and vaccines that complement, harness, and amplify the immune system to defeat cancers and infectious diseases;</w:t>
      </w:r>
    </w:p>
    <w:p>
      <w:pPr>
        <w:spacing w:after="0" w:line="5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to fund our operations and complete the commercialization of our approved product and the development and commercialization of our other product candidates;</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our payment obligations under the RIPA and to service the interest on our related-party promissory note and repay such note, to the extent required;</w:t>
      </w:r>
    </w:p>
    <w:p>
      <w:pPr>
        <w:spacing w:after="0" w:line="5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terms, conditions, covenants, restrictions, and obligations set forth in the RIPA and related transaction documents;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potential benefits of our strategy and technology;</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operating results and make period-to-period comparisons predictive of future performance due to fluctuations in warrant and derivative values;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operation and effectiveness of our product candidates and related benefits;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multiple modes to induce cell death;</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benefits and perceived limitations of competing approaches, and the future of competing technologies and our industry;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our strategic vision and planned product candidate pipeline;</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success, cost and timing of our product candidate development activities and current and future clinical trials and studies, including study design and the enrollment of patients;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development and commercialization of our other product candidates;</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6"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7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NCCN will review and/or approve our submission for BCG-unresponsive NMIBC papillary on the anticipated timeline or at all;</w:t>
      </w:r>
    </w:p>
    <w:p>
      <w:pPr>
        <w:spacing w:after="0" w:line="51" w:lineRule="exact"/>
        <w:rPr>
          <w:rFonts w:ascii="Times New Roman" w:cs="Times New Roman" w:eastAsia="Times New Roman" w:hAnsi="Times New Roman"/>
          <w:sz w:val="14"/>
          <w:szCs w:val="14"/>
          <w:color w:val="auto"/>
        </w:rPr>
      </w:pPr>
    </w:p>
    <w:p>
      <w:pPr>
        <w:ind w:left="2120" w:right="679" w:hanging="345"/>
        <w:spacing w:after="0" w:line="222"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utilize the Phase 1/2 aNK and 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clinical trials data to support the development of our product candidates, including our taNK, t-haNK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MSC, and M-ceNK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product candidates;</w:t>
      </w:r>
    </w:p>
    <w:p>
      <w:pPr>
        <w:ind w:left="2120" w:right="239" w:hanging="345"/>
        <w:spacing w:after="0" w:line="259"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development, clinical trials timeline, application, commercialization, marketing, prospects and use generally of our product candidates, including hAd5 constructs, and PD-L1 t-haNK and M-ceNK;</w:t>
      </w:r>
    </w:p>
    <w:p>
      <w:pPr>
        <w:spacing w:after="0" w:line="67" w:lineRule="exact"/>
        <w:rPr>
          <w:rFonts w:ascii="Times New Roman" w:cs="Times New Roman" w:eastAsia="Times New Roman" w:hAnsi="Times New Roman"/>
          <w:sz w:val="14"/>
          <w:szCs w:val="14"/>
          <w:color w:val="auto"/>
        </w:rPr>
      </w:pPr>
    </w:p>
    <w:p>
      <w:pPr>
        <w:ind w:left="2120" w:right="239" w:hanging="345"/>
        <w:spacing w:after="0" w:line="258"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or other actions and related regulatory authority responses in the U.S. and jurisdictions outside of the U.S., including any planned meetings, investigational new drug (IND), Biologics License Application (BLA), New Drug Application (NDA) or Marketing Authorization Application (MAA) or similar filings or pursuit of accelerated regulatory approval pathways or orphan drug status and Breakthrough Therapy, Fast Track or Regenerative Medicine Advanced Therapy (RMAT) designations and any designation’s eventual impact on BLA submission, filing or approval timing and or approval probability;</w:t>
      </w:r>
    </w:p>
    <w:p>
      <w:pPr>
        <w:spacing w:after="0" w:line="70"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timely address the May 2025 RTF letter received from the FDA for the sBLA for the BCG-unresponsive NMIBC papillary indication;</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an integrated discovery ecosystem and the operation of that planned ecosystem, including being able to regularly add neoepitopes and subsequently formulate new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strategic collaborators to share our vision and effectively work with us to achieve our goals;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various third parties to engage in research and development activities involving our product candidates, and our ability to leverage those activities;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additional third-party collaborators;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ease of administration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patient compatibility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potential markets for our product candidates and our ability to serve those markets;</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enrollment and submission of our clinical trials, and protocols and timing of data read-outs related to such trials;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a cytokine fusion protein, a DNA or recombinant protein vaccine, or a cell therapy;</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potential manufacturing and distribution benefits associated with our product candidates, and our third-party CMOs’ abilities to follow cGMP standards to scale up the production of our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regarding our manufacturing facilities and our belief that our manufacturing is capable of being conducted in house;</w:t>
      </w:r>
    </w:p>
    <w:p>
      <w:pPr>
        <w:spacing w:after="0" w:line="10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in the potential of our cytokine fusion proteins, DNA or recombinant protein vaccines, or cell therapies, and the fact that our business is based upon the success individually and collectively of these platforms;</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regarding the magnitude or duration for additional clinical testing of our cytokine fusion proteins, DNA or recombinant protein vaccines, or cell therapies, along with other product candidate families;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6"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3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we successfully develop and commercialize specific product candidates, our ability to develop and commercialize our other product candidates either alone or in combination with other therapeutic agents;</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and maintain regulatory approval of our approved product and to obtain and maintain regulatory approval of any of our other product candidates, and any related restrictions, limitations and/or warnings in the label of any approved product candidate;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any approved products;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personnel;</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our future revenue, as well as our future operating expenses, capital requirements and needs for additional financing;</w:t>
      </w:r>
    </w:p>
    <w:p>
      <w:pPr>
        <w:spacing w:after="0" w:line="5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patent protection and other proprietary rights for our approved product and our other product candidates and technologies;</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licenses granted to us and our ability to license additional intellectual property relating to our product, product candidates and technology;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results of market access initiatives and coverage under medical reimbursement policies;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shelf life of ANKTIVA drug substance and drug product and availability of product supply;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global expansion efforts;</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 shutdown or budget disruption, which could adversely affect the U.S. and global economies, and materially and adversely affect our business and/or our future BLA submissions;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us, if any, if the CVRs held by former Altor stockholders become due and payable in accordance with their terms;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U.S. and foreign countries;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use of proceeds from this offering.</w:t>
      </w:r>
    </w:p>
    <w:p>
      <w:pPr>
        <w:spacing w:after="0" w:line="173" w:lineRule="exact"/>
        <w:rPr>
          <w:sz w:val="20"/>
          <w:szCs w:val="20"/>
          <w:color w:val="auto"/>
        </w:rPr>
      </w:pPr>
    </w:p>
    <w:p>
      <w:pPr>
        <w:ind w:left="1360" w:right="33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Forward-looking statements include statements that are not historical facts and can be identified by terms such as “anticipates,” “believes,” “continues,” “goal,” “could,” “estimates,” “scheduled,” “expects,” “intends,” “may,” “plans,” “potential,” “predicts,” “indicate,” “projects,” “seeks,” “should,” “will,” “would,” “strategy,” and variations of such words or similar expressions and the negatives of those terms. In addition, statements that “we believe” and similar statements reflect our beliefs and opinions on the relevant subject.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prospectus supplement,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4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II, Item 1A. “Risk Factors” of our Quarterly Report on Form 10-Q for the three months ended March 31, 2025, filed with the SEC on May 12, 2025. Given these uncertainties, you should not place undue reliance on these forward-looking statements as a representation or warranty by us or any other person that we will achieve our objectives and plans in any specified time frame. Also, forward-looking statements represent our management’s beliefs and assumptions only as of the date of this prospectus supplement.</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6"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53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1" w:lineRule="exact"/>
        <w:rPr>
          <w:sz w:val="20"/>
          <w:szCs w:val="20"/>
          <w:color w:val="auto"/>
        </w:rPr>
      </w:pPr>
    </w:p>
    <w:p>
      <w:pPr>
        <w:jc w:val="both"/>
        <w:ind w:left="1360" w:right="399" w:firstLine="343"/>
        <w:spacing w:after="0" w:line="222" w:lineRule="auto"/>
        <w:rPr>
          <w:sz w:val="20"/>
          <w:szCs w:val="20"/>
          <w:color w:val="auto"/>
        </w:rPr>
      </w:pPr>
      <w:r>
        <w:rPr>
          <w:rFonts w:ascii="Times New Roman" w:cs="Times New Roman" w:eastAsia="Times New Roman" w:hAnsi="Times New Roman"/>
          <w:sz w:val="14"/>
          <w:szCs w:val="14"/>
          <w:i w:val="1"/>
          <w:iCs w:val="1"/>
          <w:color w:val="auto"/>
        </w:rPr>
        <w:t>ImmunityBio, ImmunityBio Care, ANKTIVA, ThAnktiva, haNK, taNK, ceNK, NK-92, Nant Cancer Vaccine, CancerBioShield</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4"/>
          <w:szCs w:val="14"/>
          <w:i w:val="1"/>
          <w:iCs w:val="1"/>
          <w:color w:val="auto"/>
        </w:rPr>
        <w:t xml:space="preserve"> Platform, NANT 001, NANT XL, NANT 001 and Design, QUILT, Outsmart Your Disease, Smart Therapies for Difficult Diseases, NantKwest, VivaBioCell, and Infacell are trademarks or registered trademarks of ImmunityBio, Inc., its subsidiaries and affiliates.</w:t>
      </w:r>
    </w:p>
    <w:p>
      <w:pPr>
        <w:spacing w:after="0" w:line="152"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ANKTIVA has been approved by the U.S. FDA and the MHRA for use with BCG for the treatment of adult patients with BCG-unresponsive NMIBC with CIS with or without papillary tumors. Other than as set forth in such specific approved label, our product candidates, including N-803, are investigational agents that are restricted by federal law to investigational use only, and safety and efficacy have not been established by any agency, including the FDA and MHRA.</w:t>
      </w:r>
    </w:p>
    <w:p>
      <w:pPr>
        <w:spacing w:after="0" w:line="138" w:lineRule="exact"/>
        <w:rPr>
          <w:sz w:val="20"/>
          <w:szCs w:val="20"/>
          <w:color w:val="auto"/>
        </w:rPr>
      </w:pPr>
    </w:p>
    <w:p>
      <w:pPr>
        <w:jc w:val="both"/>
        <w:ind w:left="1360" w:right="239" w:firstLine="343"/>
        <w:spacing w:after="0" w:line="222" w:lineRule="auto"/>
        <w:rPr>
          <w:sz w:val="20"/>
          <w:szCs w:val="20"/>
          <w:color w:val="auto"/>
        </w:rPr>
      </w:pPr>
      <w:r>
        <w:rPr>
          <w:rFonts w:ascii="Times New Roman" w:cs="Times New Roman" w:eastAsia="Times New Roman" w:hAnsi="Times New Roman"/>
          <w:sz w:val="14"/>
          <w:szCs w:val="14"/>
          <w:i w:val="1"/>
          <w:iCs w:val="1"/>
          <w:color w:val="auto"/>
        </w:rPr>
        <w:t xml:space="preserve">Solely for convenience, trademarks and trade names referred to in this prospectus supplement, including logos, artwork, and other visual displays, may appear without the </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4"/>
          <w:szCs w:val="14"/>
          <w:i w:val="1"/>
          <w:iCs w:val="1"/>
          <w:color w:val="auto"/>
        </w:rPr>
        <w:t xml:space="preserve"> or TM symbols, but such references are not intended to indicate, in any way, that we will not assert, to the fullest extent under applicable law, our rights or the rights of the applicable licensor to these trademarks and trade names.</w:t>
      </w:r>
    </w:p>
    <w:p>
      <w:pPr>
        <w:spacing w:after="0" w:line="10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6"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We estimate that the net proceeds from the offering will be approximately $75.3 million, after giving effect to expected expense reimbursements and deducting the placement agent fees for this offering and estimated offering expenses payable by us.</w:t>
      </w:r>
    </w:p>
    <w:p>
      <w:pPr>
        <w:spacing w:after="0" w:line="125"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together with other available funds, to progress our continued commercialization of ANKTIVA, to fund our clinical trial programs, toward further research and development, for working capital needs, and for other general corporate purposes. We may also use a portion of the net proceeds to license intellectual property or to make acquisitions or investments. 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product candidate development, the status of and results from clinical trials, as well as any collaborations that we may enter into with third parties for our product candidates, and any unforeseen cash needs. As of the date of this prospectus supplement, we cannot specify with certainty all of the particular uses for the net proceeds to us from this offering. As a result, our management will retain broad discretion over the timing and allocation of our net proceeds from this offering, and investors will be relying on the judgment of our management regarding the application of our net proceeds from this offering. The timing and amount of our actual expenditures will be based on many factors, including commercialization costs of our approved product, competitive and technological developments; the progress of our clinical trials; regulatory approval of our product candidates; costs to commercialize our product candidates if approved; the anticipated growth of our business; and a number of other factors, including those listed in the section titled “</w:t>
      </w:r>
      <w:r>
        <w:rPr>
          <w:rFonts w:ascii="Times New Roman" w:cs="Times New Roman" w:eastAsia="Times New Roman" w:hAnsi="Times New Roman"/>
          <w:sz w:val="14"/>
          <w:szCs w:val="14"/>
          <w:u w:val="single" w:color="auto"/>
          <w:color w:val="0000EE"/>
        </w:rPr>
        <w:t>Risk Factors</w:t>
      </w:r>
      <w:r>
        <w:rPr>
          <w:rFonts w:ascii="Times New Roman" w:cs="Times New Roman" w:eastAsia="Times New Roman" w:hAnsi="Times New Roman"/>
          <w:sz w:val="14"/>
          <w:szCs w:val="14"/>
          <w:color w:val="auto"/>
        </w:rPr>
        <w:t>” and in the documents incorporated by reference herein. Pending these uses, we plan to invest these net proceeds primarily in U.S. government-sponsored securities. The goal with respect to the investment of these net proceeds is capital preservation and liquidity so that such funds are readily available to fund our operations.</w:t>
      </w:r>
    </w:p>
    <w:p>
      <w:pPr>
        <w:spacing w:after="0" w:line="146"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We anticipate that we will need to raise substantial additional capital to continue to fund the clinical development of our product candidates and commercialize approved products. If needed, we expect to seek to raise additional capital through additional public or private financings which may be in the form of equity, debt, warrants or convertible securities.</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10159"/>
          </w:cols>
          <w:pgMar w:left="300" w:top="386"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7" w:lineRule="exact"/>
        <w:rPr>
          <w:sz w:val="20"/>
          <w:szCs w:val="20"/>
          <w:color w:val="auto"/>
        </w:rPr>
      </w:pPr>
    </w:p>
    <w:p>
      <w:pPr>
        <w:ind w:left="1360" w:right="839" w:firstLine="343"/>
        <w:spacing w:after="0" w:line="283" w:lineRule="auto"/>
        <w:rPr>
          <w:sz w:val="20"/>
          <w:szCs w:val="20"/>
          <w:color w:val="auto"/>
        </w:rPr>
      </w:pPr>
      <w:r>
        <w:rPr>
          <w:rFonts w:ascii="Times New Roman" w:cs="Times New Roman" w:eastAsia="Times New Roman" w:hAnsi="Times New Roman"/>
          <w:sz w:val="14"/>
          <w:szCs w:val="14"/>
          <w:color w:val="auto"/>
        </w:rPr>
        <w:t>If you invest in our securities, your interest will be diluted immediately to the extent of the difference between the offering price and the as-adjusted net tangible book value per share of our common stock after this offering.</w:t>
      </w:r>
    </w:p>
    <w:p>
      <w:pPr>
        <w:spacing w:after="0" w:line="125" w:lineRule="exact"/>
        <w:rPr>
          <w:sz w:val="20"/>
          <w:szCs w:val="20"/>
          <w:color w:val="auto"/>
        </w:rPr>
      </w:pPr>
    </w:p>
    <w:p>
      <w:pPr>
        <w:ind w:left="1360" w:right="399" w:firstLine="343"/>
        <w:spacing w:after="0" w:line="283" w:lineRule="auto"/>
        <w:rPr>
          <w:sz w:val="20"/>
          <w:szCs w:val="20"/>
          <w:color w:val="auto"/>
        </w:rPr>
      </w:pPr>
      <w:r>
        <w:rPr>
          <w:rFonts w:ascii="Times New Roman" w:cs="Times New Roman" w:eastAsia="Times New Roman" w:hAnsi="Times New Roman"/>
          <w:sz w:val="14"/>
          <w:szCs w:val="14"/>
          <w:color w:val="auto"/>
        </w:rPr>
        <w:t>Our net tangible book value as of March 31, 2025 was approximately $(605.9) million or $(0.71) per share of common stock. Net tangible book value per share represents total tangible assets less total liabilities, divided by the number of shares of common stock outstanding.</w:t>
      </w:r>
    </w:p>
    <w:p>
      <w:pPr>
        <w:spacing w:after="0" w:line="125" w:lineRule="exact"/>
        <w:rPr>
          <w:sz w:val="20"/>
          <w:szCs w:val="20"/>
          <w:color w:val="auto"/>
        </w:rPr>
      </w:pPr>
    </w:p>
    <w:p>
      <w:pPr>
        <w:ind w:left="1360" w:right="219" w:firstLine="343"/>
        <w:spacing w:after="0" w:line="257" w:lineRule="auto"/>
        <w:rPr>
          <w:sz w:val="20"/>
          <w:szCs w:val="20"/>
          <w:color w:val="auto"/>
        </w:rPr>
      </w:pPr>
      <w:r>
        <w:rPr>
          <w:rFonts w:ascii="Times New Roman" w:cs="Times New Roman" w:eastAsia="Times New Roman" w:hAnsi="Times New Roman"/>
          <w:sz w:val="14"/>
          <w:szCs w:val="14"/>
          <w:color w:val="auto"/>
        </w:rPr>
        <w:t>After giving effect to the sale of 29,629,632 shares of common stock and the warrants in this offering at an offering price of $2.70 per share along with the warrant, and assuming no exercise of any of the warrants issued in this offering, and after deduction of the placement agent fees for this offering and the estimated offering expenses payable by us, our pro forma as adjusted net tangible book value as of March 31, 2025 would have been approximately $(530.7) million, or $(0.60) per share. This represents an immediate increase in net tangible book value of $0.11 per share to existing stockholders and an immediate dilution in the pro forma as-adjusted net tangible book value of $3.30 per share to purchasers of common stock in this offering.</w:t>
      </w:r>
    </w:p>
    <w:p>
      <w:pPr>
        <w:spacing w:after="0" w:line="143" w:lineRule="exact"/>
        <w:rPr>
          <w:sz w:val="20"/>
          <w:szCs w:val="20"/>
          <w:color w:val="auto"/>
        </w:rPr>
      </w:pPr>
    </w:p>
    <w:tbl>
      <w:tblPr>
        <w:tblLayout w:type="fixed"/>
        <w:tblInd w:w="1360" w:type="dxa"/>
        <w:tblCellMar>
          <w:top w:w="0" w:type="dxa"/>
          <w:left w:w="0" w:type="dxa"/>
          <w:bottom w:w="0" w:type="dxa"/>
          <w:right w:w="0" w:type="dxa"/>
        </w:tblCellMar>
      </w:tblPr>
      <w:tr>
        <w:trPr>
          <w:trHeight w:val="183"/>
        </w:trPr>
        <w:tc>
          <w:tcPr>
            <w:tcW w:w="60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The following table illustrates this calculation on a per share basis:</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4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4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9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Offering price per share and warrant</w:t>
            </w: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Net tangible book value per share as of March 31, 2025 (1)</w:t>
            </w: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$(0.71)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Increase in net tangible book value per share attributable to this offering</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40" w:type="dxa"/>
            <w:vAlign w:val="bottom"/>
          </w:tcPr>
          <w:p>
            <w:pPr>
              <w:spacing w:after="0"/>
              <w:rPr>
                <w:sz w:val="13"/>
                <w:szCs w:val="13"/>
                <w:color w:val="auto"/>
              </w:rPr>
            </w:pPr>
          </w:p>
        </w:tc>
        <w:tc>
          <w:tcPr>
            <w:tcW w:w="50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color w:val="auto"/>
              </w:rPr>
              <w:t>Pro forma as adjusted net tangible book value per share as of March 31, 2025, after</w:t>
            </w:r>
          </w:p>
        </w:tc>
        <w:tc>
          <w:tcPr>
            <w:tcW w:w="3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giving effect to this offering</w:t>
            </w:r>
          </w:p>
        </w:tc>
        <w:tc>
          <w:tcPr>
            <w:tcW w:w="1100" w:type="dxa"/>
            <w:vAlign w:val="bottom"/>
            <w:gridSpan w:val="3"/>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(0.60)</w:t>
            </w:r>
          </w:p>
        </w:tc>
        <w:tc>
          <w:tcPr>
            <w:tcW w:w="0" w:type="dxa"/>
            <w:vAlign w:val="bottom"/>
          </w:tcPr>
          <w:p>
            <w:pPr>
              <w:spacing w:after="0"/>
              <w:rPr>
                <w:sz w:val="1"/>
                <w:szCs w:val="1"/>
                <w:color w:val="auto"/>
              </w:rPr>
            </w:pPr>
          </w:p>
        </w:tc>
      </w:tr>
      <w:tr>
        <w:trPr>
          <w:trHeight w:val="21"/>
        </w:trPr>
        <w:tc>
          <w:tcPr>
            <w:tcW w:w="9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9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in net tangible book value to new investors participating in this offering</w:t>
            </w: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9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9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1700" w:hanging="345"/>
        <w:spacing w:after="0"/>
        <w:tabs>
          <w:tab w:leader="none" w:pos="1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 of net tangible book value as of March 31, 2025 is based on 853,556,193 shares of common stock issued and outstanding.</w:t>
      </w:r>
    </w:p>
    <w:p>
      <w:pPr>
        <w:spacing w:after="0" w:line="175"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4"/>
          <w:szCs w:val="14"/>
          <w:color w:val="auto"/>
        </w:rPr>
        <w:t>The calculation of pro forma net tangible book value is based on 853,556,193 shares of common stock outstanding as of March 31, 2025. Each calculation excludes the following:</w:t>
      </w:r>
    </w:p>
    <w:p>
      <w:pPr>
        <w:spacing w:after="0" w:line="51" w:lineRule="exact"/>
        <w:rPr>
          <w:sz w:val="20"/>
          <w:szCs w:val="20"/>
          <w:color w:val="auto"/>
        </w:rPr>
      </w:pPr>
    </w:p>
    <w:p>
      <w:pPr>
        <w:ind w:left="2120" w:right="779" w:hanging="345"/>
        <w:spacing w:after="0" w:line="283"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 shares issued to GlobeImmune, Inc., our consolidated subsidiary, which are treated as treasury stock for purposes of U.S. generally accepted accounting principles;</w:t>
      </w:r>
    </w:p>
    <w:p>
      <w:pPr>
        <w:spacing w:after="0" w:line="5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25,457,673 shares of our common stock issuable upon exercise of options to purchase common stock that were outstanding as of March 31, 2025;</w:t>
      </w:r>
    </w:p>
    <w:p>
      <w:pPr>
        <w:spacing w:after="0" w:line="51" w:lineRule="exact"/>
        <w:rPr>
          <w:rFonts w:ascii="Times New Roman" w:cs="Times New Roman" w:eastAsia="Times New Roman" w:hAnsi="Times New Roman"/>
          <w:sz w:val="14"/>
          <w:szCs w:val="14"/>
          <w:color w:val="auto"/>
        </w:rPr>
      </w:pPr>
    </w:p>
    <w:p>
      <w:pPr>
        <w:ind w:left="2120" w:right="959" w:hanging="345"/>
        <w:spacing w:after="0" w:line="283"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9,230,859 shares of our common stock issuable upon the vesting of restricted stock units (“RSUs”) that were outstanding as of March 31, 2025;</w:t>
      </w:r>
    </w:p>
    <w:p>
      <w:pPr>
        <w:spacing w:after="0" w:line="5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1,638,000 shares of our common stock subject to an outstanding warrant that will become exercisable if certain performance conditions are satisfied at an exercise price of $3.24 per share;</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11,392,272 shares of our common stock that were reserved for future issuance under the ImmunityBio, Inc. 2015 Equity Incentive Plan (the “2015 Plan”);</w:t>
      </w:r>
    </w:p>
    <w:p>
      <w:pPr>
        <w:spacing w:after="0" w:line="51" w:lineRule="exact"/>
        <w:rPr>
          <w:rFonts w:ascii="Times New Roman" w:cs="Times New Roman" w:eastAsia="Times New Roman" w:hAnsi="Times New Roman"/>
          <w:sz w:val="14"/>
          <w:szCs w:val="14"/>
          <w:color w:val="auto"/>
        </w:rPr>
      </w:pPr>
    </w:p>
    <w:p>
      <w:pPr>
        <w:ind w:left="2120" w:right="399" w:hanging="345"/>
        <w:spacing w:after="0" w:line="261" w:lineRule="auto"/>
        <w:tabs>
          <w:tab w:leader="none" w:pos="21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issuable to the former stockholders of Altor Bioscience, LLC (“Altor”), including Dr. Soon-Shiong and certain affiliates, in satisfaction of an aggregate of approximately $304.0 million in contingent value rights (“CVRs”), which such stockholders may choose to receive in shares of our common stock, upon the first calendar year prior to December 31, 2026 in which worldwide net sales of ANKTIVA exceed $1.0 billion;</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10159"/>
          </w:cols>
          <w:pgMar w:left="300" w:top="386"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19" w:hanging="345"/>
        <w:spacing w:after="0" w:line="267"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conversion of the $505.0 million promissory note due December 31, 2027, issued to Nant Capital, LLC, an affiliate of Dr. Soon-Shiong, pursuant to which all principal shall be convertible in full (and not partially) into shares of common stock at the holder’s option at a price per share of $5.427;</w:t>
      </w:r>
    </w:p>
    <w:p>
      <w:pPr>
        <w:spacing w:after="0" w:line="6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2,814,523 shares of our common stock issuable upon the exercise of the warrants included in our February 2023 registered direct offering (“RDO”) at an exercise price of $3.2946 per share;</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3,584,648 shares of our common stock issuable upon the exercise of the warrants included in our July 2023 RDO at an exercise price of $3.2946 per share; and</w:t>
      </w:r>
    </w:p>
    <w:p>
      <w:pPr>
        <w:spacing w:after="0" w:line="51" w:lineRule="exact"/>
        <w:rPr>
          <w:rFonts w:ascii="Times New Roman" w:cs="Times New Roman" w:eastAsia="Times New Roman" w:hAnsi="Times New Roman"/>
          <w:sz w:val="14"/>
          <w:szCs w:val="14"/>
          <w:color w:val="auto"/>
        </w:rPr>
      </w:pPr>
    </w:p>
    <w:p>
      <w:pPr>
        <w:ind w:left="2120" w:right="299" w:hanging="345"/>
        <w:spacing w:after="0" w:line="261" w:lineRule="auto"/>
        <w:tabs>
          <w:tab w:leader="none" w:pos="21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the exercise of the $5.0 million option held by Oberland Capital Management LLC and its affiliates (“Oberland”), for which the price per share shall be determined by the 30-day trailing volume weighted-average price of our common stock, calculated from the date of exercise, and which option is exercisable by Oberland until the earliest of (i) December 29, 2028, (ii) a change of control of the Company, or (iii) a sale of substantially all of the Company’s assets.</w:t>
      </w:r>
    </w:p>
    <w:p>
      <w:pPr>
        <w:spacing w:after="0" w:line="14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Such calculations also exclude the shares subject to the following transactions and approvals that occurred after March 31, 2025:</w:t>
      </w:r>
    </w:p>
    <w:p>
      <w:pPr>
        <w:spacing w:after="0" w:line="102" w:lineRule="exact"/>
        <w:rPr>
          <w:sz w:val="20"/>
          <w:szCs w:val="20"/>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29,024,768 shares of our common stock issued in our April 2025 RDO;</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29,024,768 shares of our common stock issuable upon the exercise of the warrants included in our April 2025 RDO at an exercise price of $3.101 per share;</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32,854,486 shares of our common stock issued under our “at-the-market” sales program with Jefferies LLC during the three months ended June 30, 2025;</w:t>
      </w:r>
    </w:p>
    <w:p>
      <w:pPr>
        <w:spacing w:after="0" w:line="51" w:lineRule="exact"/>
        <w:rPr>
          <w:rFonts w:ascii="Times New Roman" w:cs="Times New Roman" w:eastAsia="Times New Roman" w:hAnsi="Times New Roman"/>
          <w:sz w:val="14"/>
          <w:szCs w:val="14"/>
          <w:color w:val="auto"/>
        </w:rPr>
      </w:pPr>
    </w:p>
    <w:p>
      <w:pPr>
        <w:ind w:left="2120" w:right="339" w:hanging="345"/>
        <w:spacing w:after="0" w:line="257" w:lineRule="auto"/>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reserved for issuance under the ImmunityBio, Inc. 2025 Equity Incentive Plan (the “2025 Plan”), which became effective upon approval by our stockholders on June 18, 2025 (at which time no further shares were available for future issuance under the 2015 Plan), and pursuant to which the number of shares of common stock initially reserved for issuance was 46,088,027 shares, plus the number of shares subject to awards granted under the 2015 Plan that expire or otherwise terminate without having been exercised in full or are forfeited to or repurchased by us (provided that the maximum number of shares that could be added to the 2025 Plan pursuant to awards under the 2015 Plan is 32,359,674 shares); and</w:t>
      </w:r>
    </w:p>
    <w:p>
      <w:pPr>
        <w:spacing w:after="0" w:line="69"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issuable upon exercise of option to purchase common stock or vesting of RSUs that were granted subsequent to March 31, 2025.</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such calculations also assume:</w:t>
      </w:r>
    </w:p>
    <w:p>
      <w:pPr>
        <w:spacing w:after="0" w:line="102" w:lineRule="exact"/>
        <w:rPr>
          <w:sz w:val="20"/>
          <w:szCs w:val="20"/>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warrants offered and sold in this offering;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outstanding stock options or warrants, or settlement of outstanding RSUs described above subsequent to March 31, 2025.</w:t>
      </w:r>
    </w:p>
    <w:p>
      <w:pPr>
        <w:spacing w:after="0" w:line="175"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securities or convertible debt securities in the future.</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10159"/>
          </w:cols>
          <w:pgMar w:left="300" w:top="386"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DESCRIPTION OF SECURITIES</w:t>
      </w:r>
    </w:p>
    <w:p>
      <w:pPr>
        <w:spacing w:after="0" w:line="175" w:lineRule="exact"/>
        <w:rPr>
          <w:sz w:val="20"/>
          <w:szCs w:val="20"/>
          <w:color w:val="auto"/>
        </w:rPr>
      </w:pPr>
    </w:p>
    <w:p>
      <w:pPr>
        <w:ind w:left="1360" w:right="27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The shares of common stock and the warrants (and the shares of common stock issuable upon the exercise of the warrants) offered in this offering will be issued pursuant to a securities purchase agreement between the investors and us. We urge you to review the form securities purchase agreement and the form of warrant, which were included as exhibits to a current report on Form 8-K filed with the SEC in connection with this offering, for a complete description of the terms and conditions applicable to these securities.</w:t>
      </w:r>
    </w:p>
    <w:p>
      <w:pPr>
        <w:spacing w:after="0" w:line="222"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4"/>
          <w:szCs w:val="14"/>
          <w:i w:val="1"/>
          <w:iCs w:val="1"/>
          <w:color w:val="auto"/>
        </w:rPr>
        <w:t>The following brief summary of the material terms and provisions of the warrants is subject to, and qualified in its entirety by, the form of warrant.</w:t>
      </w:r>
    </w:p>
    <w:p>
      <w:pPr>
        <w:spacing w:after="0" w:line="260"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3" w:lineRule="exact"/>
        <w:rPr>
          <w:sz w:val="20"/>
          <w:szCs w:val="20"/>
          <w:color w:val="auto"/>
        </w:rPr>
      </w:pPr>
    </w:p>
    <w:p>
      <w:pPr>
        <w:ind w:left="1360" w:right="459" w:firstLine="343"/>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is incorporated by reference to </w:t>
      </w:r>
      <w:hyperlink r:id="rId38">
        <w:r>
          <w:rPr>
            <w:rFonts w:ascii="Times New Roman" w:cs="Times New Roman" w:eastAsia="Times New Roman" w:hAnsi="Times New Roman"/>
            <w:sz w:val="14"/>
            <w:szCs w:val="14"/>
            <w:u w:val="single" w:color="auto"/>
            <w:color w:val="0000EE"/>
          </w:rPr>
          <w:t>Exhibit 4.7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our </w:t>
      </w:r>
      <w:hyperlink r:id="rId39">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2023, filed with the SEC on March 19, 2024.</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93" w:lineRule="exact"/>
        <w:rPr>
          <w:sz w:val="20"/>
          <w:szCs w:val="20"/>
          <w:color w:val="auto"/>
        </w:rPr>
      </w:pPr>
    </w:p>
    <w:p>
      <w:pPr>
        <w:ind w:left="1360" w:right="359" w:firstLine="343"/>
        <w:spacing w:after="0" w:line="258" w:lineRule="auto"/>
        <w:rPr>
          <w:sz w:val="20"/>
          <w:szCs w:val="20"/>
          <w:color w:val="auto"/>
        </w:rPr>
      </w:pPr>
      <w:r>
        <w:rPr>
          <w:rFonts w:ascii="Times New Roman" w:cs="Times New Roman" w:eastAsia="Times New Roman" w:hAnsi="Times New Roman"/>
          <w:sz w:val="14"/>
          <w:szCs w:val="14"/>
          <w:color w:val="auto"/>
        </w:rPr>
        <w:t>The following summary of certain terms and provisions of the warrants that are being offered hereby is not complete and is subject to and qualified in its entirety by the form of warrant, which will be provided to the investors in this offering and will be filed with the SEC on a Current Report on Form 8-K in connection with this offering and incorporated by reference into the registration statement of which this prospectus supplement forms a part. Prospective investors should carefully review the terms and provisions of the form of warrant for a complete description of the terms and conditions of the warrants.</w:t>
      </w:r>
    </w:p>
    <w:p>
      <w:pPr>
        <w:spacing w:after="0" w:line="142" w:lineRule="exact"/>
        <w:rPr>
          <w:sz w:val="20"/>
          <w:szCs w:val="20"/>
          <w:color w:val="auto"/>
        </w:rPr>
      </w:pPr>
    </w:p>
    <w:p>
      <w:pPr>
        <w:ind w:left="1360" w:right="29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General Terms of the Warrants</w:t>
      </w:r>
      <w:r>
        <w:rPr>
          <w:rFonts w:ascii="Times New Roman" w:cs="Times New Roman" w:eastAsia="Times New Roman" w:hAnsi="Times New Roman"/>
          <w:sz w:val="14"/>
          <w:szCs w:val="14"/>
          <w:color w:val="auto"/>
        </w:rPr>
        <w:t>. The warrants to be issued in this offering represent the rights to purchase up to an aggregate of 29,629,632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common stock at an exercise price of $3.24 per share. Each warrant will be exercisable from the date of issuance and will have a term of five years from the date of issuance.</w:t>
      </w:r>
    </w:p>
    <w:p>
      <w:pPr>
        <w:spacing w:after="0" w:line="13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Exercise. </w:t>
      </w:r>
      <w:r>
        <w:rPr>
          <w:rFonts w:ascii="Times New Roman" w:cs="Times New Roman" w:eastAsia="Times New Roman" w:hAnsi="Times New Roman"/>
          <w:sz w:val="14"/>
          <w:szCs w:val="14"/>
          <w:color w:val="auto"/>
        </w:rPr>
        <w:t>Holders of the warrants may exercise their warrants to purchase shares of our common stock at any time prior to the expiration date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delivering (i) notice of exercise, appropriately completed and duly signed, and (ii) if such holder is not utilizing the cashless exercise provisions with respect to the warrants, payment of the exercise price for the number of shares with respect to which the warrant is being exercised. Warrants may be exercised in whole or in part, but only for full shares of common stock. We provide certain rescission and buy-in rights to a holder if we fail to deliver the shares of common stock issuable upon exercise of the warrants by the date on which delivery of the stock certificate is required by the warrant. With respect to the rescission rights, the holder has the right to rescind the exercise if the shares of common stock are not timely delivered to the holder in accordance with the terms of the warrant. The buy-in rights apply if after the date on which delivery of the shares of common stock is required by the warrant, the holder purchases (in an open market transaction or otherwise) shares of our common stock to deliver in satisfaction of a sale by the holder of the shares underlying the warrant that the holder anticipated receiving from us upon exercise of the warrant. In this event, we will:</w:t>
      </w:r>
    </w:p>
    <w:p>
      <w:pPr>
        <w:spacing w:after="0" w:line="71" w:lineRule="exact"/>
        <w:rPr>
          <w:sz w:val="20"/>
          <w:szCs w:val="20"/>
          <w:color w:val="auto"/>
        </w:rPr>
      </w:pPr>
    </w:p>
    <w:p>
      <w:pPr>
        <w:ind w:left="2120" w:right="299" w:hanging="345"/>
        <w:spacing w:after="0" w:line="261"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in cash to the holder the amount, if any, by which (a) the holder’s total purchase price (including brokerage commissions, if any) for the shares of common stock so purchased exceeds (b) the amount obtained by multiplying (1) the number of warrant shares that the Company was required to deliver, but did not deliver, to the holder in connection with the exercise at issue times (2) the price at which the sell order giving rise to such purchase obligation was executed; and</w:t>
      </w:r>
    </w:p>
    <w:p>
      <w:pPr>
        <w:spacing w:after="0" w:line="67"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option of the holder, either (a) reinstate the portion of the warrant and equivalent number of shares underlying the warrant for which such exercise was not honored (in which case such exercise shall be deemed rescinded) or (b) deliver to the holder the number of shares of common stock that would have been issued had the Company timely complied with its exercise and deliver obligations hereunder.</w:t>
      </w:r>
    </w:p>
    <w:p>
      <w:pPr>
        <w:spacing w:after="0" w:line="8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10159"/>
          </w:cols>
          <w:pgMar w:left="300" w:top="386"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The shares of common stock issuable on exercise of the warrants will be, when issued and paid for in accordance with the warrants, duly and validly authorized, issued and fully paid and non-assessable. We will authorize and reserve at least that number of shares of common stock equal to the number of shares of common stock issuable upon exercise of all outstanding warrants.</w:t>
      </w:r>
    </w:p>
    <w:p>
      <w:pPr>
        <w:spacing w:after="0" w:line="134"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Cashless Exercise</w:t>
      </w:r>
      <w:r>
        <w:rPr>
          <w:rFonts w:ascii="Times New Roman" w:cs="Times New Roman" w:eastAsia="Times New Roman" w:hAnsi="Times New Roman"/>
          <w:sz w:val="14"/>
          <w:szCs w:val="14"/>
          <w:color w:val="auto"/>
        </w:rPr>
        <w:t>. If, at the time a holder exercises its warrants, a registration statement registering the issuance of the shares of common stock</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underlying the warrants under the Securities Act is not then effective or available, then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warrants.</w:t>
      </w:r>
    </w:p>
    <w:p>
      <w:pPr>
        <w:spacing w:after="0" w:line="138" w:lineRule="exact"/>
        <w:rPr>
          <w:sz w:val="20"/>
          <w:szCs w:val="20"/>
          <w:color w:val="auto"/>
        </w:rPr>
      </w:pPr>
    </w:p>
    <w:p>
      <w:pPr>
        <w:ind w:left="1360" w:right="239" w:firstLine="343"/>
        <w:spacing w:after="0" w:line="252" w:lineRule="auto"/>
        <w:rPr>
          <w:sz w:val="20"/>
          <w:szCs w:val="20"/>
          <w:color w:val="auto"/>
        </w:rPr>
      </w:pPr>
      <w:r>
        <w:rPr>
          <w:rFonts w:ascii="Times New Roman" w:cs="Times New Roman" w:eastAsia="Times New Roman" w:hAnsi="Times New Roman"/>
          <w:sz w:val="14"/>
          <w:szCs w:val="14"/>
          <w:i w:val="1"/>
          <w:iCs w:val="1"/>
          <w:color w:val="auto"/>
        </w:rPr>
        <w:t>Fundamental Transactions</w:t>
      </w:r>
      <w:r>
        <w:rPr>
          <w:rFonts w:ascii="Times New Roman" w:cs="Times New Roman" w:eastAsia="Times New Roman" w:hAnsi="Times New Roman"/>
          <w:sz w:val="14"/>
          <w:szCs w:val="14"/>
          <w:color w:val="auto"/>
        </w:rPr>
        <w:t>. If, at any time while this warrant is outstanding, (i) we, directly or indirectly, in one or more related transactions effect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merger or consolidation (other than a merger or consolidation in which the Company is the continuing corporation and that does not result in any reclassification or reorganization of the outstanding shares of common stock), (ii) we, directly or indirectly, effect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our common stock are permitted to sell, tender or exchange their shares for other securities, cash or property and has been accepted by the holders of more than 50% of the outstanding common stock or more than 50% of the voting power of the common equity of the Company, (iv) we, directly or indirectly, in one or more related transactions, effect any reclassification, reorganization or recapitalization of our common stock or any compulsory share exchange pursuant to which our common stock is effectively converted into or exchanged for other securities, cash or property, or (v) we, directly or indirectly, in one or more related transactions consummate a stock or share purchase agreement or other business combination (including, without limitation, a reorganization, recapitalization, spin-off, merger or scheme of arrangement) with another person, group of persons or entity that acquires more than 50% of the outstanding shares of our common stock or more than 50% of the voting power of our common equity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the number of shares of common stock of the successor or surviving corporation or of the Company, if it is the surviving corporation, and/or any additional consideration (the “Alternate Consideration”) receivable as a result of such Fundamental Transaction by a holder of the number of shares of common stock for which the warrant is exercisable immediately prior to such Fundamental Transaction. In addition, in the event of a Fundamental Transaction, in certain circumstances the Holder may choose to require the Company, or its successor, to redeem the warrant for cash in the amount of the Black-Scholes value of the remaining unexercised portion of the warrant.</w:t>
      </w:r>
    </w:p>
    <w:p>
      <w:pPr>
        <w:spacing w:after="0" w:line="152" w:lineRule="exact"/>
        <w:rPr>
          <w:sz w:val="20"/>
          <w:szCs w:val="20"/>
          <w:color w:val="auto"/>
        </w:rPr>
      </w:pPr>
    </w:p>
    <w:p>
      <w:pPr>
        <w:ind w:left="1360" w:right="25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Transferability</w:t>
      </w:r>
      <w:r>
        <w:rPr>
          <w:rFonts w:ascii="Times New Roman" w:cs="Times New Roman" w:eastAsia="Times New Roman" w:hAnsi="Times New Roman"/>
          <w:sz w:val="14"/>
          <w:szCs w:val="14"/>
          <w:color w:val="auto"/>
        </w:rPr>
        <w:t>. Subject to applicable laws, a warrant and all rights thereunder are transferable, in whole or in part, upon surrender of such warrant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at our or our designated agent’s principal office, together with a written assignment of such warrant in substantially the form attached to the warrant,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any such transfer for less than 1,000,000 shares of common stock issuable upon the exercise of a portion of a warrant shall be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our prior written consent. The ownership of the warrants and any transfers of the warrants will be registered in a warrant register maintained by the Company.</w:t>
      </w:r>
    </w:p>
    <w:p>
      <w:pPr>
        <w:spacing w:after="0" w:line="141"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Subsequent Rights Offerings</w:t>
      </w:r>
      <w:r>
        <w:rPr>
          <w:rFonts w:ascii="Times New Roman" w:cs="Times New Roman" w:eastAsia="Times New Roman" w:hAnsi="Times New Roman"/>
          <w:sz w:val="14"/>
          <w:szCs w:val="14"/>
          <w:color w:val="auto"/>
        </w:rPr>
        <w:t>. If, at any time while the warrants are outstanding, we grant, issue or sell any common stock Equivalents (as such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 is defined in the warrant) or rights to purchase stock, warrants, securities or other property pro rata to the record holders of any class of shares of common stock (the “Purchase Rights”), then the holders of the warrants will be entitled to acquire those, upon terms applicable to such Purchase Rights, the aggregate Purchase Rights which the holder could have acquired if the holder had held the number of shares of common stock acquirable upon complete exercise of the warrant (without regard to any limitations on exercise thereof, including without limitation, the beneficial ownership limitation).</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10159"/>
          </w:cols>
          <w:pgMar w:left="300" w:top="386"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right="319" w:firstLine="343"/>
        <w:spacing w:after="0" w:line="268" w:lineRule="auto"/>
        <w:rPr>
          <w:sz w:val="20"/>
          <w:szCs w:val="20"/>
          <w:color w:val="auto"/>
        </w:rPr>
      </w:pPr>
      <w:r>
        <w:rPr>
          <w:rFonts w:ascii="Times New Roman" w:cs="Times New Roman" w:eastAsia="Times New Roman" w:hAnsi="Times New Roman"/>
          <w:sz w:val="14"/>
          <w:szCs w:val="14"/>
          <w:i w:val="1"/>
          <w:iCs w:val="1"/>
          <w:color w:val="auto"/>
        </w:rPr>
        <w:t>Stock Dividends and Splits</w:t>
      </w:r>
      <w:r>
        <w:rPr>
          <w:rFonts w:ascii="Times New Roman" w:cs="Times New Roman" w:eastAsia="Times New Roman" w:hAnsi="Times New Roman"/>
          <w:sz w:val="14"/>
          <w:szCs w:val="14"/>
          <w:color w:val="auto"/>
        </w:rPr>
        <w:t>. The exercise price and the number of shares of common stock purchasable upon the exercise of the warrants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 to adjustment upon the occurrence of specific events, including stock dividends, stock splits, combinations and reclassifications of our common stock.</w:t>
      </w:r>
    </w:p>
    <w:p>
      <w:pPr>
        <w:spacing w:after="0" w:line="13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i w:val="1"/>
          <w:iCs w:val="1"/>
          <w:color w:val="auto"/>
        </w:rPr>
        <w:t>Delivery of Shares</w:t>
      </w:r>
      <w:r>
        <w:rPr>
          <w:rFonts w:ascii="Times New Roman" w:cs="Times New Roman" w:eastAsia="Times New Roman" w:hAnsi="Times New Roman"/>
          <w:sz w:val="14"/>
          <w:szCs w:val="14"/>
          <w:color w:val="auto"/>
        </w:rPr>
        <w:t>. Upon the holder’s exercise of a warrant, we will, provided that payment of the aggregate exercise price (other than in the case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 cashless exercise) is received within the earlier of (i) two trading days and (ii) the number of trading days comprising the standard settlement period following delivery of the notice of exercise, issue and deliver, or cause to be issued and delivered, the shares of common stock issuable upon exercise of the warrant. In addition, we will, if the holder provides the necessary information to us, issue and deliver the shares electronically through The Depository Trust Corporation through its Deposit or Withdrawal at Custodian system (“DWAC”) or another established clearing corporation performing similar functions. If we fail for any reason to timely deliver to an investor shares underlying the warrant upon exercise, we will pay to such investor, in cash, as liquidated damages and not as a penalty, for each $1,000 of shares subject to such exercise, $10 per trading day (increasing to $20 per trading day on the third trading day after such liquidated damages begin to accrue) for each trading day after the trading day on which such shares were required to be delivered, until such shares are delivered or the investor rescinds such exercise.</w:t>
      </w:r>
    </w:p>
    <w:p>
      <w:pPr>
        <w:spacing w:after="0" w:line="143"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i w:val="1"/>
          <w:iCs w:val="1"/>
          <w:color w:val="auto"/>
        </w:rPr>
        <w:t>Notice of Corporate Action</w:t>
      </w:r>
      <w:r>
        <w:rPr>
          <w:rFonts w:ascii="Times New Roman" w:cs="Times New Roman" w:eastAsia="Times New Roman" w:hAnsi="Times New Roman"/>
          <w:sz w:val="14"/>
          <w:szCs w:val="14"/>
          <w:color w:val="auto"/>
        </w:rPr>
        <w:t>. We will provide notice to holders of the warrants to provide them with the opportunity to exercise their warrants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 common stock in order to participate in or vote on the following corporate events:</w:t>
      </w:r>
    </w:p>
    <w:p>
      <w:pPr>
        <w:spacing w:after="0" w:line="49" w:lineRule="exact"/>
        <w:rPr>
          <w:sz w:val="20"/>
          <w:szCs w:val="20"/>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declaration of a dividend (or any other distribution in whatever form) on common stock;</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declaration by us of a special nonrecurring cash dividend on or a redemption of common stock;</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authorization by us of the granting to all holders of common stock rights or warrants to subscribe for or purchase any shares of capital stock of any class or of any rights;</w:t>
      </w:r>
    </w:p>
    <w:p>
      <w:pPr>
        <w:spacing w:after="0" w:line="5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reclassification of common stock, any consolidation or merger to which we (or any of our subsidiaries) is a party, any sale or transfer of all or substantially all of our assets, or any compulsory share exchange whereby common stock is converted into other securities, cash or property, in each case, for which the approval of any of our stockholders is required; or</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voluntary or involuntary dissolution, liquidation or winding up of the Company.</w:t>
      </w:r>
    </w:p>
    <w:p>
      <w:pPr>
        <w:spacing w:after="0" w:line="173" w:lineRule="exact"/>
        <w:rPr>
          <w:sz w:val="20"/>
          <w:szCs w:val="20"/>
          <w:color w:val="auto"/>
        </w:rPr>
      </w:pPr>
    </w:p>
    <w:p>
      <w:pPr>
        <w:ind w:left="1360" w:right="319" w:firstLine="343"/>
        <w:spacing w:after="0" w:line="259" w:lineRule="auto"/>
        <w:rPr>
          <w:sz w:val="20"/>
          <w:szCs w:val="20"/>
          <w:color w:val="auto"/>
        </w:rPr>
      </w:pPr>
      <w:r>
        <w:rPr>
          <w:rFonts w:ascii="Times New Roman" w:cs="Times New Roman" w:eastAsia="Times New Roman" w:hAnsi="Times New Roman"/>
          <w:sz w:val="14"/>
          <w:szCs w:val="14"/>
          <w:i w:val="1"/>
          <w:iCs w:val="1"/>
          <w:color w:val="auto"/>
        </w:rPr>
        <w:t>Limitations on Exercise</w:t>
      </w:r>
      <w:r>
        <w:rPr>
          <w:rFonts w:ascii="Times New Roman" w:cs="Times New Roman" w:eastAsia="Times New Roman" w:hAnsi="Times New Roman"/>
          <w:sz w:val="14"/>
          <w:szCs w:val="14"/>
          <w:color w:val="auto"/>
        </w:rPr>
        <w:t>. Subject to limited exceptions, a holder of warrants will not have the right to exercise any portion of its warrants if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 together with its affiliates, would beneficially own in excess of 4.99% (or 9.99% at the election of the holder prior to issuance) of the number of shares of our common stock outstanding immediately after giving effect to such exercise, provided that the holder may increase or decrease the beneficial ownership limitation up to 9.99%. Any increase in the beneficial ownership limitation shall not be effective until 61 days following notice of such change to us.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S-21</w:t>
      </w:r>
    </w:p>
    <w:p>
      <w:pPr>
        <w:sectPr>
          <w:pgSz w:w="11900" w:h="16838" w:orient="portrait"/>
          <w:cols w:equalWidth="0" w:num="1">
            <w:col w:w="10159"/>
          </w:cols>
          <w:pgMar w:left="300" w:top="386"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CERTAIN UNITED STATES FEDERAL INCOME TAX CONSIDERATIONS</w:t>
      </w:r>
    </w:p>
    <w:p>
      <w:pPr>
        <w:spacing w:after="0" w:line="177" w:lineRule="exact"/>
        <w:rPr>
          <w:sz w:val="20"/>
          <w:szCs w:val="20"/>
          <w:color w:val="auto"/>
        </w:rPr>
      </w:pPr>
    </w:p>
    <w:p>
      <w:pPr>
        <w:ind w:left="1360" w:right="279" w:firstLine="343"/>
        <w:spacing w:after="0" w:line="256" w:lineRule="auto"/>
        <w:rPr>
          <w:sz w:val="20"/>
          <w:szCs w:val="20"/>
          <w:color w:val="auto"/>
        </w:rPr>
      </w:pPr>
      <w:r>
        <w:rPr>
          <w:rFonts w:ascii="Times New Roman" w:cs="Times New Roman" w:eastAsia="Times New Roman" w:hAnsi="Times New Roman"/>
          <w:sz w:val="14"/>
          <w:szCs w:val="14"/>
          <w:color w:val="auto"/>
        </w:rPr>
        <w:t>Subject to the limitations, assumptions and qualifications described herein, the following is a summary of certain U.S. federal income tax considerations of the purchase, ownership and disposition of shares of ImmunityBio’s common stock issued pursuant to this offering (the “Shares”), the purchase, exercise, disposition and lapse of warrants to purchase shares of ImmunityBio’s common stock issued pursuant to this offering (the “Common Warrants”), and the purchase, ownership and disposition of shares of ImmunityBio’s common stock issuable upon exercise of the Common Warrants (the “Warrant Shares”). The Shares, the Common Warrants and the Warrant Shares are collectively referred to herein as the “Offered Securities.” All prospective holders of the Offered Securities should consult their tax advisors with respect to the U.S. federal, state, local and non-U.S. tax consequences of the purchase, ownership and disposition of the Offered Securities.</w:t>
      </w:r>
    </w:p>
    <w:p>
      <w:pPr>
        <w:spacing w:after="0" w:line="144" w:lineRule="exact"/>
        <w:rPr>
          <w:sz w:val="20"/>
          <w:szCs w:val="20"/>
          <w:color w:val="auto"/>
        </w:rPr>
      </w:pPr>
    </w:p>
    <w:p>
      <w:pPr>
        <w:ind w:left="1360" w:right="219" w:firstLine="343"/>
        <w:spacing w:after="0" w:line="256" w:lineRule="auto"/>
        <w:rPr>
          <w:sz w:val="20"/>
          <w:szCs w:val="20"/>
          <w:color w:val="auto"/>
        </w:rPr>
      </w:pPr>
      <w:r>
        <w:rPr>
          <w:rFonts w:ascii="Times New Roman" w:cs="Times New Roman" w:eastAsia="Times New Roman" w:hAnsi="Times New Roman"/>
          <w:sz w:val="14"/>
          <w:szCs w:val="14"/>
          <w:color w:val="auto"/>
        </w:rPr>
        <w:t>This discussion is based on current provisions of the U.S. Internal Revenue Code of 1986, as amended (the “Code”), existing U.S. Treasury regulations promulgated thereunder, published administrative pronouncements and rulings of the U.S. Internal Revenue Service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ImmunityBio has not obtained, nor does it intend to obtain, a ruling with respect to the U.S. federal income tax consequences to a holder of the purchase, ownership or disposition of the Offered Securities.</w:t>
      </w:r>
    </w:p>
    <w:p>
      <w:pPr>
        <w:spacing w:after="0" w:line="144"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This discussion addresses only Offered Securities that are held as capital assets within the meaning of Section 1221 of the Code (generally, property held for investment). This discussion does not address all the U.S. federal income tax consequences that may be relevant to particular holders in light of their individual circumstances, nor does it address any alternative minimum, Medicare contribution, estate or gift tax consequences, or any aspects of U.S. state, local or non-U.S. taxes). It does not address holders that are subject to special rules, such as:</w:t>
      </w:r>
    </w:p>
    <w:p>
      <w:pPr>
        <w:spacing w:after="0" w:line="67" w:lineRule="exact"/>
        <w:rPr>
          <w:sz w:val="20"/>
          <w:szCs w:val="20"/>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or other financial institutions;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or dealers in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traders in securities that elect to use a mark-to-market method of accounting for their securities holdings;</w:t>
      </w:r>
    </w:p>
    <w:p>
      <w:pPr>
        <w:spacing w:after="0" w:line="10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any of the Offered Securities as a position in a hedging transaction, “straddle,” “conversion transaction,” or other risk reduction transaction;</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any of the Offered Securities under the constructive sale provisions of the Code;</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or arrangements classified as partnerships for U.S. federal income tax purposes or other pass-through entities such as subchapter S corporations (or investors in such entities or arrangements);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regulated investment companies or real estate investment trusts;</w:t>
      </w:r>
    </w:p>
    <w:p>
      <w:pPr>
        <w:spacing w:after="0" w:line="10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passive foreign investment companies or corporations that accumulate earnings to avoid U.S. federal income tax;</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U.S. dollar;</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former long-term residents of the United States; or</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that acquire the Offered Securities through the exercise of an employee stock option or otherwise as compensation or through a tax-qualified retirement plan.</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S-22</w:t>
      </w:r>
    </w:p>
    <w:p>
      <w:pPr>
        <w:sectPr>
          <w:pgSz w:w="11900" w:h="16838" w:orient="portrait"/>
          <w:cols w:equalWidth="0" w:num="1">
            <w:col w:w="10159"/>
          </w:cols>
          <w:pgMar w:left="300" w:top="386"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If a holder is a partnership or other pass-through entity (including an entity or arrangement treated as a partnership or other type of pass-through entity for U.S. federal income tax purposes), the U.S. federal income tax treatment of a partner or beneficial owner will generally depend on the status of such partner or beneficial owner and the entity’s activities. Partnerships, partners and beneficial owners in partnerships or other pass-through entities that own the Offered Securities should consult their tax advisors as to the particular U.S. federal income tax considerations applicable to the acquisition, ownership and disposition of the Offered Securities.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 purposes of this discussion, a “U.S. Holder” is a beneficial owner of the Offered Securities, that, for U.S. federal income tax purposes, is:</w:t>
      </w:r>
    </w:p>
    <w:p>
      <w:pPr>
        <w:spacing w:after="0" w:line="102" w:lineRule="exact"/>
        <w:rPr>
          <w:sz w:val="20"/>
          <w:szCs w:val="20"/>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that is a citizen or resident of the United States;</w:t>
      </w:r>
    </w:p>
    <w:p>
      <w:pPr>
        <w:spacing w:after="0" w:line="10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 entity treated as a corporation, created or organized in or under the laws of the United States, any state thereof or the District of Columbia;</w:t>
      </w:r>
    </w:p>
    <w:p>
      <w:pPr>
        <w:spacing w:after="0" w:line="51" w:lineRule="exact"/>
        <w:rPr>
          <w:rFonts w:ascii="Times New Roman" w:cs="Times New Roman" w:eastAsia="Times New Roman" w:hAnsi="Times New Roman"/>
          <w:sz w:val="14"/>
          <w:szCs w:val="14"/>
          <w:color w:val="auto"/>
        </w:rPr>
      </w:pPr>
    </w:p>
    <w:p>
      <w:pPr>
        <w:jc w:val="both"/>
        <w:ind w:left="2120" w:right="399" w:hanging="345"/>
        <w:spacing w:after="0" w:line="267" w:lineRule="auto"/>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Treasury Regulations to be treated as a United States person; or</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that is subject to U.S. federal income tax on its income regardless of its source.</w:t>
      </w:r>
    </w:p>
    <w:p>
      <w:pPr>
        <w:spacing w:after="0" w:line="175"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As used herein, the term “Non-U.S. Holder” means a beneficial owner, other than an entity treated as a partnership for U.S. federal income tax purposes, of the Offered Securities that is not a U.S. Holder.</w:t>
      </w:r>
    </w:p>
    <w:p>
      <w:pPr>
        <w:spacing w:after="0" w:line="123" w:lineRule="exact"/>
        <w:rPr>
          <w:sz w:val="20"/>
          <w:szCs w:val="20"/>
          <w:color w:val="auto"/>
        </w:rPr>
      </w:pPr>
    </w:p>
    <w:p>
      <w:pPr>
        <w:ind w:left="1360" w:right="439"/>
        <w:spacing w:after="0" w:line="268" w:lineRule="auto"/>
        <w:rPr>
          <w:sz w:val="20"/>
          <w:szCs w:val="20"/>
          <w:color w:val="auto"/>
        </w:rPr>
      </w:pPr>
      <w:r>
        <w:rPr>
          <w:rFonts w:ascii="Times New Roman" w:cs="Times New Roman" w:eastAsia="Times New Roman" w:hAnsi="Times New Roman"/>
          <w:sz w:val="14"/>
          <w:szCs w:val="14"/>
          <w:b w:val="1"/>
          <w:bCs w:val="1"/>
          <w:color w:val="auto"/>
        </w:rPr>
        <w:t>PROSPECTIVE INVESTORS ARE URGED TO CONSULT THEIR TAX ADVISORS REGARDING THE PARTICULAR FEDERAL, STATE, LOCAL AND NON-U.S. TAX CONSEQUENCES TO THEM OF THE PURCHASE, OWNERSHIP AND DISPOSITION OF THE OFFERED SECURITIES.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Allocation of purchase price</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determining the tax basis of each Share and Common Warrant purchased together in this offering, holders should allocate their purchase price between the Share and Common Warrant on the basis of their relative fair market values at the time of issuance. ImmunityBio does not intend to advise holders of the Offered Securities with respect to this determination. A holder’s allocation of the purchase price between the Shares and Common Warrants is not binding on the IRS or the courts, and no assurance can be given that the IRS or the courts will agree with a holder’s allocation. All holders are advised to consult their tax and financial advisors with respect to the relative fair market values of the Shares and Common Warrants for U.S. federal income tax purposes.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considerations applicable to U.S. Holders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on Shares and Warrant Shares</w:t>
      </w:r>
    </w:p>
    <w:p>
      <w:pPr>
        <w:spacing w:after="0" w:line="93" w:lineRule="exact"/>
        <w:rPr>
          <w:sz w:val="20"/>
          <w:szCs w:val="20"/>
          <w:color w:val="auto"/>
        </w:rPr>
      </w:pPr>
    </w:p>
    <w:p>
      <w:pPr>
        <w:ind w:left="1360" w:right="299"/>
        <w:spacing w:after="0" w:line="254" w:lineRule="auto"/>
        <w:rPr>
          <w:sz w:val="20"/>
          <w:szCs w:val="20"/>
          <w:color w:val="auto"/>
        </w:rPr>
      </w:pPr>
      <w:r>
        <w:rPr>
          <w:rFonts w:ascii="Times New Roman" w:cs="Times New Roman" w:eastAsia="Times New Roman" w:hAnsi="Times New Roman"/>
          <w:sz w:val="14"/>
          <w:szCs w:val="14"/>
          <w:color w:val="auto"/>
        </w:rPr>
        <w:t>ImmunityBio does not anticipate declaring or paying any cash dividends to holders of ImmunityBio’s common stock. If ImmunityBio makes distributions of cash or other property on the Shares or Warrant Shares (other than certain distributions of stock), such distributions will constitute dividends to the extent paid out of ImmunityBio’s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ImmunityBio’s current and accumulated earnings and profits will constitute a return of capital and first be applied against and reduce a U.S. Holder’s adjusted tax basis in its Shares or Warrant Shares, as applicable, but not below zero. Any excess will be treated as capital gain and will be treated as described below under “—Sale or Other Taxable Disposition of the Shares and Warrant Shares.”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S-23</w:t>
      </w:r>
    </w:p>
    <w:p>
      <w:pPr>
        <w:sectPr>
          <w:pgSz w:w="11900" w:h="16838" w:orient="portrait"/>
          <w:cols w:equalWidth="0" w:num="1">
            <w:col w:w="10159"/>
          </w:cols>
          <w:pgMar w:left="300" w:top="386"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 of the Shares and Warrant Shares</w:t>
      </w:r>
    </w:p>
    <w:p>
      <w:pPr>
        <w:spacing w:after="0" w:line="93" w:lineRule="exact"/>
        <w:rPr>
          <w:sz w:val="20"/>
          <w:szCs w:val="20"/>
          <w:color w:val="auto"/>
        </w:rPr>
      </w:pPr>
    </w:p>
    <w:p>
      <w:pPr>
        <w:ind w:left="1360" w:right="399" w:firstLine="343"/>
        <w:spacing w:after="0" w:line="257" w:lineRule="auto"/>
        <w:rPr>
          <w:sz w:val="20"/>
          <w:szCs w:val="20"/>
          <w:color w:val="auto"/>
        </w:rPr>
      </w:pPr>
      <w:r>
        <w:rPr>
          <w:rFonts w:ascii="Times New Roman" w:cs="Times New Roman" w:eastAsia="Times New Roman" w:hAnsi="Times New Roman"/>
          <w:sz w:val="14"/>
          <w:szCs w:val="14"/>
          <w:color w:val="auto"/>
        </w:rPr>
        <w:t>Upon the sale, exchange or other taxable disposition of the Shares or Warrant Shares, a U.S. Holder will generally recognize capital gain or loss equal to the difference between the amount of cash and the fair market value of any property received upon the sale, exchange or other taxable disposition and such U.S. Holder’s adjusted tax basis in the Shares or Warrant Shares. This capital gain or loss will be long-term capital gain or loss if the U.S. Holder’s holding period in such Shares or Warrant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Sale or other disposition or exercise of Common Warrants</w:t>
      </w:r>
    </w:p>
    <w:p>
      <w:pPr>
        <w:spacing w:after="0" w:line="93"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Upon the sale, exchange or other disposition of a Common Warrant (other than by exercise), a U.S. Holder will generally recognize capital gain or loss equal to the difference between the amount realized on the sale, exchange or other disposition and the U.S. Holder’s tax basis in the Common Warrant. This capital gain or loss will be long-term capital gain or loss if the U.S. Holder’s holding period in such Common Warrant is more than one year at the time of the sale, exchange or other disposition. The deductibility of capital losses is subject to certain limitations.</w:t>
      </w:r>
    </w:p>
    <w:p>
      <w:pPr>
        <w:spacing w:after="0" w:line="141"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In general, a U.S. Holder will not be required to recognize income, gain or loss upon exercise of a Common Warrant for its exercise price. A U.S. Holder’s tax basis in Warrant Shares received upon exercise of Common Warrants will be equal to the sum of (i) the U.S. Holder’s tax basis in the Common Warrants exchanged therefor and (ii) the exercise price of such Common Warrants. A U.S. Holder’s holding period in the Warrant Shares received upon exercise will commence on the day after such U.S. Holder exercises the Common Warrants. In certain limited circumstances, a U.S. Holder may be permitted to undertake a cashless exercise of a Common Warrant into our common stock. The U.S. federal income tax treatment of such a cashless exercise is unclear, and it is possible that a cashless exercise could be a taxable event. U.S. Holders should consult their tax advisors regarding the U.S. federal income tax consequences of a cashless exercise of Common Warrants.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Lapse of common warrants</w:t>
      </w:r>
    </w:p>
    <w:p>
      <w:pPr>
        <w:spacing w:after="0" w:line="93" w:lineRule="exact"/>
        <w:rPr>
          <w:sz w:val="20"/>
          <w:szCs w:val="20"/>
          <w:color w:val="auto"/>
        </w:rPr>
      </w:pPr>
    </w:p>
    <w:p>
      <w:pPr>
        <w:jc w:val="both"/>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If a Common Warrant expires without being exercised, a U.S. Holder will recognize a capital loss in an amount equal to such U.S. Holder’s tax basis in the warrant. Such loss will be long-term capital loss if, at the time of the expiration, the U.S. Holder’s holding period in such warrant is more than one year. The deductibility of capital losses is subject to certain limitations.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Certain adjustments to and distributions on Common Warrants</w:t>
      </w:r>
    </w:p>
    <w:p>
      <w:pPr>
        <w:spacing w:after="0" w:line="93"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Under Section 305 of the Code, an adjustment to the number of Warrant Shares that will be issued on the exercise of the Common Warrants, or an adjustment to the exercise price of Common Warrants (or in certain circumstances, a failure to make adjustments), may be treated as a constructive distribution to a U.S. Holder of the Common Warrants if, and to the extent that, such adjustment has the effect of increasing such U.S. Holder’s proportionate interest in ImmunityBio’s assets or earnings and profits as determined under U.S. federal income tax principles, depending on the circumstances of such adjustment (for example, if such adjustment is to compensate the warrant holders for a distribution of cash or other property to ImmunityBio’s shareholders). Such distributions will constitute dividends to the extent deemed paid out of ImmunityBio’s current or accumulated earnings and profits, as discussed above under “Distributions on Shares and Warrant Shares.” U.S. Holders should consult their tax advisors regarding the proper treatment of any adjustments to the number of Warrant Shares that will be issued on the exercise of the Common Warrants or the exercise price of the Common Warrants.</w:t>
      </w:r>
    </w:p>
    <w:p>
      <w:pPr>
        <w:spacing w:after="0" w:line="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S-24</w:t>
      </w:r>
    </w:p>
    <w:p>
      <w:pPr>
        <w:sectPr>
          <w:pgSz w:w="11900" w:h="16838" w:orient="portrait"/>
          <w:cols w:equalWidth="0" w:num="1">
            <w:col w:w="10159"/>
          </w:cols>
          <w:pgMar w:left="300" w:top="386"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Backup withholding and information reporting</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general, backup withholding and information reporting requirements may apply to payments on the Offered Securities and to the receipt of proceeds on the sale, exchange or other taxable disposition of the Offered Securities. Backup withholding (currently at a rate of 24%) may apply if a U.S. Holder fails to furnish its taxpayer identification number, a U.S. Holder fails to certify under penalties of perjury that such taxpayer identification number is correct and that such U.S. Holder is not subject to backup withholding (generally on a properly completed and duly executed IRS Form W-9), the applicable withholding agent is notified by the IRS that the holder previously failed to properly report payments of interest or dividends, or such U.S. Holder otherwise fails to comply with the applicable requirements of the backup withholding rules.</w:t>
      </w:r>
    </w:p>
    <w:p>
      <w:pPr>
        <w:spacing w:after="0" w:line="14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Certain U.S. Holders generally are not subject to backup withholding and information reporting requirements, provided that their exemptions from backup withholding and information reporting are properly established. Backup withholding is not an additional tax. Any amounts withheld from a payment to a U.S. Holder under the backup withholding rules generally will be allowed as a credit against such U.S. Holder’s U.S. federal income tax liability and may entitle such U.S. Holder to a refund, provided the required information is furnished to the IRS in a timely manner. U.S. Holders should consult their tax advisors regarding the application of backup withholding, the availability of an exemption from backup withholding, and the procedure for obtaining such an exemption, if available.</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Tax considerations applicable to Non-U.S. Holders</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Distributions on Shares and Warrant Shares</w:t>
      </w:r>
    </w:p>
    <w:p>
      <w:pPr>
        <w:spacing w:after="0" w:line="93"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As mentioned above, ImmunityBio does not anticipate declaring or paying any cash dividends to holders of ImmunityBio’s common stock. However, distributions of cash or other property (other than certain distributions of stock) on the Shares or Warrant Shares will constitute dividends to the extent paid out of ImmunityBio’s current or accumulated earnings and profits, as determined for U.S. federal income tax purposes. Distributions in excess of ImmunityBio’s current and accumulated earnings and profits will constitute a return of capital and first be applied against and reduce a Non-U.S. Holder’s adjusted tax basis in its common stock, but not below zero. Any excess will be subject to the treatment as described below under “— Gain on Sale or Other Taxable Disposition of the Offered Securities”.</w:t>
      </w:r>
    </w:p>
    <w:p>
      <w:pPr>
        <w:spacing w:after="0" w:line="143" w:lineRule="exact"/>
        <w:rPr>
          <w:sz w:val="20"/>
          <w:szCs w:val="20"/>
          <w:color w:val="auto"/>
        </w:rPr>
      </w:pPr>
    </w:p>
    <w:p>
      <w:pPr>
        <w:ind w:left="1360" w:right="379" w:firstLine="343"/>
        <w:spacing w:after="0" w:line="254" w:lineRule="auto"/>
        <w:rPr>
          <w:sz w:val="20"/>
          <w:szCs w:val="20"/>
          <w:color w:val="auto"/>
        </w:rPr>
      </w:pPr>
      <w:r>
        <w:rPr>
          <w:rFonts w:ascii="Times New Roman" w:cs="Times New Roman" w:eastAsia="Times New Roman" w:hAnsi="Times New Roman"/>
          <w:sz w:val="14"/>
          <w:szCs w:val="14"/>
          <w:color w:val="auto"/>
        </w:rPr>
        <w:t>Dividends paid to a Non-U.S. Holder that are not effectively connected with the Non-U.S. Holder’s conduct of a trade or business in the United States generally will be subject to withholding tax at a 30% rate or a reduced rate specified by an applicable income tax treaty. In order to obtain a reduced rate of withholding, the Non-U.S. Holder will be required to provide ImmunityBio or ImmunityBio’s paying agent with a properly executed applicable IRS Form W-8BEN or IRS Form W-8BEN-E (or appropriate successor form), as applicable, certifying under penalties of perjury that the Non-U.S. Holder is not a United States person and is eligible for the benefits under the applicable tax treaty. These forms may need to be periodically updated. If a Non-U.S. Holder holds the Offered Securities through a financial institution or other intermediary, the Non-U.S. Holder generally will be required to provide the appropriate documentation to the financial institution or other intermediary. A Non-U.S. Holder eligible for a reduced rate of U.S. withholding tax pursuant to an income tax treaty who fails to timely provide an IRS Form W-8BEN or IRS Form W-8BEN-E, as applicable, may obtain a refund of any excess amounts withheld by timely filing an appropriate claim with the IRS.</w:t>
      </w:r>
    </w:p>
    <w:p>
      <w:pPr>
        <w:spacing w:after="0" w:line="149"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 States), the Non-U.S. Holder will generally be taxed on the dividends in the same manner as a U.S. Holder. In this case, the Non-U.S. Holder will be exempt from the withholding tax discussed in the preceding paragraph, although the Non-U.S. Holder will be required to provide a properly executed IRS Form W-8ECI (or appropriate successor form) in order to claim an exemption from withholding. Such effectively connected dividends, although not subject to</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S-25</w:t>
      </w:r>
    </w:p>
    <w:p>
      <w:pPr>
        <w:sectPr>
          <w:pgSz w:w="11900" w:h="16838" w:orient="portrait"/>
          <w:cols w:equalWidth="0" w:num="1">
            <w:col w:w="10159"/>
          </w:cols>
          <w:pgMar w:left="300" w:top="386"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39"/>
        <w:spacing w:after="0" w:line="257" w:lineRule="auto"/>
        <w:rPr>
          <w:sz w:val="20"/>
          <w:szCs w:val="20"/>
          <w:color w:val="auto"/>
        </w:rPr>
      </w:pPr>
      <w:r>
        <w:rPr>
          <w:rFonts w:ascii="Times New Roman" w:cs="Times New Roman" w:eastAsia="Times New Roman" w:hAnsi="Times New Roman"/>
          <w:sz w:val="14"/>
          <w:szCs w:val="14"/>
          <w:color w:val="auto"/>
        </w:rPr>
        <w:t>U.S. federal withholding tax, are subject to U.S. federal income tax on a net income basis at the regular U.S. federal income tax rates generally applicable to a United States person. Dividends received by a corporate Non-U.S. Holder that are effectively connected with such Non-U.S. Holder’s conduct of a trade or business in the United States (and, if required by an applicable income tax treaty, attributable to a permanent establishment or fixed base maintained by the Non-U.S. Holder in the United States) may be subject to an additional branch profits tax at a 30% rate (or such lower rate as may be specified by an applicable income tax treaty). Non-U.S. Holders should consult their tax advisors with respect to other U.S. tax consequences of the acquisition, ownership and disposition of the Offered Securities, including the possible imposition of the branch profits tax.</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Exercise of common warrants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A Non-U.S. Holder generally will not recognize gain or loss on the exercise of a Common Warrant and the related receipt of Warrant Shares.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Lapse of common warrants</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If a Non-U.S. Holder allows a Common Warrant to expire unexercised, such Non-U.S. Holder will recognize a capital loss for U.S. federal income tax purposes in an amount equal to such holder’s tax basis in the common warrant. See “—Tax Considerations Applicable to U.S. Holders”—Lapse of Warrants” above. However, a Non-U.S. Holder will generally not be able to utilize a loss recognized upon expiration of a Common Warrant against the Non-U.S. Holder’s U.S. federal income tax liability unless the loss is effectively connected with the Non-U.S. Holder’s conduct of a trade or business within the United States (and, if an income tax treaty applies, is attributable to a permanent establishment or fixed base in the United States) or is treated as a U.S.-source loss and the Non-U.S. Holder is an individual nonresident and present for a period or periods aggregating 183 days or more in the taxable year of disposition in the United States and certain other conditions are met.</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Gain on sale or other taxable disposition of the Offered Securities</w:t>
      </w:r>
    </w:p>
    <w:p>
      <w:pPr>
        <w:spacing w:after="0" w:line="93"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Subject to the discussions below under “—Information Reporting and Backup Withholding” and “—FATCA,” a Non-U.S. Holder generally will not be subject to U.S. federal income or withholding tax on gain realized on a sale, exchange or other taxable disposition of the Offered Securities unless:</w:t>
      </w:r>
    </w:p>
    <w:p>
      <w:pPr>
        <w:spacing w:after="0" w:line="62" w:lineRule="exact"/>
        <w:rPr>
          <w:sz w:val="20"/>
          <w:szCs w:val="20"/>
          <w:color w:val="auto"/>
        </w:rPr>
      </w:pPr>
    </w:p>
    <w:p>
      <w:pPr>
        <w:ind w:left="2120" w:right="399" w:hanging="345"/>
        <w:spacing w:after="0" w:line="267"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6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a period or periods aggregating 183 days or more during the taxable year of the disposition and certain other requirements are met; or</w:t>
      </w:r>
    </w:p>
    <w:p>
      <w:pPr>
        <w:spacing w:after="0" w:line="51" w:lineRule="exact"/>
        <w:rPr>
          <w:rFonts w:ascii="Times New Roman" w:cs="Times New Roman" w:eastAsia="Times New Roman" w:hAnsi="Times New Roman"/>
          <w:sz w:val="14"/>
          <w:szCs w:val="14"/>
          <w:color w:val="auto"/>
        </w:rPr>
      </w:pPr>
    </w:p>
    <w:p>
      <w:pPr>
        <w:ind w:left="2120" w:right="319" w:hanging="345"/>
        <w:spacing w:after="0" w:line="267" w:lineRule="auto"/>
        <w:tabs>
          <w:tab w:leader="none" w:pos="21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ImmunityBio is or has been a “United States real property holding corporation,” as defined in the Code, at any time within the five-year period ending on the date of disposition or the Non-U.S. Holder’s holding period, whichever period is shorter, and the Non-U.S. Holder is not eligible for an exemption under an applicable income tax treaty.</w:t>
      </w:r>
    </w:p>
    <w:p>
      <w:pPr>
        <w:spacing w:after="0" w:line="136"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ImmunityBio believes that it is not, and does not anticipate becoming, a United States real property holding corporation. Even if ImmunityBio is or has been a United States real property holding corporation during the specified testing period, as long as ImmunityBio’s common stock is regularly traded on an established securities market (such as the Nasdaq Global Select Market) at any time during the calendar year in which the disposition occurs, a Non-U.S. Holder will not be subject to U.S. federal income tax on the disposition of Shares or Warrant Shares if the Non-U.S. Holder does not own or has not owned (actually or constructively) more than 5% of ImmunityBio’s common stock at any time during the shorter of the two periods mentioned above. Special rules may apply to the determination of the 5% threshold in the case of a Non-U.S. Holder of Common Warrants.</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S-26</w:t>
      </w:r>
    </w:p>
    <w:p>
      <w:pPr>
        <w:sectPr>
          <w:pgSz w:w="11900" w:h="16838" w:orient="portrait"/>
          <w:cols w:equalWidth="0" w:num="1">
            <w:col w:w="10159"/>
          </w:cols>
          <w:pgMar w:left="300" w:top="38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Non-U.S. Holders are urged to consult their tax advisors regarding the effect of holding Common Warrants on the calculation of such 5% threshold.</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Non-U.S. Holders should consult their tax advisors regarding the application of this regularly traded exception.</w:t>
      </w:r>
    </w:p>
    <w:p>
      <w:pPr>
        <w:spacing w:after="0" w:line="161"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If a Non-U.S. Holder recognizes gain on a sale, exchange or other disposition of the Offered Securities that is effectively connected with the Non-U.S. Holder’s conduct of a trade or business in the United States (and if required by an applicable income tax treaty, is attributable to a permanent establishment or fixed base maintained by the Non-U.S. Holder in the United States), the Non-U.S. Holder will generally be subject to U.S. federal income tax at the regular U.S. federal income tax rates generally applicable to a United States person. If the Non-U.S. Holder is a corporation, the Non-U.S. Holder may also be subject to the branch profits tax at a 30% rate or such lower rate as may be specified by an applicable income tax treaty. Non-U.S. Holders should consult their tax advisors with respect to other U.S. tax consequences of the acquisition, ownership and disposition of the Offered Securities, including the possible imposition of the branch profits tax.</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Certain adjustments to and distributions on Common Warrants</w:t>
      </w:r>
    </w:p>
    <w:p>
      <w:pPr>
        <w:spacing w:after="0" w:line="93" w:lineRule="exact"/>
        <w:rPr>
          <w:sz w:val="20"/>
          <w:szCs w:val="20"/>
          <w:color w:val="auto"/>
        </w:rPr>
      </w:pPr>
    </w:p>
    <w:p>
      <w:pPr>
        <w:ind w:left="1360" w:right="319" w:firstLine="343"/>
        <w:spacing w:after="0" w:line="256" w:lineRule="auto"/>
        <w:rPr>
          <w:sz w:val="20"/>
          <w:szCs w:val="20"/>
          <w:color w:val="auto"/>
        </w:rPr>
      </w:pPr>
      <w:r>
        <w:rPr>
          <w:rFonts w:ascii="Times New Roman" w:cs="Times New Roman" w:eastAsia="Times New Roman" w:hAnsi="Times New Roman"/>
          <w:sz w:val="14"/>
          <w:szCs w:val="14"/>
          <w:color w:val="auto"/>
        </w:rPr>
        <w:t>As discussed above under “—Tax Considerations Applicable to U.S. Holders—Certain Adjustments to and Distributions on Common Warrants,” certain adjustments to the number of Warrant Shares on the exercise of the Common Warrants, or an adjustment to the exercise price of the Common Warrants (or certain failures to make adjustments), may be deemed to be the payment of a distribution with respect to the Common Warrants. Such a deemed distribution could be treated as a dividend to a Non-U.S. Holder to the extent of ImmunityBio’s earnings and profits, notwithstanding the fact that such Holder will not receive a cash payment. In the event of such a deemed dividend, ImmunityBio may be required to withhold tax from subsequent distributions of cash or property to Non-U.S. Holders. Non-U.S. Holders should consult their tax advisors regarding the proper treatment of any such adjustments to the Common Warrants.</w:t>
      </w:r>
    </w:p>
    <w:p>
      <w:pPr>
        <w:spacing w:after="0" w:line="144"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In addition, as discussed above under “—Tax Considerations Applicable to U.S. Holders—Certain Adjustments to and Distributions on Common Warrants,” the taxation of a distribution received with respect to a Common Warrant is unclear. It is possible such a distribution would be treated as a distribution (or constructive distribution), although other treatments are possible. Non-U.S. Holders should consult their tax advisors regarding the U.S. withholding tax and other U.S. tax consequences of distributions received with respect to Common Warrants.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Information reporting and backup withholding</w:t>
      </w:r>
    </w:p>
    <w:p>
      <w:pPr>
        <w:spacing w:after="0" w:line="93" w:lineRule="exact"/>
        <w:rPr>
          <w:sz w:val="20"/>
          <w:szCs w:val="20"/>
          <w:color w:val="auto"/>
        </w:rPr>
      </w:pPr>
    </w:p>
    <w:p>
      <w:pPr>
        <w:ind w:left="1360" w:right="459" w:firstLine="343"/>
        <w:spacing w:after="0" w:line="283" w:lineRule="auto"/>
        <w:rPr>
          <w:sz w:val="20"/>
          <w:szCs w:val="20"/>
          <w:color w:val="auto"/>
        </w:rPr>
      </w:pPr>
      <w:r>
        <w:rPr>
          <w:rFonts w:ascii="Times New Roman" w:cs="Times New Roman" w:eastAsia="Times New Roman" w:hAnsi="Times New Roman"/>
          <w:sz w:val="13"/>
          <w:szCs w:val="13"/>
          <w:color w:val="auto"/>
        </w:rPr>
        <w:t>Information returns will be filed with the IRS in connection with payments of dividends on the Offered Securities. Copies of the information returns reporting those dividends and withholding may also be made available to the tax authorities in the country in which a Non-U.S. Holder is a resident under the provisions of an applicable income tax treaty or agreement. Unless a Non-U.S. Holder complies with certification procedures to establish that the Non-U.S. Holder is not a United States person, information returns may also be filed with the IRS in connection with the proceeds from a sale, exchange or other disposition of the Offered Securities to or through the U.S. office (and, in certain cases, the foreign office) of a broker.</w:t>
      </w:r>
    </w:p>
    <w:p>
      <w:pPr>
        <w:spacing w:after="0" w:line="128"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A Non-U.S. Holder may be subject to backup withholding (currently at a rate of 24%) on payments on the Offered Securities or on the proceeds from a sale, exchange or other disposition of the Offered Securities unless the Non-U.S. Holder complies with certification procedures to establish that the Non-U.S. Holder is not a United States person or otherwise establishes an exemption. Compliance with the certification procedures required to claim a reduced rate of withholding under a treaty (including properly certifying non-U.S. status on an IRS Form W-8BEN, IRS Form W-8BEN-E or other appropriate version of IRS Form W-8 (or appropriate successor form)) generally will satisfy the certification requirements necessary to avoid backup withholding as well. Notwithstanding the foregoing, U.S. federal backup withholding may apply if the payor has actual knowledge, or reason to know, that a holder is a United States person.</w:t>
      </w:r>
    </w:p>
    <w:p>
      <w:pPr>
        <w:spacing w:after="0" w:line="9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S-27</w:t>
      </w:r>
    </w:p>
    <w:p>
      <w:pPr>
        <w:sectPr>
          <w:pgSz w:w="11900" w:h="16838" w:orient="portrait"/>
          <w:cols w:equalWidth="0" w:num="1">
            <w:col w:w="10159"/>
          </w:cols>
          <w:pgMar w:left="300" w:top="386"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from a payment to a Non-U.S. Holder under the backup withholding rules generally will be allowed as a credit against such Non-U.S. Holder’s U.S. federal income tax liability and may entitle such Non-U.S. Holder to a refund, provided the required information is furnished to the IRS in a timely manner. Non-U.S. Holders are urged to consult their tax advisors regarding the application of backup withholding and the availability of and procedure for obtaining an exemption from backup withholding in their particular circumstances.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FATCA</w:t>
      </w:r>
    </w:p>
    <w:p>
      <w:pPr>
        <w:spacing w:after="0" w:line="93"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Provisions of the Code commonly referred to as “FATCA” require withholding of 30% on payments of dividends on the Offered Securities, as well as payments of gross proceeds of dispositions of the Offered Securities, to a “foreign financial institution”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However, the IRS has issued proposed Treasury regulations that eliminate FATCA withholding on payments of gross proceeds (but not on payments of dividends). Pursuant to the preamble to the proposed Treasury regulations, any applicable withholding agent may (but is not required to) rely on this proposed change to FATCA withholding until final Treasury regulations are issued or the proposed Treasury regulations are withdrawn. An intergovernmental agreement between the United States and an applicable foreign country may modify these requirements. If FATCA withholding is imposed, a beneficial owner that is not a foreign financial institution generally may obtain a refund of any amounts withheld by filing a U.S. federal income tax return (which may entail significant administrative burden). Non-U.S. Holders should consult their tax advisors regarding the effects of FATCA on their investments in the Offered Securities.</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ImmunityBio will not pay any additional amounts to Non-U.S. Holders with respect to any amounts withheld, including pursuant to FATCA.</w:t>
      </w:r>
    </w:p>
    <w:p>
      <w:pPr>
        <w:spacing w:after="0" w:line="173" w:lineRule="exact"/>
        <w:rPr>
          <w:sz w:val="20"/>
          <w:szCs w:val="20"/>
          <w:color w:val="auto"/>
        </w:rPr>
      </w:pPr>
    </w:p>
    <w:p>
      <w:pPr>
        <w:ind w:left="1360" w:right="459"/>
        <w:spacing w:after="0" w:line="262" w:lineRule="auto"/>
        <w:rPr>
          <w:sz w:val="20"/>
          <w:szCs w:val="20"/>
          <w:color w:val="auto"/>
        </w:rPr>
      </w:pPr>
      <w:r>
        <w:rPr>
          <w:rFonts w:ascii="Times New Roman" w:cs="Times New Roman" w:eastAsia="Times New Roman" w:hAnsi="Times New Roman"/>
          <w:sz w:val="14"/>
          <w:szCs w:val="14"/>
          <w:b w:val="1"/>
          <w:bCs w:val="1"/>
          <w:color w:val="auto"/>
        </w:rPr>
        <w:t>THE PRECEDING DISCUSSION OF U.S. FEDERAL TAX CONSIDERATIONS IS FOR GENERAL INFORMATION ONLY. IT IS NOT TAX ADVICE. PROSPECTIVE INVESTORS SHOULD CONSULT THEIR TAX ADVISORS REGARDING THE PARTICULAR U.S. FEDERAL, STATE AND LOCAL AND NON-U.S. TAX CONSEQUENCES OF PURCHASING, HOLDING AND DISPOSING OF THE OFFERED SECURITIES, INCLUDING THE CONSEQUENCES OF ANY PROPOSED CHANGE IN APPLICABLE LAWS.</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S-28</w:t>
      </w:r>
    </w:p>
    <w:p>
      <w:pPr>
        <w:sectPr>
          <w:pgSz w:w="11900" w:h="16838" w:orient="portrait"/>
          <w:cols w:equalWidth="0" w:num="1">
            <w:col w:w="10159"/>
          </w:cols>
          <w:pgMar w:left="300" w:top="386"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right="219" w:firstLine="343"/>
        <w:spacing w:after="0" w:line="258" w:lineRule="auto"/>
        <w:rPr>
          <w:sz w:val="20"/>
          <w:szCs w:val="20"/>
          <w:color w:val="auto"/>
        </w:rPr>
      </w:pPr>
      <w:r>
        <w:rPr>
          <w:rFonts w:ascii="Times New Roman" w:cs="Times New Roman" w:eastAsia="Times New Roman" w:hAnsi="Times New Roman"/>
          <w:sz w:val="14"/>
          <w:szCs w:val="14"/>
          <w:color w:val="auto"/>
        </w:rPr>
        <w:t>Piper Sandler &amp; Co. as placement agent has entered into a placement agency agreement with us in which they have agreed to act as placement agent in connection with the offering. Subject to the terms and conditions contained in the placement agency agreement, the placement agent is acting on a reasonable best efforts basis, in connection with the issuance and sale by us of shares of common stock and the accompanying warrants to the investors. The placement agent has no obligation to buy any of the shares of common stock or the accompanying warrants from us nor is the placement agent required to arrange the purchase or sale of any specific number or dollar amount of the shares of common stock and accompanying warrants.</w:t>
      </w:r>
    </w:p>
    <w:p>
      <w:pPr>
        <w:spacing w:after="0" w:line="144" w:lineRule="exact"/>
        <w:rPr>
          <w:sz w:val="20"/>
          <w:szCs w:val="20"/>
          <w:color w:val="auto"/>
        </w:rPr>
      </w:pPr>
    </w:p>
    <w:p>
      <w:pPr>
        <w:jc w:val="both"/>
        <w:ind w:left="1360" w:right="539" w:firstLine="343"/>
        <w:spacing w:after="0" w:line="267" w:lineRule="auto"/>
        <w:rPr>
          <w:sz w:val="20"/>
          <w:szCs w:val="20"/>
          <w:color w:val="auto"/>
        </w:rPr>
      </w:pPr>
      <w:r>
        <w:rPr>
          <w:rFonts w:ascii="Times New Roman" w:cs="Times New Roman" w:eastAsia="Times New Roman" w:hAnsi="Times New Roman"/>
          <w:sz w:val="14"/>
          <w:szCs w:val="14"/>
          <w:color w:val="auto"/>
        </w:rPr>
        <w:t>We have agreed to indemnify the placement agent and certain other persons against certain liabilities under the Securities Act. The placement agent has informed us that they will not engage in overallotment, stabilizing transactions or syndicate covering transactions in connection with this offering.</w:t>
      </w:r>
    </w:p>
    <w:p>
      <w:pPr>
        <w:spacing w:after="0" w:line="136" w:lineRule="exact"/>
        <w:rPr>
          <w:sz w:val="20"/>
          <w:szCs w:val="20"/>
          <w:color w:val="auto"/>
        </w:rPr>
      </w:pPr>
    </w:p>
    <w:p>
      <w:pPr>
        <w:jc w:val="both"/>
        <w:ind w:left="1360" w:right="239" w:firstLine="343"/>
        <w:spacing w:after="0" w:line="296" w:lineRule="auto"/>
        <w:rPr>
          <w:sz w:val="20"/>
          <w:szCs w:val="20"/>
          <w:color w:val="auto"/>
        </w:rPr>
      </w:pPr>
      <w:r>
        <w:rPr>
          <w:rFonts w:ascii="Times New Roman" w:cs="Times New Roman" w:eastAsia="Times New Roman" w:hAnsi="Times New Roman"/>
          <w:sz w:val="13"/>
          <w:szCs w:val="13"/>
          <w:color w:val="auto"/>
        </w:rPr>
        <w:t>We have agreed to pay the placement agent a fee equal to 6.00% of the gross proceeds received by us from the sale of shares of common stock and accompanying warrants in this offering. The placement agent has agreed to reimburse us for certain expenses, and we have also agreed to reimburse the placement agent for certain expenses (including the legal fees, costs and expenses for the placement agent’s legal counsel) in an amount up to $75,000.</w:t>
      </w:r>
    </w:p>
    <w:p>
      <w:pPr>
        <w:spacing w:after="0" w:line="120"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The following table shows the per share of common stock and accompanying warrant and total fees we will pay to the placement agent assuming the sale of all of the shares of common stock and accompanying warrants offered pursuant to this prospectus supplement:</w:t>
      </w:r>
    </w:p>
    <w:p>
      <w:pPr>
        <w:spacing w:after="0" w:line="131" w:lineRule="exact"/>
        <w:rPr>
          <w:sz w:val="20"/>
          <w:szCs w:val="20"/>
          <w:color w:val="auto"/>
        </w:rPr>
      </w:pPr>
    </w:p>
    <w:tbl>
      <w:tblPr>
        <w:tblLayout w:type="fixed"/>
        <w:tblInd w:w="238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Per Share and</w:t>
            </w:r>
          </w:p>
        </w:tc>
        <w:tc>
          <w:tcPr>
            <w:tcW w:w="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380" w:type="dxa"/>
            <w:vAlign w:val="bottom"/>
            <w:gridSpan w:val="3"/>
          </w:tcPr>
          <w:p>
            <w:pPr>
              <w:jc w:val="right"/>
              <w:spacing w:after="0" w:line="116" w:lineRule="exact"/>
              <w:rPr>
                <w:sz w:val="20"/>
                <w:szCs w:val="20"/>
                <w:color w:val="auto"/>
              </w:rPr>
            </w:pPr>
            <w:r>
              <w:rPr>
                <w:rFonts w:ascii="Times New Roman" w:cs="Times New Roman" w:eastAsia="Times New Roman" w:hAnsi="Times New Roman"/>
                <w:sz w:val="11"/>
                <w:szCs w:val="11"/>
                <w:b w:val="1"/>
                <w:bCs w:val="1"/>
                <w:color w:val="auto"/>
              </w:rPr>
              <w:t>Accompanying</w:t>
            </w:r>
          </w:p>
        </w:tc>
        <w:tc>
          <w:tcPr>
            <w:tcW w:w="600" w:type="dxa"/>
            <w:vAlign w:val="bottom"/>
          </w:tcPr>
          <w:p>
            <w:pPr>
              <w:spacing w:after="0"/>
              <w:rPr>
                <w:sz w:val="10"/>
                <w:szCs w:val="10"/>
                <w:color w:val="auto"/>
              </w:rPr>
            </w:pPr>
          </w:p>
        </w:tc>
        <w:tc>
          <w:tcPr>
            <w:tcW w:w="9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Warrant</w:t>
            </w:r>
          </w:p>
        </w:tc>
        <w:tc>
          <w:tcPr>
            <w:tcW w:w="6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Offering price</w:t>
            </w:r>
          </w:p>
        </w:tc>
        <w:tc>
          <w:tcPr>
            <w:tcW w:w="6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2.700</w:t>
            </w:r>
          </w:p>
        </w:tc>
        <w:tc>
          <w:tcPr>
            <w:tcW w:w="6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$80,000,006.40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Placement agent fees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4,800,000.38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before reimbursements and expenses, to us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$75,200,006.02</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We have entered into a securities purchase agreement directly with the investors in connection with this offering, and will only sell to the investors who have entered into such securities purchase agreement. Our obligations to issue and sell the shares of common stock and accompanying warrants to the investors will be subject to the conditions set forth in the securities purchase agreement and warrants, which may be waived by us at our discretion. The investors’ obligations to purchase shares of common stock and accompanying warrants will be subject to the conditions set forth in the securities purchase agreement and warrants as well, which may also be waived.</w:t>
      </w:r>
    </w:p>
    <w:p>
      <w:pPr>
        <w:spacing w:after="0" w:line="144" w:lineRule="exact"/>
        <w:rPr>
          <w:sz w:val="20"/>
          <w:szCs w:val="20"/>
          <w:color w:val="auto"/>
        </w:rPr>
      </w:pPr>
    </w:p>
    <w:p>
      <w:pPr>
        <w:ind w:left="1360" w:right="439" w:firstLine="343"/>
        <w:spacing w:after="0" w:line="261" w:lineRule="auto"/>
        <w:rPr>
          <w:sz w:val="20"/>
          <w:szCs w:val="20"/>
          <w:color w:val="auto"/>
        </w:rPr>
      </w:pPr>
      <w:r>
        <w:rPr>
          <w:rFonts w:ascii="Times New Roman" w:cs="Times New Roman" w:eastAsia="Times New Roman" w:hAnsi="Times New Roman"/>
          <w:sz w:val="14"/>
          <w:szCs w:val="14"/>
          <w:color w:val="auto"/>
        </w:rPr>
        <w:t>Pursuant to the securities purchase agreement, we have agreed that, subject to certain exceptions, for a period of 45 days beginning as of the closing of the offering, neither we nor any of our subsidiaries will (i) issue, enter into any agreement to issue or announce the issuance or proposed issuance of any shares of common stock or common stock equivalents or (ii) file any registration statement or any amendment or supplement thereto, other than this prospectus supplement or filing a registration statement on Form S-8 in connection with any employee benefit plan.</w:t>
      </w:r>
    </w:p>
    <w:p>
      <w:pPr>
        <w:spacing w:after="0" w:line="141"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restrictions set forth above do not apply to (i) the issuance of the securities pursuant to the securities purchase agreement, (ii) sales pursuant to our Open Market Sale Agreement, dated as of April 30, 2021, by and between us and Jefferies LLC, provided no sales shall be made under the Open Market Sale Agreement prior to August 7, 2025, (iii) issuances of common stock or common stock equivalents to our employees, officers, directors or independent pursuant to any stock or option plan duly adopted for such purpose, by a majority of the non-employee members of the board of directors or a majority of the members of a committee of non-employee directors established for such purpose for services rendered to us, (iv) the issuance of securities upon the exercise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S-29</w:t>
      </w:r>
    </w:p>
    <w:p>
      <w:pPr>
        <w:sectPr>
          <w:pgSz w:w="11900" w:h="16838" w:orient="portrait"/>
          <w:cols w:equalWidth="0" w:num="1">
            <w:col w:w="10159"/>
          </w:cols>
          <w:pgMar w:left="300" w:top="386"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75" w:lineRule="auto"/>
        <w:rPr>
          <w:sz w:val="20"/>
          <w:szCs w:val="20"/>
          <w:color w:val="auto"/>
        </w:rPr>
      </w:pPr>
      <w:r>
        <w:rPr>
          <w:rFonts w:ascii="Times New Roman" w:cs="Times New Roman" w:eastAsia="Times New Roman" w:hAnsi="Times New Roman"/>
          <w:sz w:val="13"/>
          <w:szCs w:val="13"/>
          <w:color w:val="auto"/>
        </w:rPr>
        <w:t>or exchange of or conversion of any securities issued pursuant to the securities purchase agreement and/or other securities exercisable or exchangeable for or convertible into common stock issued and outstanding on the date of the securities purchase agreement, provided that such securities have not been amended since the date of the securities purchase agreement to increase the number of such securities or to decrease the exercise price, exchange price or conversion price of such securities (other than in connection with stock splits or combinations) or to extend the term of such securities, and</w:t>
      </w:r>
    </w:p>
    <w:p>
      <w:pPr>
        <w:spacing w:after="0" w:line="2" w:lineRule="exact"/>
        <w:rPr>
          <w:sz w:val="20"/>
          <w:szCs w:val="20"/>
          <w:color w:val="auto"/>
        </w:rPr>
      </w:pPr>
    </w:p>
    <w:p>
      <w:pPr>
        <w:ind w:left="1360" w:right="279" w:hanging="5"/>
        <w:spacing w:after="0" w:line="252" w:lineRule="auto"/>
        <w:tabs>
          <w:tab w:leader="none" w:pos="155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issued pursuant to acquisitions or strategic transactions approved by a majority of our disinterested directors, provided that such securities are issued as “restricted securities” or contractually restricted securities and carry no registration rights that require or permit the filing of any registration statement in connection therewith, and provided that any such issuance shall only be to a person (or to the equity holders of a person) which is, itself or through its subsidiaries, an operating company or an owner of an asset in a business synergistic with our business and shall provide us additional benefits in addition to the investment of funds, but shall not include a transaction in which we are issuing securities primarily for the purpose of raising capital or to an entity whose primary business is investing in securities</w:t>
      </w:r>
    </w:p>
    <w:p>
      <w:pPr>
        <w:spacing w:after="0" w:line="149" w:lineRule="exact"/>
        <w:rPr>
          <w:sz w:val="20"/>
          <w:szCs w:val="20"/>
          <w:color w:val="auto"/>
        </w:rPr>
      </w:pPr>
    </w:p>
    <w:p>
      <w:pPr>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This is a brief summary of certain provisions of the placement agency agreement that we have entered into and does not purport to be a complete statement of its terms and conditions. A copy of the placement agency agreement will be filed with the SEC and incorporated by reference into the registration statement of which this prospectus supplement forms a part.</w:t>
      </w:r>
    </w:p>
    <w:p>
      <w:pPr>
        <w:spacing w:after="0" w:line="136"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placement agent and certain of its affiliates have provided in the past, and may provide from time to time in the future, certain commercial banking, financial advisory, investment banking and other services for us and our affiliates in the ordinary course of their business, for which they have received and may continue to receive customary fees and commissions. In addition, from time to time, the placement agent and certain of its affiliates may effect transactions for their own account or the account of customers, and hold on behalf of themselves or their customers, long or short positions in our debt or equity securities or loans, and may do so in the future.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Listing</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“IBRX.” The closing price of our common stock on July 24,</w:t>
      </w:r>
    </w:p>
    <w:p>
      <w:pPr>
        <w:spacing w:after="0" w:line="22" w:lineRule="exact"/>
        <w:rPr>
          <w:sz w:val="20"/>
          <w:szCs w:val="20"/>
          <w:color w:val="auto"/>
        </w:rPr>
      </w:pPr>
    </w:p>
    <w:p>
      <w:pPr>
        <w:ind w:left="1360" w:right="739"/>
        <w:spacing w:after="0" w:line="261" w:lineRule="auto"/>
        <w:rPr>
          <w:sz w:val="20"/>
          <w:szCs w:val="20"/>
          <w:color w:val="auto"/>
        </w:rPr>
      </w:pPr>
      <w:r>
        <w:rPr>
          <w:rFonts w:ascii="Times New Roman" w:cs="Times New Roman" w:eastAsia="Times New Roman" w:hAnsi="Times New Roman"/>
          <w:sz w:val="14"/>
          <w:szCs w:val="14"/>
          <w:color w:val="auto"/>
        </w:rPr>
        <w:t>2025 as reported by Nasdaq, was $3.01 per share. There is no established public trading market for the warrants, and we do not intend to list the warrants on any national securities exchange or nationally-recognized trading system.</w:t>
      </w:r>
    </w:p>
    <w:p>
      <w:pPr>
        <w:spacing w:after="0" w:line="2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Agent</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transfer agent for our common stock is Equiniti Trust Company LLC.</w:t>
      </w:r>
    </w:p>
    <w:p>
      <w:pPr>
        <w:spacing w:after="0" w:line="1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S-30</w:t>
      </w:r>
    </w:p>
    <w:p>
      <w:pPr>
        <w:sectPr>
          <w:pgSz w:w="11900" w:h="16838" w:orient="portrait"/>
          <w:cols w:equalWidth="0" w:num="1">
            <w:col w:w="10159"/>
          </w:cols>
          <w:pgMar w:left="300" w:top="386"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Certain legal matters in connection with the securities offered hereby will be passed upon for us by Wilson Sonsini Goodrich &amp; Rosati, Professional Corporation, San Diego, California. The placement agent is being represented in this offering by Goodwin Procter LLP, Redwood City, California.</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19" w:firstLine="343"/>
        <w:spacing w:after="0" w:line="25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consolidated financial statements of ImmunityBio, Inc. appearing in ImmunityBio, Inc.’s </w:t>
      </w:r>
      <w:hyperlink r:id="rId52">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and the effectiveness of ImmunityBio, Inc.’s internal control over financial reporting as of December 31, 2024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31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of which this prospectus supplement and the accompanying prospectus form a part. The rules and regulations of the SEC allow us to omit from this prospectus supplement certain information included in the registration statement. For further information about us and the securities we are offering under this prospectus supplement, you should refer to the registration statement and the exhibits and schedules filed with the registration statement. With respect to the statements contained in this prospectus supplement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4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documents with the SEC electronically. The SEC maintains an Internet site that contains reports, proxy and information statements, and other information regarding issuers that file electronically with the SEC. You can access the electronic versions of these filings on the SEC’s website found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360" w:right="539" w:firstLine="343"/>
        <w:spacing w:after="0" w:line="261" w:lineRule="auto"/>
        <w:rPr>
          <w:sz w:val="20"/>
          <w:szCs w:val="20"/>
          <w:color w:val="auto"/>
        </w:rPr>
      </w:pPr>
      <w:r>
        <w:rPr>
          <w:rFonts w:ascii="Times New Roman" w:cs="Times New Roman" w:eastAsia="Times New Roman" w:hAnsi="Times New Roman"/>
          <w:sz w:val="14"/>
          <w:szCs w:val="14"/>
          <w:color w:val="auto"/>
        </w:rPr>
        <w:t>We make available free of charge on our website our annual, quarterly and current reports, including amendments to such reports, as soon as reasonably practicable after we electronically file such material with, or furnish such material to, the SEC. Please note, however, that we have not incorporated any other information by reference from our website, other than the documents listed under the heading “</w:t>
      </w:r>
      <w:r>
        <w:rPr>
          <w:rFonts w:ascii="Times New Roman" w:cs="Times New Roman" w:eastAsia="Times New Roman" w:hAnsi="Times New Roman"/>
          <w:sz w:val="14"/>
          <w:szCs w:val="14"/>
          <w:u w:val="single" w:color="auto"/>
          <w:color w:val="0000EE"/>
        </w:rPr>
        <w:t>Information Incorporated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Reference</w:t>
      </w:r>
      <w:r>
        <w:rPr>
          <w:rFonts w:ascii="Times New Roman" w:cs="Times New Roman" w:eastAsia="Times New Roman" w:hAnsi="Times New Roman"/>
          <w:sz w:val="14"/>
          <w:szCs w:val="14"/>
          <w:color w:val="000000"/>
        </w:rPr>
        <w:t>” below.</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S-31</w:t>
      </w:r>
    </w:p>
    <w:p>
      <w:pPr>
        <w:sectPr>
          <w:pgSz w:w="11900" w:h="16838" w:orient="portrait"/>
          <w:cols w:equalWidth="0" w:num="1">
            <w:col w:w="10159"/>
          </w:cols>
          <w:pgMar w:left="300" w:top="386"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INCORPORATED BY REFERENCE</w:t>
      </w:r>
    </w:p>
    <w:p>
      <w:pPr>
        <w:spacing w:after="0" w:line="177"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SEC allows us to incorporate by reference the information we file with it, which means that we can disclose important information to you by referring you to another document that we have filed separately with the SEC. The information incorporated by reference is deemed to be part of this prospectus supplement, and subsequent information that we file with the SEC will automatically update and supersede that information. You should read the information incorporated by reference because it is an important part of this prospectus supplement.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spacing w:after="0" w:line="143"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We incorporate by reference the following information or documents that we have filed with the SEC (excluding those portions of any Form 8-K that are not deemed “filed” pursuant to the General Instructions of Form 8-K):</w:t>
      </w:r>
    </w:p>
    <w:p>
      <w:pPr>
        <w:spacing w:after="0" w:line="51" w:lineRule="exact"/>
        <w:rPr>
          <w:sz w:val="20"/>
          <w:szCs w:val="20"/>
          <w:color w:val="auto"/>
        </w:rPr>
      </w:pPr>
    </w:p>
    <w:p>
      <w:pPr>
        <w:ind w:left="2120" w:hanging="345"/>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52">
        <w:r>
          <w:rPr>
            <w:rFonts w:ascii="Times New Roman" w:cs="Times New Roman" w:eastAsia="Times New Roman" w:hAnsi="Times New Roman"/>
            <w:sz w:val="14"/>
            <w:szCs w:val="14"/>
            <w:u w:val="single" w:color="auto"/>
            <w:color w:val="0000EE"/>
          </w:rPr>
          <w:t>Annual Report on 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2024 filed with the SEC on March 3, 2025;</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w:t>
      </w:r>
      <w:hyperlink r:id="rId54">
        <w:r>
          <w:rPr>
            <w:rFonts w:ascii="Times New Roman" w:cs="Times New Roman" w:eastAsia="Times New Roman" w:hAnsi="Times New Roman"/>
            <w:sz w:val="14"/>
            <w:szCs w:val="14"/>
            <w:u w:val="single" w:color="auto"/>
            <w:color w:val="0000EE"/>
          </w:rPr>
          <w:t>Quarterly Report on 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three months ended March 31, 2025 filed with the SEC on May 12, 2025;</w:t>
      </w:r>
    </w:p>
    <w:p>
      <w:pPr>
        <w:spacing w:after="0" w:line="10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 our Annual Report on Form 10-K for the year ended December 31, 2024, from our </w:t>
      </w:r>
      <w:hyperlink r:id="rId55">
        <w:r>
          <w:rPr>
            <w:rFonts w:ascii="Times New Roman" w:cs="Times New Roman" w:eastAsia="Times New Roman" w:hAnsi="Times New Roman"/>
            <w:sz w:val="14"/>
            <w:szCs w:val="14"/>
            <w:u w:val="single" w:color="auto"/>
            <w:color w:val="0000EE"/>
          </w:rPr>
          <w:t>Definitive Proxy Statement</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relating to our 2025 annual meeting of stockholders, filed with the SEC on April 30, 2025;</w:t>
      </w:r>
    </w:p>
    <w:p>
      <w:pPr>
        <w:spacing w:after="0" w:line="5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56">
        <w:r>
          <w:rPr>
            <w:rFonts w:ascii="Times New Roman" w:cs="Times New Roman" w:eastAsia="Times New Roman" w:hAnsi="Times New Roman"/>
            <w:sz w:val="14"/>
            <w:szCs w:val="14"/>
            <w:u w:val="single" w:color="auto"/>
            <w:color w:val="0000EE"/>
          </w:rPr>
          <w:t>Exhibit 4.7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filed with the SEC on March 19, 2024, including any amendment or report filed for the purpose of updating such description; and</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25"/>
        </w:numPr>
        <w:rPr>
          <w:rFonts w:ascii="Times New Roman" w:cs="Times New Roman" w:eastAsia="Times New Roman" w:hAnsi="Times New Roman"/>
          <w:sz w:val="14"/>
          <w:szCs w:val="14"/>
          <w:color w:val="0000EE"/>
        </w:rPr>
      </w:pPr>
      <w:hyperlink r:id="rId57">
        <w:r>
          <w:rPr>
            <w:rFonts w:ascii="Times New Roman" w:cs="Times New Roman" w:eastAsia="Times New Roman" w:hAnsi="Times New Roman"/>
            <w:sz w:val="14"/>
            <w:szCs w:val="14"/>
            <w:color w:val="auto"/>
          </w:rPr>
          <w:t xml:space="preserve">our Current Reports on Form 8-K filed with the SEC on </w:t>
        </w:r>
        <w:r>
          <w:rPr>
            <w:rFonts w:ascii="Times New Roman" w:cs="Times New Roman" w:eastAsia="Times New Roman" w:hAnsi="Times New Roman"/>
            <w:sz w:val="14"/>
            <w:szCs w:val="14"/>
            <w:u w:val="single" w:color="auto"/>
            <w:color w:val="0000EE"/>
          </w:rPr>
          <w:t>February 7,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13,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March 19,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April 8,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20,</w:t>
        </w:r>
      </w:hyperlink>
      <w:r>
        <w:rPr>
          <w:rFonts w:ascii="Times New Roman" w:cs="Times New Roman" w:eastAsia="Times New Roman" w:hAnsi="Times New Roman"/>
          <w:sz w:val="14"/>
          <w:szCs w:val="14"/>
          <w:color w:val="auto"/>
        </w:rPr>
        <w:t xml:space="preserve"> </w:t>
      </w:r>
      <w:hyperlink r:id="rId57">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58">
        <w:r>
          <w:rPr>
            <w:rFonts w:ascii="Times New Roman" w:cs="Times New Roman" w:eastAsia="Times New Roman" w:hAnsi="Times New Roman"/>
            <w:sz w:val="14"/>
            <w:szCs w:val="14"/>
            <w:u w:val="single" w:color="auto"/>
            <w:color w:val="0000EE"/>
          </w:rPr>
          <w:t>July 25, 2025</w:t>
        </w:r>
      </w:hyperlink>
      <w:hyperlink r:id="rId57">
        <w:r>
          <w:rPr>
            <w:rFonts w:ascii="Times New Roman" w:cs="Times New Roman" w:eastAsia="Times New Roman" w:hAnsi="Times New Roman"/>
            <w:sz w:val="14"/>
            <w:szCs w:val="14"/>
            <w:color w:val="000000"/>
          </w:rPr>
          <w:t>.</w:t>
        </w:r>
      </w:hyperlink>
    </w:p>
    <w:p>
      <w:pPr>
        <w:spacing w:after="0" w:line="125" w:lineRule="exact"/>
        <w:rPr>
          <w:rFonts w:ascii="Times New Roman" w:cs="Times New Roman" w:eastAsia="Times New Roman" w:hAnsi="Times New Roman"/>
          <w:sz w:val="14"/>
          <w:szCs w:val="14"/>
          <w:color w:val="0000EE"/>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also incorporate by reference into this prospectus supplement additional documents that we may file with the SEC under Sections 13(a), 13(c), 14 or 15(d) of the Exchange Act prior to the completion or termination of the offering, but excluding any information deemed furnished and not filed with the SEC. Any statements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44" w:lineRule="exact"/>
        <w:rPr>
          <w:rFonts w:ascii="Times New Roman" w:cs="Times New Roman" w:eastAsia="Times New Roman" w:hAnsi="Times New Roman"/>
          <w:sz w:val="14"/>
          <w:szCs w:val="14"/>
          <w:color w:val="0000EE"/>
        </w:rPr>
      </w:pPr>
    </w:p>
    <w:p>
      <w:pPr>
        <w:ind w:left="1360" w:right="439" w:firstLine="343"/>
        <w:spacing w:after="0" w:line="258" w:lineRule="auto"/>
        <w:rPr>
          <w:sz w:val="20"/>
          <w:szCs w:val="20"/>
          <w:color w:val="auto"/>
        </w:rPr>
      </w:pPr>
      <w:r>
        <w:rPr>
          <w:rFonts w:ascii="Times New Roman" w:cs="Times New Roman" w:eastAsia="Times New Roman" w:hAnsi="Times New Roman"/>
          <w:sz w:val="14"/>
          <w:szCs w:val="14"/>
          <w:color w:val="auto"/>
        </w:rPr>
        <w:t>This prospectus supplement may contain information that updates, modifies or is contrary to information in one or more of the documents incorporated by reference in this prospectus supplement. You should rely only on the information incorporated by reference or provided in this prospectus supplement. We have not authorized anyone else to provide you with different information. You should not assume that the information in this prospectus supplement is accurate as of any date other than the date of this prospectus supplement or the date of the documents incorporated by reference in this prospectus supplement.</w:t>
      </w:r>
    </w:p>
    <w:p>
      <w:pPr>
        <w:spacing w:after="0" w:line="144" w:lineRule="exact"/>
        <w:rPr>
          <w:rFonts w:ascii="Times New Roman" w:cs="Times New Roman" w:eastAsia="Times New Roman" w:hAnsi="Times New Roman"/>
          <w:sz w:val="14"/>
          <w:szCs w:val="14"/>
          <w:color w:val="0000EE"/>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We will provide to each person, including any beneficial owner, to whom this prospectus supplement is delivered, upon written or oral request, at no cost to the requester, a copy of any and all of the information that is incorporated by reference in this prospectus supplement, but not delivered with the prospectus supplement, other than exhibits to such documents unless such exhibits are specifically incorporated by reference into the documents that this prospectus supplement incorporates.</w:t>
      </w:r>
    </w:p>
    <w:p>
      <w:pPr>
        <w:spacing w:after="0" w:line="88" w:lineRule="exact"/>
        <w:rPr>
          <w:rFonts w:ascii="Times New Roman" w:cs="Times New Roman" w:eastAsia="Times New Roman" w:hAnsi="Times New Roman"/>
          <w:sz w:val="14"/>
          <w:szCs w:val="14"/>
          <w:color w:val="0000EE"/>
        </w:rPr>
      </w:pPr>
    </w:p>
    <w:p>
      <w:pPr>
        <w:ind w:left="5520"/>
        <w:spacing w:after="0"/>
        <w:rPr>
          <w:sz w:val="20"/>
          <w:szCs w:val="20"/>
          <w:color w:val="auto"/>
        </w:rPr>
      </w:pPr>
      <w:r>
        <w:rPr>
          <w:rFonts w:ascii="Times New Roman" w:cs="Times New Roman" w:eastAsia="Times New Roman" w:hAnsi="Times New Roman"/>
          <w:sz w:val="14"/>
          <w:szCs w:val="14"/>
          <w:color w:val="auto"/>
        </w:rPr>
        <w:t>S-32</w:t>
      </w:r>
    </w:p>
    <w:p>
      <w:pPr>
        <w:sectPr>
          <w:pgSz w:w="11900" w:h="16838" w:orient="portrait"/>
          <w:cols w:equalWidth="0" w:num="1">
            <w:col w:w="10159"/>
          </w:cols>
          <w:pgMar w:left="300" w:top="386"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Requests for such documents should be directed to:</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ImmunityBio, Inc.</w:t>
      </w:r>
    </w:p>
    <w:p>
      <w:pPr>
        <w:spacing w:after="0" w:line="2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3530 John Hopkins Court</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San Diego, CA 92121</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(844) 696-5235</w:t>
      </w:r>
    </w:p>
    <w:p>
      <w:pPr>
        <w:spacing w:after="0" w:line="159" w:lineRule="exact"/>
        <w:rPr>
          <w:sz w:val="20"/>
          <w:szCs w:val="20"/>
          <w:color w:val="auto"/>
        </w:rPr>
      </w:pPr>
    </w:p>
    <w:p>
      <w:pPr>
        <w:ind w:left="1360" w:right="459"/>
        <w:spacing w:after="0" w:line="262" w:lineRule="auto"/>
        <w:rPr>
          <w:sz w:val="20"/>
          <w:szCs w:val="20"/>
          <w:color w:val="auto"/>
        </w:rPr>
      </w:pPr>
      <w:r>
        <w:rPr>
          <w:rFonts w:ascii="Times New Roman" w:cs="Times New Roman" w:eastAsia="Times New Roman" w:hAnsi="Times New Roman"/>
          <w:sz w:val="14"/>
          <w:szCs w:val="14"/>
          <w:b w:val="1"/>
          <w:bCs w:val="1"/>
          <w:color w:val="auto"/>
        </w:rPr>
        <w:t>You may also access the documents incorporated by reference in this prospectus supplement through our website at www.immunitybio.com. Except for the specific incorporated documents listed above, no information available on or through our website shall be deemed to be incorporated in this prospectus supplement or the registration statement of which it forms a part. Inclusion of our website address in this prospectus supplement is an inactive textual reference only.</w:t>
      </w:r>
    </w:p>
    <w:p>
      <w:pPr>
        <w:spacing w:after="0" w:line="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S-33</w:t>
      </w:r>
    </w:p>
    <w:p>
      <w:pPr>
        <w:sectPr>
          <w:pgSz w:w="11900" w:h="16838" w:orient="portrait"/>
          <w:cols w:equalWidth="0" w:num="1">
            <w:col w:w="10159"/>
          </w:cols>
          <w:pgMar w:left="300" w:top="386"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135255</wp:posOffset>
            </wp:positionV>
            <wp:extent cx="1809115" cy="4940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809115"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Depositary Shares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Subscription Rights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Purchase Contracts</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151" w:lineRule="exact"/>
        <w:rPr>
          <w:sz w:val="20"/>
          <w:szCs w:val="20"/>
          <w:color w:val="auto"/>
        </w:rPr>
      </w:pPr>
    </w:p>
    <w:p>
      <w:pPr>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We may from time to time, in one or more offerings, offer and sell common stock, preferred stock, debt securities, depositary shares, warrants to purchase common stock, preferred stock or debt securities, subscription rights, purchase contracts or any combination of the foregoing, either individually or as units comprised of one or more of the other securities.</w:t>
      </w:r>
    </w:p>
    <w:p>
      <w:pPr>
        <w:spacing w:after="0" w:line="136"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This prospectus provides a general description of the securities we may offer. This prospectus may not be used to sell securities unless accompanied by a prospectus supplement, which will describe the method and the terms of the offering. We will provide you with the specific amount, price and terms of the applicable offered securities in one or more supplements to this prospectus. We may also authorize one or more free writing prospectuses to be provided to you in connection with these offerings. A prospectus supplement and any free writing prospectus may also add, update or change information contained in this prospectus with respect to that offering. You should read this prospectus, the information and documents incorporated, or deemed to be incorporated, by reference in this prospectus, and any applicable prospectus supplement and any related free writing prospectus carefully before you purchase any of our securities offered hereby.</w:t>
      </w:r>
    </w:p>
    <w:p>
      <w:pPr>
        <w:spacing w:after="0" w:line="144" w:lineRule="exact"/>
        <w:rPr>
          <w:sz w:val="20"/>
          <w:szCs w:val="20"/>
          <w:color w:val="auto"/>
        </w:rPr>
      </w:pPr>
    </w:p>
    <w:p>
      <w:pPr>
        <w:ind w:left="1360" w:right="319" w:firstLine="343"/>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“IBRX.” On April 12, 2024, the closing price on The Nasdaq Global Select Market was $5.11 per share. There is currently no market for the other securities we may offer.</w:t>
      </w:r>
    </w:p>
    <w:p>
      <w:pPr>
        <w:spacing w:after="0" w:line="115" w:lineRule="exact"/>
        <w:rPr>
          <w:sz w:val="20"/>
          <w:szCs w:val="20"/>
          <w:color w:val="auto"/>
        </w:rPr>
      </w:pPr>
    </w:p>
    <w:p>
      <w:pPr>
        <w:jc w:val="both"/>
        <w:ind w:left="1360" w:right="279" w:firstLine="343"/>
        <w:spacing w:after="0" w:line="241"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Please carefully read the information under the headings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6 of this prospectus and in any similar section contained in or incorporated by reference herein or in the applicable prospectus supplement, and “Item 1A – Risk Factors” of our most recent report on</w:t>
      </w:r>
    </w:p>
    <w:p>
      <w:pPr>
        <w:spacing w:after="0" w:line="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Form 10-K or 10-Q that is incorporated by reference in this prospectus before you invest in our securities.</w:t>
      </w:r>
    </w:p>
    <w:p>
      <w:pPr>
        <w:spacing w:after="0" w:line="148" w:lineRule="exact"/>
        <w:rPr>
          <w:sz w:val="20"/>
          <w:szCs w:val="20"/>
          <w:color w:val="auto"/>
        </w:rPr>
      </w:pPr>
    </w:p>
    <w:p>
      <w:pPr>
        <w:ind w:left="1360" w:right="259" w:firstLine="343"/>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35"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These securities may be offered and sold to or through one or more underwriters, dealers and agents, or directly to purchasers, or through a combination of these methods. If underwriters, dealers, or agents are used to sell the securities, we will name them and describe their compensation in a prospectus supplement. See the sections of this prospectus 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The date of this prospectus is April 17, 2024.</w:t>
      </w:r>
    </w:p>
    <w:p>
      <w:pPr>
        <w:sectPr>
          <w:pgSz w:w="11900" w:h="16838" w:orient="portrait"/>
          <w:cols w:equalWidth="0" w:num="1">
            <w:col w:w="10159"/>
          </w:cols>
          <w:pgMar w:left="300" w:top="386"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320" w:type="dxa"/>
            <w:vAlign w:val="bottom"/>
            <w:gridSpan w:val="2"/>
          </w:tcPr>
          <w:p>
            <w:pPr>
              <w:jc w:val="right"/>
              <w:ind w:right="3440"/>
              <w:spacing w:after="0"/>
              <w:rPr>
                <w:sz w:val="20"/>
                <w:szCs w:val="20"/>
                <w:color w:val="auto"/>
              </w:rPr>
            </w:pPr>
            <w:r>
              <w:rPr>
                <w:rFonts w:ascii="Times New Roman" w:cs="Times New Roman" w:eastAsia="Times New Roman" w:hAnsi="Times New Roman"/>
                <w:sz w:val="14"/>
                <w:szCs w:val="14"/>
                <w:b w:val="1"/>
                <w:bCs w:val="1"/>
                <w:color w:val="auto"/>
              </w:rPr>
              <w:t>TABLE OF CONTENTS</w:t>
            </w:r>
          </w:p>
        </w:tc>
      </w:tr>
      <w:tr>
        <w:trPr>
          <w:trHeight w:val="325"/>
        </w:trPr>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7"/>
              </w:rPr>
              <w:t>Prospectus</w:t>
            </w:r>
          </w:p>
        </w:tc>
        <w:tc>
          <w:tcPr>
            <w:tcW w:w="1700" w:type="dxa"/>
            <w:vAlign w:val="bottom"/>
            <w:gridSpan w:val="16"/>
          </w:tcPr>
          <w:p>
            <w:pPr>
              <w:spacing w:after="0"/>
              <w:rPr>
                <w:sz w:val="24"/>
                <w:szCs w:val="24"/>
                <w:color w:val="auto"/>
              </w:rPr>
            </w:pPr>
          </w:p>
        </w:tc>
        <w:tc>
          <w:tcPr>
            <w:tcW w:w="63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07"/>
        </w:trPr>
        <w:tc>
          <w:tcPr>
            <w:tcW w:w="2220" w:type="dxa"/>
            <w:vAlign w:val="bottom"/>
            <w:gridSpan w:val="18"/>
          </w:tcPr>
          <w:p>
            <w:pPr>
              <w:spacing w:after="0" w:line="97" w:lineRule="exact"/>
              <w:rPr>
                <w:sz w:val="20"/>
                <w:szCs w:val="20"/>
                <w:color w:val="auto"/>
              </w:rPr>
            </w:pPr>
            <w:r>
              <w:rPr>
                <w:rFonts w:ascii="Times New Roman" w:cs="Times New Roman" w:eastAsia="Times New Roman" w:hAnsi="Times New Roman"/>
                <w:sz w:val="11"/>
                <w:szCs w:val="11"/>
                <w:color w:val="0000EE"/>
              </w:rPr>
              <w:t>About this Prospectus</w:t>
            </w:r>
          </w:p>
        </w:tc>
        <w:tc>
          <w:tcPr>
            <w:tcW w:w="6080" w:type="dxa"/>
            <w:vAlign w:val="bottom"/>
          </w:tcPr>
          <w:p>
            <w:pPr>
              <w:spacing w:after="0"/>
              <w:rPr>
                <w:sz w:val="9"/>
                <w:szCs w:val="9"/>
                <w:color w:val="auto"/>
              </w:rPr>
            </w:pPr>
          </w:p>
        </w:tc>
        <w:tc>
          <w:tcPr>
            <w:tcW w:w="24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ii</w:t>
            </w:r>
          </w:p>
        </w:tc>
      </w:tr>
      <w:tr>
        <w:trPr>
          <w:trHeight w:val="159"/>
        </w:trPr>
        <w:tc>
          <w:tcPr>
            <w:tcW w:w="1220" w:type="dxa"/>
            <w:vAlign w:val="bottom"/>
            <w:tcBorders>
              <w:top w:val="single" w:sz="8" w:color="0000EE"/>
            </w:tcBorders>
            <w:gridSpan w:val="9"/>
          </w:tcPr>
          <w:p>
            <w:pPr>
              <w:spacing w:after="0" w:line="159" w:lineRule="exact"/>
              <w:rPr>
                <w:sz w:val="20"/>
                <w:szCs w:val="20"/>
                <w:color w:val="auto"/>
              </w:rPr>
            </w:pPr>
            <w:r>
              <w:rPr>
                <w:rFonts w:ascii="Times New Roman" w:cs="Times New Roman" w:eastAsia="Times New Roman" w:hAnsi="Times New Roman"/>
                <w:sz w:val="14"/>
                <w:szCs w:val="14"/>
                <w:color w:val="0000EE"/>
              </w:rPr>
              <w:t>Prospectus Summary</w:t>
            </w:r>
          </w:p>
        </w:tc>
        <w:tc>
          <w:tcPr>
            <w:tcW w:w="1000" w:type="dxa"/>
            <w:vAlign w:val="bottom"/>
            <w:gridSpan w:val="9"/>
          </w:tcPr>
          <w:p>
            <w:pPr>
              <w:spacing w:after="0"/>
              <w:rPr>
                <w:sz w:val="13"/>
                <w:szCs w:val="13"/>
                <w:color w:val="auto"/>
              </w:rPr>
            </w:pPr>
          </w:p>
        </w:tc>
        <w:tc>
          <w:tcPr>
            <w:tcW w:w="63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1</w:t>
            </w:r>
          </w:p>
        </w:tc>
      </w:tr>
      <w:tr>
        <w:trPr>
          <w:trHeight w:val="148"/>
        </w:trPr>
        <w:tc>
          <w:tcPr>
            <w:tcW w:w="70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480" w:type="dxa"/>
            <w:vAlign w:val="bottom"/>
            <w:tcBorders>
              <w:top w:val="single" w:sz="8" w:color="0000EE"/>
            </w:tcBorders>
            <w:gridSpan w:val="5"/>
          </w:tcPr>
          <w:p>
            <w:pPr>
              <w:spacing w:after="0"/>
              <w:rPr>
                <w:sz w:val="12"/>
                <w:szCs w:val="12"/>
                <w:color w:val="auto"/>
              </w:rPr>
            </w:pPr>
          </w:p>
        </w:tc>
        <w:tc>
          <w:tcPr>
            <w:tcW w:w="1040" w:type="dxa"/>
            <w:vAlign w:val="bottom"/>
            <w:gridSpan w:val="10"/>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6</w:t>
            </w:r>
          </w:p>
        </w:tc>
      </w:tr>
      <w:tr>
        <w:trPr>
          <w:trHeight w:val="148"/>
        </w:trPr>
        <w:tc>
          <w:tcPr>
            <w:tcW w:w="222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Forward-Looking Statements</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r>
      <w:tr>
        <w:trPr>
          <w:trHeight w:val="148"/>
        </w:trPr>
        <w:tc>
          <w:tcPr>
            <w:tcW w:w="1640" w:type="dxa"/>
            <w:vAlign w:val="bottom"/>
            <w:tcBorders>
              <w:top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580" w:type="dxa"/>
            <w:vAlign w:val="bottom"/>
            <w:gridSpan w:val="5"/>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10</w:t>
            </w: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148"/>
        </w:trPr>
        <w:tc>
          <w:tcPr>
            <w:tcW w:w="160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620" w:type="dxa"/>
            <w:vAlign w:val="bottom"/>
            <w:gridSpan w:val="6"/>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11</w:t>
            </w:r>
          </w:p>
        </w:tc>
      </w:tr>
      <w:tr>
        <w:trPr>
          <w:trHeight w:val="148"/>
        </w:trPr>
        <w:tc>
          <w:tcPr>
            <w:tcW w:w="1700" w:type="dxa"/>
            <w:vAlign w:val="bottom"/>
            <w:tcBorders>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Debt Securities</w:t>
            </w:r>
          </w:p>
        </w:tc>
        <w:tc>
          <w:tcPr>
            <w:tcW w:w="520" w:type="dxa"/>
            <w:vAlign w:val="bottom"/>
            <w:gridSpan w:val="4"/>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12</w:t>
            </w:r>
          </w:p>
        </w:tc>
      </w:tr>
      <w:tr>
        <w:trPr>
          <w:trHeight w:val="148"/>
        </w:trPr>
        <w:tc>
          <w:tcPr>
            <w:tcW w:w="1860" w:type="dxa"/>
            <w:vAlign w:val="bottom"/>
            <w:tcBorders>
              <w:bottom w:val="single" w:sz="8" w:color="0000EE"/>
            </w:tcBorders>
            <w:gridSpan w:val="15"/>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Depositary Shares</w:t>
            </w:r>
          </w:p>
        </w:tc>
        <w:tc>
          <w:tcPr>
            <w:tcW w:w="360" w:type="dxa"/>
            <w:vAlign w:val="bottom"/>
            <w:gridSpan w:val="3"/>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20</w:t>
            </w:r>
          </w:p>
        </w:tc>
      </w:tr>
      <w:tr>
        <w:trPr>
          <w:trHeight w:val="148"/>
        </w:trPr>
        <w:tc>
          <w:tcPr>
            <w:tcW w:w="1340" w:type="dxa"/>
            <w:vAlign w:val="bottom"/>
            <w:tcBorders>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Warrants</w:t>
            </w:r>
          </w:p>
        </w:tc>
        <w:tc>
          <w:tcPr>
            <w:tcW w:w="880" w:type="dxa"/>
            <w:vAlign w:val="bottom"/>
            <w:gridSpan w:val="8"/>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23</w:t>
            </w:r>
          </w:p>
        </w:tc>
      </w:tr>
      <w:tr>
        <w:trPr>
          <w:trHeight w:val="148"/>
        </w:trPr>
        <w:tc>
          <w:tcPr>
            <w:tcW w:w="222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Description of Subscription Rights</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24</w:t>
            </w:r>
          </w:p>
        </w:tc>
      </w:tr>
      <w:tr>
        <w:trPr>
          <w:trHeight w:val="148"/>
        </w:trPr>
        <w:tc>
          <w:tcPr>
            <w:tcW w:w="1920" w:type="dxa"/>
            <w:vAlign w:val="bottom"/>
            <w:tcBorders>
              <w:top w:val="single" w:sz="8" w:color="0000EE"/>
              <w:bottom w:val="single" w:sz="8" w:color="0000EE"/>
            </w:tcBorders>
            <w:gridSpan w:val="16"/>
          </w:tcPr>
          <w:p>
            <w:pPr>
              <w:spacing w:after="0" w:line="148" w:lineRule="exact"/>
              <w:rPr>
                <w:sz w:val="20"/>
                <w:szCs w:val="20"/>
                <w:color w:val="auto"/>
              </w:rPr>
            </w:pPr>
            <w:r>
              <w:rPr>
                <w:rFonts w:ascii="Times New Roman" w:cs="Times New Roman" w:eastAsia="Times New Roman" w:hAnsi="Times New Roman"/>
                <w:sz w:val="14"/>
                <w:szCs w:val="14"/>
                <w:color w:val="0000EE"/>
                <w:w w:val="99"/>
              </w:rPr>
              <w:t>Description of Purchase Contracts</w:t>
            </w:r>
          </w:p>
        </w:tc>
        <w:tc>
          <w:tcPr>
            <w:tcW w:w="20" w:type="dxa"/>
            <w:vAlign w:val="bottom"/>
            <w:tcBorders>
              <w:top w:val="single" w:sz="8" w:color="0000EE"/>
            </w:tcBorders>
          </w:tcPr>
          <w:p>
            <w:pPr>
              <w:spacing w:after="0"/>
              <w:rPr>
                <w:sz w:val="12"/>
                <w:szCs w:val="12"/>
                <w:color w:val="auto"/>
              </w:rPr>
            </w:pPr>
          </w:p>
        </w:tc>
        <w:tc>
          <w:tcPr>
            <w:tcW w:w="280" w:type="dxa"/>
            <w:vAlign w:val="bottom"/>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25</w:t>
            </w:r>
          </w:p>
        </w:tc>
      </w:tr>
      <w:tr>
        <w:trPr>
          <w:trHeight w:val="148"/>
        </w:trPr>
        <w:tc>
          <w:tcPr>
            <w:tcW w:w="1140" w:type="dxa"/>
            <w:vAlign w:val="bottom"/>
            <w:tcBorders>
              <w:bottom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w w:val="97"/>
              </w:rPr>
              <w:t>Description of Units</w:t>
            </w:r>
          </w:p>
        </w:tc>
        <w:tc>
          <w:tcPr>
            <w:tcW w:w="1080" w:type="dxa"/>
            <w:vAlign w:val="bottom"/>
            <w:gridSpan w:val="11"/>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26</w:t>
            </w:r>
          </w:p>
        </w:tc>
      </w:tr>
      <w:tr>
        <w:trPr>
          <w:trHeight w:val="148"/>
        </w:trPr>
        <w:tc>
          <w:tcPr>
            <w:tcW w:w="222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27</w:t>
            </w:r>
          </w:p>
        </w:tc>
      </w:tr>
      <w:tr>
        <w:trPr>
          <w:trHeight w:val="148"/>
        </w:trPr>
        <w:tc>
          <w:tcPr>
            <w:tcW w:w="78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2"/>
          </w:tcPr>
          <w:p>
            <w:pPr>
              <w:spacing w:after="0"/>
              <w:rPr>
                <w:sz w:val="12"/>
                <w:szCs w:val="12"/>
                <w:color w:val="auto"/>
              </w:rPr>
            </w:pPr>
          </w:p>
        </w:tc>
        <w:tc>
          <w:tcPr>
            <w:tcW w:w="1120" w:type="dxa"/>
            <w:vAlign w:val="bottom"/>
            <w:gridSpan w:val="12"/>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r>
        <w:trPr>
          <w:trHeight w:val="148"/>
        </w:trPr>
        <w:tc>
          <w:tcPr>
            <w:tcW w:w="2220" w:type="dxa"/>
            <w:vAlign w:val="bottom"/>
            <w:gridSpan w:val="18"/>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420" w:type="dxa"/>
            <w:vAlign w:val="bottom"/>
            <w:shd w:val="clear" w:color="auto" w:fill="0000EE"/>
          </w:tcPr>
          <w:p>
            <w:pPr>
              <w:spacing w:after="0" w:line="20" w:lineRule="exact"/>
              <w:rPr>
                <w:sz w:val="1"/>
                <w:szCs w:val="1"/>
                <w:color w:val="auto"/>
              </w:rPr>
            </w:pPr>
          </w:p>
        </w:tc>
        <w:tc>
          <w:tcPr>
            <w:tcW w:w="1120" w:type="dxa"/>
            <w:vAlign w:val="bottom"/>
            <w:gridSpan w:val="1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148"/>
        </w:trPr>
        <w:tc>
          <w:tcPr>
            <w:tcW w:w="2220" w:type="dxa"/>
            <w:vAlign w:val="bottom"/>
            <w:tcBorders>
              <w:bottom w:val="single" w:sz="8" w:color="0000EE"/>
            </w:tcBorders>
            <w:gridSpan w:val="18"/>
          </w:tcPr>
          <w:p>
            <w:pPr>
              <w:spacing w:after="0" w:line="148"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r>
        <w:trPr>
          <w:trHeight w:val="148"/>
        </w:trPr>
        <w:tc>
          <w:tcPr>
            <w:tcW w:w="1540" w:type="dxa"/>
            <w:vAlign w:val="bottom"/>
            <w:tcBorders>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680" w:type="dxa"/>
            <w:vAlign w:val="bottom"/>
            <w:gridSpan w:val="7"/>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29</w:t>
            </w:r>
          </w:p>
        </w:tc>
      </w:tr>
    </w:tbl>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7"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(the “SEC”) as a “well-known seasoned issuer” as defined in Rule 405 under the Securities Act of 1933 as amended (the “Securities Act”), using a “shelf” registration process. By using a shelf registration statement, we may sell securities from time to time and in one or more offerings as described in this prospectus. Each time that we offer and sell securities pursuant to this prospectus,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and any related free writing prospectus, you should rely on the applicable prospectus supplement and any related free writing prospectus. Before purchasing any securities, you should carefully read both this prospectus, the applicable prospectus supplement and any related free writing prospectus, together with the additional information described under the headings “Where You Can Find Additional Information” and “Incorporation by Reference.”</w:t>
      </w:r>
    </w:p>
    <w:p>
      <w:pPr>
        <w:spacing w:after="0" w:line="144"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We have not authorized anyone to provide you with any information or to make any representations other than those contained or incorporated by reference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appearing in this prospectus, the applicable prospectus supplement to this prospectus and any related free writing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by reference in this prospectus,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or the applicable prospectus supplement. Accordingly, investors should not place undue reliance on this information.</w:t>
      </w:r>
    </w:p>
    <w:p>
      <w:pPr>
        <w:spacing w:after="0" w:line="2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6"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18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5453380" cy="461899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5" w:lineRule="exact"/>
        <w:rPr>
          <w:sz w:val="20"/>
          <w:szCs w:val="20"/>
          <w:color w:val="auto"/>
        </w:rPr>
      </w:pPr>
    </w:p>
    <w:p>
      <w:pPr>
        <w:ind w:left="1500" w:right="379" w:firstLine="332"/>
        <w:spacing w:after="0" w:line="257"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“ImmunityBio, Inc.,” “ImmunityBio,” “we,” “our” and “us” refer, collectively, to ImmunityBio, Inc., a Delaware corporation, and its subsidiaries taken as a whole.</w:t>
      </w:r>
    </w:p>
    <w:p>
      <w:pPr>
        <w:spacing w:after="0" w:line="2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Our Business</w:t>
      </w:r>
    </w:p>
    <w:p>
      <w:pPr>
        <w:spacing w:after="0" w:line="93" w:lineRule="exact"/>
        <w:rPr>
          <w:sz w:val="20"/>
          <w:szCs w:val="20"/>
          <w:color w:val="auto"/>
        </w:rPr>
      </w:pPr>
    </w:p>
    <w:p>
      <w:pPr>
        <w:ind w:left="1500" w:right="379" w:firstLine="332"/>
        <w:spacing w:after="0" w:line="254" w:lineRule="auto"/>
        <w:rPr>
          <w:sz w:val="20"/>
          <w:szCs w:val="20"/>
          <w:color w:val="auto"/>
        </w:rPr>
      </w:pPr>
      <w:r>
        <w:rPr>
          <w:rFonts w:ascii="Times New Roman" w:cs="Times New Roman" w:eastAsia="Times New Roman" w:hAnsi="Times New Roman"/>
          <w:sz w:val="14"/>
          <w:szCs w:val="14"/>
          <w:color w:val="auto"/>
        </w:rPr>
        <w:t xml:space="preserve">We are an integrated clinical-stage biotechnology company discovering, developing, and commercializing next-generation immuno- and cellular therapies that bolster the natural immune system to drive and sustain an immune response. Using our proprietary platforms that amplify both the innate and adaptive branches of the immune system, our teams of clinical, scientific, and manufacturing experts, advance novel therapies and vaccines aimed at defeating urologic and other cancers, as well as infectious diseases. Although such designations may not lead to a faster development process or regulatory review and may not increase the likelihood that a product candidate will receive approval, N-803 (“Anktiva”), our lead biologic commercial product candidate, has received </w:t>
      </w:r>
      <w:r>
        <w:rPr>
          <w:rFonts w:ascii="Times New Roman" w:cs="Times New Roman" w:eastAsia="Times New Roman" w:hAnsi="Times New Roman"/>
          <w:sz w:val="14"/>
          <w:szCs w:val="14"/>
          <w:i w:val="1"/>
          <w:iCs w:val="1"/>
          <w:color w:val="auto"/>
        </w:rPr>
        <w:t>Breakthrough Therapy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Fast Track</w:t>
      </w:r>
      <w:r>
        <w:rPr>
          <w:rFonts w:ascii="Times New Roman" w:cs="Times New Roman" w:eastAsia="Times New Roman" w:hAnsi="Times New Roman"/>
          <w:sz w:val="14"/>
          <w:szCs w:val="14"/>
          <w:color w:val="auto"/>
        </w:rPr>
        <w:t xml:space="preserve"> designations and is currently under review by the U.S. Food and Drug Administration (the “FDA”) for treatment in combination with bacillus Calmette-Guérin (“BCG”) of patients with BCG-unresponsive non-muscle invasive bladder cancer (“NMIBC”) with </w:t>
      </w:r>
      <w:r>
        <w:rPr>
          <w:rFonts w:ascii="Times New Roman" w:cs="Times New Roman" w:eastAsia="Times New Roman" w:hAnsi="Times New Roman"/>
          <w:sz w:val="14"/>
          <w:szCs w:val="14"/>
          <w:i w:val="1"/>
          <w:iCs w:val="1"/>
          <w:color w:val="auto"/>
        </w:rPr>
        <w:t>carcinoma in situ</w:t>
      </w:r>
      <w:r>
        <w:rPr>
          <w:rFonts w:ascii="Times New Roman" w:cs="Times New Roman" w:eastAsia="Times New Roman" w:hAnsi="Times New Roman"/>
          <w:sz w:val="14"/>
          <w:szCs w:val="14"/>
          <w:color w:val="auto"/>
        </w:rPr>
        <w:t xml:space="preserve"> (“CIS”) with or without Ta or T1 disease and has a new user fee goal date (PDUFA date) of April 23, 2024.</w:t>
      </w:r>
    </w:p>
    <w:p>
      <w:pPr>
        <w:spacing w:after="0" w:line="149" w:lineRule="exact"/>
        <w:rPr>
          <w:sz w:val="20"/>
          <w:szCs w:val="20"/>
          <w:color w:val="auto"/>
        </w:rPr>
      </w:pPr>
    </w:p>
    <w:p>
      <w:pPr>
        <w:ind w:left="1500" w:right="499" w:firstLine="332"/>
        <w:spacing w:after="0" w:line="257" w:lineRule="auto"/>
        <w:rPr>
          <w:sz w:val="20"/>
          <w:szCs w:val="20"/>
          <w:color w:val="auto"/>
        </w:rPr>
      </w:pPr>
      <w:r>
        <w:rPr>
          <w:rFonts w:ascii="Times New Roman" w:cs="Times New Roman" w:eastAsia="Times New Roman" w:hAnsi="Times New Roman"/>
          <w:sz w:val="14"/>
          <w:szCs w:val="14"/>
          <w:color w:val="auto"/>
        </w:rPr>
        <w:t>Our platforms and their associated product candidates are designed to attack cancer and infectious pathogens by activating both the innate immune system, including natural killer (“NK”) cells, dendritic cells, and macrophages, as well as the adaptive immune system comprising B and T cells,—in an orchestrated manner. The goal of this potentially best-in-class approach is to generate immunogenic cell death thereby eliminating rogue cells from the body whether they are cancerous or virally-infected. Our ultimate goal is to overcome the limitations of current treatments, such as checkpoint inhibitors, and/or reduce the need for standard high-dose chemotherapy in cancer by employing this coordinated approach to establish “immunological memory” that confers long-term benefit for the patient.</w:t>
      </w:r>
    </w:p>
    <w:p>
      <w:pPr>
        <w:spacing w:after="0" w:line="143" w:lineRule="exact"/>
        <w:rPr>
          <w:sz w:val="20"/>
          <w:szCs w:val="20"/>
          <w:color w:val="auto"/>
        </w:rPr>
      </w:pPr>
    </w:p>
    <w:p>
      <w:pPr>
        <w:ind w:left="1500" w:right="419" w:firstLine="332"/>
        <w:spacing w:after="0" w:line="258" w:lineRule="auto"/>
        <w:rPr>
          <w:sz w:val="20"/>
          <w:szCs w:val="20"/>
          <w:color w:val="auto"/>
        </w:rPr>
      </w:pPr>
      <w:r>
        <w:rPr>
          <w:rFonts w:ascii="Times New Roman" w:cs="Times New Roman" w:eastAsia="Times New Roman" w:hAnsi="Times New Roman"/>
          <w:sz w:val="14"/>
          <w:szCs w:val="14"/>
          <w:color w:val="auto"/>
        </w:rPr>
        <w:t>Our proprietary platforms for the development of biologic product candidates include: (i) antibody-cytokine fusion proteins, (ii) DNA, RNA, and recombinant protein vaccines, and (iii) cell therapies. These platforms have generated 9 novel therapeutic agents for which clinical trials are either underway or planned in solid and liquid tumors. Specifically, our clinical focus includes bladder, lung, and colorectal cancers and glioblastoma multiforme (“GBM”), which are among the most frequent and lethal cancer types, and where there are high failure rates for existing standards of care or no available effective treatment.</w:t>
      </w:r>
    </w:p>
    <w:p>
      <w:pPr>
        <w:spacing w:after="0" w:line="144" w:lineRule="exact"/>
        <w:rPr>
          <w:sz w:val="20"/>
          <w:szCs w:val="20"/>
          <w:color w:val="auto"/>
        </w:rPr>
      </w:pPr>
    </w:p>
    <w:p>
      <w:pPr>
        <w:ind w:left="1500" w:right="539" w:firstLine="332"/>
        <w:spacing w:after="0" w:line="234" w:lineRule="auto"/>
        <w:rPr>
          <w:sz w:val="20"/>
          <w:szCs w:val="20"/>
          <w:color w:val="auto"/>
        </w:rPr>
      </w:pPr>
      <w:r>
        <w:rPr>
          <w:rFonts w:ascii="Times New Roman" w:cs="Times New Roman" w:eastAsia="Times New Roman" w:hAnsi="Times New Roman"/>
          <w:sz w:val="14"/>
          <w:szCs w:val="14"/>
          <w:color w:val="auto"/>
        </w:rPr>
        <w:t>Our lead biologic commercial product candidate Anktiva</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is an IL-15 superagonist antibody-cytokine fusion protein. In May 2022, we announced the submission of a Biologics License Application (“BLA”) to the FDA for Anktiva in combination with BCG for the treatment of patients with BCG-unresponsive NMIBC with CIS with or without Ta or T1 disease. On May 9, 2023, the FDA delivered a complete response letter (“CRL”) to us regarding the BLA filed in May 2022, indicating that the FDA had determined that it could not approve the original BLA submission in its initial form, and the FDA made recommendations to address the issues raised. The deficiencies in the CRL related to the FDA’s pre-license inspection of the company’s third-party contract</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819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5453380" cy="4819015"/>
                    </a:xfrm>
                    <a:prstGeom prst="rect">
                      <a:avLst/>
                    </a:prstGeom>
                    <a:noFill/>
                  </pic:spPr>
                </pic:pic>
              </a:graphicData>
            </a:graphic>
          </wp:anchor>
        </w:drawing>
      </w:r>
    </w:p>
    <w:p>
      <w:pPr>
        <w:spacing w:after="0" w:line="368" w:lineRule="exact"/>
        <w:rPr>
          <w:sz w:val="20"/>
          <w:szCs w:val="20"/>
          <w:color w:val="auto"/>
        </w:rPr>
      </w:pPr>
    </w:p>
    <w:p>
      <w:pPr>
        <w:ind w:left="1500" w:right="379"/>
        <w:spacing w:after="0" w:line="258" w:lineRule="auto"/>
        <w:rPr>
          <w:sz w:val="20"/>
          <w:szCs w:val="20"/>
          <w:color w:val="auto"/>
        </w:rPr>
      </w:pPr>
      <w:r>
        <w:rPr>
          <w:rFonts w:ascii="Times New Roman" w:cs="Times New Roman" w:eastAsia="Times New Roman" w:hAnsi="Times New Roman"/>
          <w:sz w:val="14"/>
          <w:szCs w:val="14"/>
          <w:color w:val="auto"/>
        </w:rPr>
        <w:t>manufacturing organizations (“CMOs”), among other items. Satisfactory resolution of the observations noted at the pre-license inspection would be required before the BLA could be approved. At the time, the FDA further provided recommendations specific to additional Chemistry, Manufacturing and Controls (“CMC”) issues and assays to be resolved. The CRL did not request new preclinical studies or Phase III clinical trials to evaluate safety or efficacy. The FDA requested that the company provide updated duration of response data for the efficacy population as identified by the FDA in the company’s resubmission, as well as a safety update.</w:t>
      </w:r>
    </w:p>
    <w:p>
      <w:pPr>
        <w:spacing w:after="0" w:line="144" w:lineRule="exact"/>
        <w:rPr>
          <w:sz w:val="20"/>
          <w:szCs w:val="20"/>
          <w:color w:val="auto"/>
        </w:rPr>
      </w:pPr>
    </w:p>
    <w:p>
      <w:pPr>
        <w:ind w:left="1500" w:right="419" w:firstLine="332"/>
        <w:spacing w:after="0" w:line="257" w:lineRule="auto"/>
        <w:rPr>
          <w:sz w:val="20"/>
          <w:szCs w:val="20"/>
          <w:color w:val="auto"/>
        </w:rPr>
      </w:pPr>
      <w:r>
        <w:rPr>
          <w:rFonts w:ascii="Times New Roman" w:cs="Times New Roman" w:eastAsia="Times New Roman" w:hAnsi="Times New Roman"/>
          <w:sz w:val="14"/>
          <w:szCs w:val="14"/>
          <w:color w:val="auto"/>
        </w:rPr>
        <w:t>On October 23, 2023, we announced that we had completed the resubmission of the BLA addressing the issues in the CRL. As part of our resubmission, we provided an update of the duration of response regarding the responders identified by the FDA in the efficacy population for BCG unresponsive subjects with high-risk CIS disease. On October 26, 2023, we announced that the FDA had accepted our BLA resubmission for review and considered it as a complete response to the CRL. The FDA has set a new user fee goal date (PDUFA date) of April 23, 2024. While we believe the BLA resubmission addresses the issues identified in the CRL, there is no guarantee that the FDA will ultimately agree that such issues have been successfully addressed and resolved. It is unclear when the FDA will approve our BLA, if at all.</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Our Strategy</w:t>
      </w:r>
    </w:p>
    <w:p>
      <w:pPr>
        <w:spacing w:after="0" w:line="93" w:lineRule="exact"/>
        <w:rPr>
          <w:sz w:val="20"/>
          <w:szCs w:val="20"/>
          <w:color w:val="auto"/>
        </w:rPr>
      </w:pPr>
    </w:p>
    <w:p>
      <w:pPr>
        <w:jc w:val="both"/>
        <w:ind w:left="1500" w:right="419" w:firstLine="332"/>
        <w:spacing w:after="0" w:line="323" w:lineRule="auto"/>
        <w:rPr>
          <w:sz w:val="20"/>
          <w:szCs w:val="20"/>
          <w:color w:val="auto"/>
        </w:rPr>
      </w:pPr>
      <w:r>
        <w:rPr>
          <w:rFonts w:ascii="Times New Roman" w:cs="Times New Roman" w:eastAsia="Times New Roman" w:hAnsi="Times New Roman"/>
          <w:sz w:val="13"/>
          <w:szCs w:val="13"/>
          <w:color w:val="auto"/>
        </w:rPr>
        <w:t>We seek to become a leading global immunological therapeutics company by creating next-generation immuno- and cell therapies to address serious unmet needs within urologic and other cancers as well as infectious diseases. To achieve this goal, the key elements of our strategy include:</w:t>
      </w:r>
    </w:p>
    <w:p>
      <w:pPr>
        <w:spacing w:after="0" w:line="29" w:lineRule="exact"/>
        <w:rPr>
          <w:sz w:val="20"/>
          <w:szCs w:val="20"/>
          <w:color w:val="auto"/>
        </w:rPr>
      </w:pPr>
    </w:p>
    <w:p>
      <w:pPr>
        <w:ind w:left="2220" w:right="459" w:hanging="313"/>
        <w:spacing w:after="0" w:line="283"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advancing the approval and commercialization of our lead IL-15 superagonist antibody-cytokine fusion protein, N-803, as an integral component of immunotherapy combinations, including those with checkpoint inhibitors;</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continuously scrutinizing our clinical pipeline;</w:t>
      </w:r>
    </w:p>
    <w:p>
      <w:pPr>
        <w:spacing w:after="0" w:line="101" w:lineRule="exact"/>
        <w:rPr>
          <w:rFonts w:ascii="Times New Roman" w:cs="Times New Roman" w:eastAsia="Times New Roman" w:hAnsi="Times New Roman"/>
          <w:sz w:val="14"/>
          <w:szCs w:val="14"/>
          <w:color w:val="auto"/>
        </w:rPr>
      </w:pPr>
    </w:p>
    <w:p>
      <w:pPr>
        <w:ind w:left="2220" w:right="619" w:hanging="313"/>
        <w:spacing w:after="0" w:line="283"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accelerating product candidates generated from our immunotherapy platforms with registrational intent to address difficult-to-treat oncological and infectious disease indications;</w:t>
      </w:r>
    </w:p>
    <w:p>
      <w:pPr>
        <w:spacing w:after="0" w:line="51" w:lineRule="exact"/>
        <w:rPr>
          <w:rFonts w:ascii="Times New Roman" w:cs="Times New Roman" w:eastAsia="Times New Roman" w:hAnsi="Times New Roman"/>
          <w:sz w:val="14"/>
          <w:szCs w:val="14"/>
          <w:color w:val="auto"/>
        </w:rPr>
      </w:pPr>
    </w:p>
    <w:p>
      <w:pPr>
        <w:jc w:val="both"/>
        <w:ind w:left="2220" w:right="419" w:hanging="313"/>
        <w:spacing w:after="0" w:line="267"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prospect, license, and acquire technologies to complement and strengthen our platforms and product candidates, both as single agent and combination therapies, in order to optimize responses of the innate and adaptive immune systems to generate cellular memory against multiple tumor types and infectious diseases;</w:t>
      </w:r>
    </w:p>
    <w:p>
      <w:pPr>
        <w:spacing w:after="0" w:line="61" w:lineRule="exact"/>
        <w:rPr>
          <w:rFonts w:ascii="Times New Roman" w:cs="Times New Roman" w:eastAsia="Times New Roman" w:hAnsi="Times New Roman"/>
          <w:sz w:val="14"/>
          <w:szCs w:val="14"/>
          <w:color w:val="auto"/>
        </w:rPr>
      </w:pPr>
    </w:p>
    <w:p>
      <w:pPr>
        <w:ind w:left="2220" w:right="479" w:hanging="313"/>
        <w:spacing w:after="0" w:line="283" w:lineRule="auto"/>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investing in our discovery, development, and manufacturing capabilities for our next-generation product candidates in both oncology and infectious disease; and</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cultivating new and expanding existing collaborations for our multi-stage pipeline to reach global scale efficiently.</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1500" w:right="379" w:firstLine="332"/>
        <w:spacing w:after="0" w:line="267" w:lineRule="auto"/>
        <w:rPr>
          <w:sz w:val="20"/>
          <w:szCs w:val="20"/>
          <w:color w:val="auto"/>
        </w:rPr>
      </w:pPr>
      <w:r>
        <w:rPr>
          <w:rFonts w:ascii="Times New Roman" w:cs="Times New Roman" w:eastAsia="Times New Roman" w:hAnsi="Times New Roman"/>
          <w:sz w:val="14"/>
          <w:szCs w:val="14"/>
          <w:color w:val="auto"/>
        </w:rPr>
        <w:t>ImmunityBio, Inc. was established following a series of mergers and name changes. We were incorporated in Illinois on October 7, 2002 under the name ZelleRx Corporation. Our name was later changed to Conkwest, Inc., and we were reincorporated in the state of Delaware in March 2014. On July 10, 2015, we changed our name to NantKwest, Inc.</w:t>
      </w:r>
    </w:p>
    <w:p>
      <w:pPr>
        <w:spacing w:after="0" w:line="136" w:lineRule="exact"/>
        <w:rPr>
          <w:sz w:val="20"/>
          <w:szCs w:val="20"/>
          <w:color w:val="auto"/>
        </w:rPr>
      </w:pPr>
    </w:p>
    <w:p>
      <w:pPr>
        <w:ind w:left="1500" w:right="659" w:firstLine="332"/>
        <w:spacing w:after="0" w:line="283" w:lineRule="auto"/>
        <w:rPr>
          <w:sz w:val="20"/>
          <w:szCs w:val="20"/>
          <w:color w:val="auto"/>
        </w:rPr>
      </w:pPr>
      <w:r>
        <w:rPr>
          <w:rFonts w:ascii="Times New Roman" w:cs="Times New Roman" w:eastAsia="Times New Roman" w:hAnsi="Times New Roman"/>
          <w:sz w:val="14"/>
          <w:szCs w:val="14"/>
          <w:color w:val="auto"/>
        </w:rPr>
        <w:t>NantCell, LLC was originally organized as a Delaware limited liability company in November 2014. In April 2015, it was converted to a Delaware corporation, NantCell, Inc., and in May 2019 changed its name to ImmunityBio, Inc. (a private company).</w:t>
      </w:r>
    </w:p>
    <w:p>
      <w:pPr>
        <w:spacing w:after="0" w:line="125" w:lineRule="exact"/>
        <w:rPr>
          <w:sz w:val="20"/>
          <w:szCs w:val="20"/>
          <w:color w:val="auto"/>
        </w:rPr>
      </w:pPr>
    </w:p>
    <w:p>
      <w:pPr>
        <w:ind w:left="1500" w:right="559" w:firstLine="332"/>
        <w:spacing w:after="0" w:line="283" w:lineRule="auto"/>
        <w:rPr>
          <w:sz w:val="20"/>
          <w:szCs w:val="20"/>
          <w:color w:val="auto"/>
        </w:rPr>
      </w:pPr>
      <w:r>
        <w:rPr>
          <w:rFonts w:ascii="Times New Roman" w:cs="Times New Roman" w:eastAsia="Times New Roman" w:hAnsi="Times New Roman"/>
          <w:sz w:val="14"/>
          <w:szCs w:val="14"/>
          <w:color w:val="auto"/>
        </w:rPr>
        <w:t>On December 21, 2020, NantKwest, Inc. and ImmunityBio, Inc. entered into a merger agreement providing for the combination of the two companies (the Merger), with NantKwest, Inc. being the surviving company</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72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5453380" cy="4672330"/>
                    </a:xfrm>
                    <a:prstGeom prst="rect">
                      <a:avLst/>
                    </a:prstGeom>
                    <a:noFill/>
                  </pic:spPr>
                </pic:pic>
              </a:graphicData>
            </a:graphic>
          </wp:anchor>
        </w:drawing>
      </w:r>
    </w:p>
    <w:p>
      <w:pPr>
        <w:spacing w:after="0" w:line="368" w:lineRule="exact"/>
        <w:rPr>
          <w:sz w:val="20"/>
          <w:szCs w:val="20"/>
          <w:color w:val="auto"/>
        </w:rPr>
      </w:pPr>
    </w:p>
    <w:p>
      <w:pPr>
        <w:ind w:left="1500" w:right="419"/>
        <w:spacing w:after="0" w:line="278" w:lineRule="auto"/>
        <w:rPr>
          <w:sz w:val="20"/>
          <w:szCs w:val="20"/>
          <w:color w:val="auto"/>
        </w:rPr>
      </w:pPr>
      <w:r>
        <w:rPr>
          <w:rFonts w:ascii="Times New Roman" w:cs="Times New Roman" w:eastAsia="Times New Roman" w:hAnsi="Times New Roman"/>
          <w:sz w:val="13"/>
          <w:szCs w:val="13"/>
          <w:color w:val="auto"/>
        </w:rPr>
        <w:t>which then changed its name to ImmunityBio, Inc. (and ImmunityBio, Inc., a private company, changed its name back to NantCell, Inc. and is now our wholly owned subsidiary). At the time, NantKwest, Inc. was an innovative, clinical-stage immunotherapy company focused on harnessing the power of the innate immune system to treat cancer and infectious diseases, and ImmunityBio, Inc. was a clinical-stage immunotherapy company developing next-generation therapies that drive immunogenic mechanisms for defeating cancer and infectious diseases, with an immunotherapy platform designed to activate both the innate and adaptive immune systems to create long-term “immunological memory.” We believe that the Merger, which closed on March 9, 2021, combined two companies to create a clinical-stage biotechnology company developing next-generation therapies and vaccines that complement, harness, and amplify the immune system to defeat cancers and infectious diseases.</w:t>
      </w:r>
    </w:p>
    <w:p>
      <w:pPr>
        <w:spacing w:after="0" w:line="133" w:lineRule="exact"/>
        <w:rPr>
          <w:sz w:val="20"/>
          <w:szCs w:val="20"/>
          <w:color w:val="auto"/>
        </w:rPr>
      </w:pPr>
    </w:p>
    <w:p>
      <w:pPr>
        <w:ind w:left="1500" w:right="459" w:firstLine="332"/>
        <w:spacing w:after="0" w:line="283" w:lineRule="auto"/>
        <w:rPr>
          <w:sz w:val="20"/>
          <w:szCs w:val="20"/>
          <w:color w:val="auto"/>
        </w:rPr>
      </w:pPr>
      <w:r>
        <w:rPr>
          <w:rFonts w:ascii="Times New Roman" w:cs="Times New Roman" w:eastAsia="Times New Roman" w:hAnsi="Times New Roman"/>
          <w:sz w:val="13"/>
          <w:szCs w:val="13"/>
          <w:color w:val="auto"/>
        </w:rPr>
        <w:t>ImmunityBio, Inc. is incorporated in Delaware and its principal executive offices are located in San Diego, California at 3530 John Hopkins Court, San Diego, California 92121. Our telephone number is (844) 696-5235. Our website address is https://www.immunitybio.com. Information contained on, or that can be accessed through, our website is not part of, and is not incorporated by reference into this prospectus and you should not consider information on, or that can be accessed through, our website to be part of this prospectus. Inclusion of our website address in this prospectus is an inactive textual reference only. Investors should not rely on any such information in deciding whether to purchase our securities.</w:t>
      </w:r>
    </w:p>
    <w:p>
      <w:pPr>
        <w:spacing w:after="0" w:line="128" w:lineRule="exact"/>
        <w:rPr>
          <w:sz w:val="20"/>
          <w:szCs w:val="20"/>
          <w:color w:val="auto"/>
        </w:rPr>
      </w:pPr>
    </w:p>
    <w:p>
      <w:pPr>
        <w:ind w:left="1500" w:right="419" w:firstLine="332"/>
        <w:spacing w:after="0" w:line="236" w:lineRule="auto"/>
        <w:rPr>
          <w:sz w:val="20"/>
          <w:szCs w:val="20"/>
          <w:color w:val="auto"/>
        </w:rPr>
      </w:pPr>
      <w:r>
        <w:rPr>
          <w:rFonts w:ascii="Times New Roman" w:cs="Times New Roman" w:eastAsia="Times New Roman" w:hAnsi="Times New Roman"/>
          <w:sz w:val="14"/>
          <w:szCs w:val="14"/>
          <w:color w:val="auto"/>
        </w:rPr>
        <w:t xml:space="preserve">We use ImmunityBio, the ImmunityBio logo, and other marks as trademarks in the United States and other countries. This prospectus, the accompanying prospectus supplement and the other documents incorporated by reference contain references to our trademarks and service marks and to those belonging to other entities. Solely for convenience, trademarks and trade names referred to in this prospectus, the accompanying prospectus supplement and the other documents incorporated by reference, including logos, artwork, and other visual displays,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93" w:lineRule="exact"/>
        <w:rPr>
          <w:sz w:val="20"/>
          <w:szCs w:val="20"/>
          <w:color w:val="auto"/>
        </w:rPr>
      </w:pPr>
    </w:p>
    <w:p>
      <w:pPr>
        <w:ind w:left="1500" w:right="379" w:firstLine="332"/>
        <w:spacing w:after="0" w:line="255" w:lineRule="auto"/>
        <w:rPr>
          <w:sz w:val="20"/>
          <w:szCs w:val="20"/>
          <w:color w:val="auto"/>
        </w:rPr>
      </w:pPr>
      <w:r>
        <w:rPr>
          <w:rFonts w:ascii="Times New Roman" w:cs="Times New Roman" w:eastAsia="Times New Roman" w:hAnsi="Times New Roman"/>
          <w:sz w:val="14"/>
          <w:szCs w:val="14"/>
          <w:color w:val="auto"/>
        </w:rPr>
        <w:t>We are a “smaller reporting company,” meaning that the market value of our shares held by non-affiliates was less than $700 million as of June 30 of our prior fiscal year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of June 30 of our prior fiscal year.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The Securities That May Be Offered</w:t>
      </w:r>
    </w:p>
    <w:p>
      <w:pPr>
        <w:spacing w:after="0" w:line="93" w:lineRule="exact"/>
        <w:rPr>
          <w:sz w:val="20"/>
          <w:szCs w:val="20"/>
          <w:color w:val="auto"/>
        </w:rPr>
      </w:pPr>
    </w:p>
    <w:p>
      <w:pPr>
        <w:ind w:left="1500" w:right="419" w:firstLine="332"/>
        <w:spacing w:after="0" w:line="261" w:lineRule="auto"/>
        <w:rPr>
          <w:sz w:val="20"/>
          <w:szCs w:val="20"/>
          <w:color w:val="auto"/>
        </w:rPr>
      </w:pPr>
      <w:r>
        <w:rPr>
          <w:rFonts w:ascii="Times New Roman" w:cs="Times New Roman" w:eastAsia="Times New Roman" w:hAnsi="Times New Roman"/>
          <w:sz w:val="14"/>
          <w:szCs w:val="14"/>
          <w:color w:val="auto"/>
        </w:rPr>
        <w:t>We may offer or sell common stock, preferred stock, depositary shares, debt securities, warrants, subscription rights, purchase contracts and units in one or more offerings individually or in any combination as units comprised of one or more of the other securities. Each time securities are offered with this prospectus, we will provide a prospectus supplement that will describe the specific amounts, prices and terms of the securities being offered and the net proceeds we expect to receive from that sale.</w:t>
      </w:r>
    </w:p>
    <w:p>
      <w:pPr>
        <w:spacing w:after="0" w:line="141" w:lineRule="exact"/>
        <w:rPr>
          <w:sz w:val="20"/>
          <w:szCs w:val="20"/>
          <w:color w:val="auto"/>
        </w:rPr>
      </w:pPr>
    </w:p>
    <w:p>
      <w:pPr>
        <w:ind w:left="1500" w:right="379" w:firstLine="332"/>
        <w:spacing w:after="0" w:line="283" w:lineRule="auto"/>
        <w:rPr>
          <w:sz w:val="20"/>
          <w:szCs w:val="20"/>
          <w:color w:val="auto"/>
        </w:rPr>
      </w:pPr>
      <w:r>
        <w:rPr>
          <w:rFonts w:ascii="Times New Roman" w:cs="Times New Roman" w:eastAsia="Times New Roman" w:hAnsi="Times New Roman"/>
          <w:sz w:val="14"/>
          <w:szCs w:val="14"/>
          <w:color w:val="auto"/>
        </w:rPr>
        <w:t>The securities may be sold to or through underwriters, dealers or agents or directly to purchasers or as otherwise set forth in the section of this prospectus captioned “Plan of Distribution.” We, as well as any of our</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790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5453380" cy="4779010"/>
                    </a:xfrm>
                    <a:prstGeom prst="rect">
                      <a:avLst/>
                    </a:prstGeom>
                    <a:noFill/>
                  </pic:spPr>
                </pic:pic>
              </a:graphicData>
            </a:graphic>
          </wp:anchor>
        </w:drawing>
      </w:r>
    </w:p>
    <w:p>
      <w:pPr>
        <w:spacing w:after="0" w:line="368" w:lineRule="exact"/>
        <w:rPr>
          <w:sz w:val="20"/>
          <w:szCs w:val="20"/>
          <w:color w:val="auto"/>
        </w:rPr>
      </w:pPr>
    </w:p>
    <w:p>
      <w:pPr>
        <w:ind w:left="1500" w:right="639"/>
        <w:spacing w:after="0" w:line="267" w:lineRule="auto"/>
        <w:rPr>
          <w:sz w:val="20"/>
          <w:szCs w:val="20"/>
          <w:color w:val="auto"/>
        </w:rPr>
      </w:pPr>
      <w:r>
        <w:rPr>
          <w:rFonts w:ascii="Times New Roman" w:cs="Times New Roman" w:eastAsia="Times New Roman" w:hAnsi="Times New Roman"/>
          <w:sz w:val="14"/>
          <w:szCs w:val="14"/>
          <w:color w:val="auto"/>
        </w:rPr>
        <w:t>agents acting on our behalf, reserve the sole right to accept or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3" w:lineRule="exact"/>
        <w:rPr>
          <w:sz w:val="20"/>
          <w:szCs w:val="20"/>
          <w:color w:val="auto"/>
        </w:rPr>
      </w:pPr>
    </w:p>
    <w:p>
      <w:pPr>
        <w:ind w:left="1500" w:right="419" w:firstLine="332"/>
        <w:spacing w:after="0" w:line="287" w:lineRule="auto"/>
        <w:rPr>
          <w:sz w:val="20"/>
          <w:szCs w:val="20"/>
          <w:color w:val="auto"/>
        </w:rPr>
      </w:pPr>
      <w:r>
        <w:rPr>
          <w:rFonts w:ascii="Times New Roman" w:cs="Times New Roman" w:eastAsia="Times New Roman" w:hAnsi="Times New Roman"/>
          <w:sz w:val="13"/>
          <w:szCs w:val="13"/>
          <w:color w:val="auto"/>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3" w:lineRule="exact"/>
        <w:rPr>
          <w:sz w:val="20"/>
          <w:szCs w:val="20"/>
          <w:color w:val="auto"/>
        </w:rPr>
      </w:pPr>
    </w:p>
    <w:p>
      <w:pPr>
        <w:ind w:left="1500" w:right="519" w:firstLine="332"/>
        <w:spacing w:after="0" w:line="257" w:lineRule="auto"/>
        <w:rPr>
          <w:sz w:val="20"/>
          <w:szCs w:val="20"/>
          <w:color w:val="auto"/>
        </w:rPr>
      </w:pPr>
      <w:r>
        <w:rPr>
          <w:rFonts w:ascii="Times New Roman" w:cs="Times New Roman" w:eastAsia="Times New Roman" w:hAnsi="Times New Roman"/>
          <w:sz w:val="14"/>
          <w:szCs w:val="14"/>
          <w:color w:val="auto"/>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of our company, voting rights and rights to convert into common stock.</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Debt Securities</w:t>
      </w:r>
    </w:p>
    <w:p>
      <w:pPr>
        <w:spacing w:after="0" w:line="93" w:lineRule="exact"/>
        <w:rPr>
          <w:sz w:val="20"/>
          <w:szCs w:val="20"/>
          <w:color w:val="auto"/>
        </w:rPr>
      </w:pPr>
    </w:p>
    <w:p>
      <w:pPr>
        <w:ind w:left="1500" w:right="559" w:firstLine="332"/>
        <w:spacing w:after="0" w:line="258" w:lineRule="auto"/>
        <w:rPr>
          <w:sz w:val="20"/>
          <w:szCs w:val="20"/>
          <w:color w:val="auto"/>
        </w:rPr>
      </w:pPr>
      <w:r>
        <w:rPr>
          <w:rFonts w:ascii="Times New Roman" w:cs="Times New Roman" w:eastAsia="Times New Roman" w:hAnsi="Times New Roman"/>
          <w:sz w:val="14"/>
          <w:szCs w:val="14"/>
          <w:color w:val="auto"/>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stock.</w:t>
      </w:r>
    </w:p>
    <w:p>
      <w:pPr>
        <w:spacing w:after="0" w:line="144" w:lineRule="exact"/>
        <w:rPr>
          <w:sz w:val="20"/>
          <w:szCs w:val="20"/>
          <w:color w:val="auto"/>
        </w:rPr>
      </w:pPr>
    </w:p>
    <w:p>
      <w:pPr>
        <w:ind w:left="1500" w:right="499" w:firstLine="332"/>
        <w:spacing w:after="0" w:line="261" w:lineRule="auto"/>
        <w:rPr>
          <w:sz w:val="20"/>
          <w:szCs w:val="20"/>
          <w:color w:val="auto"/>
        </w:rPr>
      </w:pPr>
      <w:r>
        <w:rPr>
          <w:rFonts w:ascii="Times New Roman" w:cs="Times New Roman" w:eastAsia="Times New Roman" w:hAnsi="Times New Roman"/>
          <w:sz w:val="14"/>
          <w:szCs w:val="14"/>
          <w:color w:val="auto"/>
        </w:rPr>
        <w:t>The debt securities will be issued under an indenture, as supplemented by a resolution of our board of directors, an officer’s certificate or a supplemental indenture, between us and a trustee.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Depositary Shares</w:t>
      </w:r>
    </w:p>
    <w:p>
      <w:pPr>
        <w:spacing w:after="0" w:line="93" w:lineRule="exact"/>
        <w:rPr>
          <w:sz w:val="20"/>
          <w:szCs w:val="20"/>
          <w:color w:val="auto"/>
        </w:rPr>
      </w:pPr>
    </w:p>
    <w:p>
      <w:pPr>
        <w:jc w:val="both"/>
        <w:ind w:left="1500" w:right="459" w:firstLine="332"/>
        <w:spacing w:after="0" w:line="267" w:lineRule="auto"/>
        <w:rPr>
          <w:sz w:val="20"/>
          <w:szCs w:val="20"/>
          <w:color w:val="auto"/>
        </w:rPr>
      </w:pPr>
      <w:r>
        <w:rPr>
          <w:rFonts w:ascii="Times New Roman" w:cs="Times New Roman" w:eastAsia="Times New Roman" w:hAnsi="Times New Roman"/>
          <w:sz w:val="14"/>
          <w:szCs w:val="14"/>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Warrants</w:t>
      </w:r>
    </w:p>
    <w:p>
      <w:pPr>
        <w:spacing w:after="0" w:line="93" w:lineRule="exact"/>
        <w:rPr>
          <w:sz w:val="20"/>
          <w:szCs w:val="20"/>
          <w:color w:val="auto"/>
        </w:rPr>
      </w:pPr>
    </w:p>
    <w:p>
      <w:pPr>
        <w:ind w:left="1500" w:right="799" w:firstLine="332"/>
        <w:spacing w:after="0" w:line="283" w:lineRule="auto"/>
        <w:rPr>
          <w:sz w:val="20"/>
          <w:szCs w:val="20"/>
          <w:color w:val="auto"/>
        </w:rPr>
      </w:pPr>
      <w:r>
        <w:rPr>
          <w:rFonts w:ascii="Times New Roman" w:cs="Times New Roman" w:eastAsia="Times New Roman" w:hAnsi="Times New Roman"/>
          <w:sz w:val="14"/>
          <w:szCs w:val="14"/>
          <w:color w:val="auto"/>
        </w:rPr>
        <w:t>We may offer warrants for the purchase of common stock, preferred stock, debt securities or depositary shares. We may offer warrants independently or together with other securities.</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6"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17348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453380" cy="1734820"/>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Subscription Rights</w:t>
      </w:r>
    </w:p>
    <w:p>
      <w:pPr>
        <w:spacing w:after="0" w:line="93" w:lineRule="exact"/>
        <w:rPr>
          <w:sz w:val="20"/>
          <w:szCs w:val="20"/>
          <w:color w:val="auto"/>
        </w:rPr>
      </w:pPr>
    </w:p>
    <w:p>
      <w:pPr>
        <w:ind w:left="1500" w:right="659" w:firstLine="332"/>
        <w:spacing w:after="0" w:line="267" w:lineRule="auto"/>
        <w:rPr>
          <w:sz w:val="20"/>
          <w:szCs w:val="20"/>
          <w:color w:val="auto"/>
        </w:rPr>
      </w:pPr>
      <w:r>
        <w:rPr>
          <w:rFonts w:ascii="Times New Roman" w:cs="Times New Roman" w:eastAsia="Times New Roman" w:hAnsi="Times New Roman"/>
          <w:sz w:val="14"/>
          <w:szCs w:val="14"/>
          <w:color w:val="auto"/>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Purchase Contracts</w:t>
      </w:r>
    </w:p>
    <w:p>
      <w:pPr>
        <w:spacing w:after="0" w:line="93" w:lineRule="exact"/>
        <w:rPr>
          <w:sz w:val="20"/>
          <w:szCs w:val="20"/>
          <w:color w:val="auto"/>
        </w:rPr>
      </w:pPr>
    </w:p>
    <w:p>
      <w:pPr>
        <w:ind w:left="1500" w:right="659" w:firstLine="332"/>
        <w:spacing w:after="0" w:line="283" w:lineRule="auto"/>
        <w:rPr>
          <w:sz w:val="20"/>
          <w:szCs w:val="20"/>
          <w:color w:val="auto"/>
        </w:rPr>
      </w:pPr>
      <w:r>
        <w:rPr>
          <w:rFonts w:ascii="Times New Roman" w:cs="Times New Roman" w:eastAsia="Times New Roman" w:hAnsi="Times New Roman"/>
          <w:sz w:val="14"/>
          <w:szCs w:val="14"/>
          <w:color w:val="auto"/>
        </w:rPr>
        <w:t>We may offer purchase contracts, including contracts obligating holders or us to purchase from the other a specific or variable number of securities at a future date or dates.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Units</w:t>
      </w:r>
    </w:p>
    <w:p>
      <w:pPr>
        <w:spacing w:after="0" w:line="93" w:lineRule="exact"/>
        <w:rPr>
          <w:sz w:val="20"/>
          <w:szCs w:val="20"/>
          <w:color w:val="auto"/>
        </w:rPr>
      </w:pPr>
    </w:p>
    <w:p>
      <w:pPr>
        <w:ind w:left="1500" w:right="459" w:firstLine="332"/>
        <w:spacing w:after="0" w:line="283" w:lineRule="auto"/>
        <w:rPr>
          <w:sz w:val="20"/>
          <w:szCs w:val="20"/>
          <w:color w:val="auto"/>
        </w:rPr>
      </w:pPr>
      <w:r>
        <w:rPr>
          <w:rFonts w:ascii="Times New Roman" w:cs="Times New Roman" w:eastAsia="Times New Roman" w:hAnsi="Times New Roman"/>
          <w:sz w:val="14"/>
          <w:szCs w:val="14"/>
          <w:color w:val="auto"/>
        </w:rPr>
        <w:t>We may offer units comprised of one or more of the other classes of securities described in this prospectus in any combination. Each unit we may issue will be issued so that the holder of the unit is also the holder of each security included in the unit.</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7" w:lineRule="exact"/>
        <w:rPr>
          <w:sz w:val="20"/>
          <w:szCs w:val="20"/>
          <w:color w:val="auto"/>
        </w:rPr>
      </w:pPr>
    </w:p>
    <w:p>
      <w:pPr>
        <w:ind w:left="1360" w:right="239" w:firstLine="343"/>
        <w:spacing w:after="0" w:line="254" w:lineRule="auto"/>
        <w:rPr>
          <w:sz w:val="20"/>
          <w:szCs w:val="20"/>
          <w:color w:val="auto"/>
        </w:rPr>
      </w:pPr>
      <w:r>
        <w:rPr>
          <w:rFonts w:ascii="Times New Roman" w:cs="Times New Roman" w:eastAsia="Times New Roman" w:hAnsi="Times New Roman"/>
          <w:sz w:val="14"/>
          <w:szCs w:val="14"/>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section in the applicable prospectus supplement and any related free writing prospectus captioned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which is incorporated herein by reference, as may be amended, updated, supplemented or superseded from time to time by annual, quarterly and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See “Where You Can Find More Information” and “Incorporation by Reference.”</w:t>
      </w:r>
    </w:p>
    <w:p>
      <w:pPr>
        <w:spacing w:after="0" w:line="9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7" w:lineRule="exact"/>
        <w:rPr>
          <w:sz w:val="20"/>
          <w:szCs w:val="20"/>
          <w:color w:val="auto"/>
        </w:rPr>
      </w:pPr>
    </w:p>
    <w:p>
      <w:pPr>
        <w:ind w:left="1360" w:right="279" w:firstLine="343"/>
        <w:spacing w:after="0" w:line="253" w:lineRule="auto"/>
        <w:rPr>
          <w:sz w:val="20"/>
          <w:szCs w:val="20"/>
          <w:color w:val="auto"/>
        </w:rPr>
      </w:pPr>
      <w:r>
        <w:rPr>
          <w:rFonts w:ascii="Times New Roman" w:cs="Times New Roman" w:eastAsia="Times New Roman" w:hAnsi="Times New Roman"/>
          <w:sz w:val="14"/>
          <w:szCs w:val="14"/>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and Section 21E of the Securities Exchange Act of 1934, as amended (the “Exchange Act”). Forward-looking statements include statements that are not historical facts and can be identified by terminology such as “may,” “will,” “should,” “could,” “would,” “expects,” “plans,” “intends,” “anticipates,” “believes,” “estimates,” “schedule,” “goal,” “predicts,” “projects,” “seek,” “should,” “potential,” or “continue,” or the negative of such terms and other same terminology.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statements appear in this prospectus, any accompanying prospectus supplement and the documents incorporated herein and therein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including business, regulatory, economic and competitive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49"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Because forward-looking statements are inherently subject to risks and uncertainties, some of which cannot be predicted or quantified, you should not rely upon forward-looking statements as predictions of future events.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4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as of a specific time period.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5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concerning the following:</w:t>
      </w:r>
    </w:p>
    <w:p>
      <w:pPr>
        <w:spacing w:after="0" w:line="102" w:lineRule="exact"/>
        <w:rPr>
          <w:sz w:val="20"/>
          <w:szCs w:val="20"/>
          <w:color w:val="auto"/>
        </w:rPr>
      </w:pPr>
    </w:p>
    <w:p>
      <w:pPr>
        <w:ind w:left="2120" w:right="319" w:hanging="345"/>
        <w:spacing w:after="0" w:line="283"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next-generation therapies and vaccines that complement, harness, and amplify the immune system to defeat cancers and infectious diseases;</w:t>
      </w:r>
    </w:p>
    <w:p>
      <w:pPr>
        <w:spacing w:after="0" w:line="5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to fund our operations and complete the development and commercialization of our various product candidates;</w:t>
      </w:r>
    </w:p>
    <w:p>
      <w:pPr>
        <w:spacing w:after="0" w:line="5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FDA will ultimately determine that the BLA resubmission and related actions successfully address and resolve the issues identified in the CRL;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our third-party CMOs, to adequately address the issues raised in the FDA’s CRL;</w:t>
      </w:r>
    </w:p>
    <w:p>
      <w:pPr>
        <w:spacing w:after="0" w:line="101" w:lineRule="exact"/>
        <w:rPr>
          <w:rFonts w:ascii="Times New Roman" w:cs="Times New Roman" w:eastAsia="Times New Roman" w:hAnsi="Times New Roman"/>
          <w:sz w:val="14"/>
          <w:szCs w:val="14"/>
          <w:color w:val="auto"/>
        </w:rPr>
      </w:pPr>
    </w:p>
    <w:p>
      <w:pPr>
        <w:ind w:left="2120" w:right="719" w:hanging="345"/>
        <w:spacing w:after="0" w:line="283" w:lineRule="auto"/>
        <w:tabs>
          <w:tab w:leader="none" w:pos="21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FDA approval milestone after which Oberland Capital Management LLC and its affiliates (“Oberland”) may purchase $100.0 million in Revenue Interests will be achieved and, even if the</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4"/>
          <w:szCs w:val="14"/>
          <w:color w:val="auto"/>
        </w:rPr>
        <w:t>milestone is achieved, whether Oberland will actually purchase such interests and fund such $100.0 million payment;</w:t>
      </w:r>
    </w:p>
    <w:p>
      <w:pPr>
        <w:spacing w:after="0" w:line="102" w:lineRule="exact"/>
        <w:rPr>
          <w:sz w:val="20"/>
          <w:szCs w:val="20"/>
          <w:color w:val="auto"/>
        </w:rPr>
      </w:pPr>
    </w:p>
    <w:p>
      <w:pPr>
        <w:ind w:left="2120" w:right="25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our payment obligations under the Revenue Interest Purchase Agreement (the “RIPA”) and to service the interest on our related-party promissory notes and repay such notes, to the extent required;</w:t>
      </w:r>
    </w:p>
    <w:p>
      <w:pPr>
        <w:spacing w:after="0" w:line="5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terms, conditions, covenants, restrictions, and obligations set forth in the RIPA and related transaction documents;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potential benefits of our strategy and technology;</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operating results and make period-to-period comparisons predictive of future performance due to fluctuations in warrant values;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operation and effectiveness of our product candidates and related benefits;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multiple modes to induce cell death;</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benefits and perceived limitations of competing approaches, and the future of competing technologies and our industry;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our strategic vision and planned product candidate pipeline;</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success, cost and timing of our product candidate development activities and current and future clinical trials and studies, including study design and the enrollment of patients;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development and commercialization of our product candidates;</w:t>
      </w:r>
    </w:p>
    <w:p>
      <w:pPr>
        <w:spacing w:after="0" w:line="101" w:lineRule="exact"/>
        <w:rPr>
          <w:rFonts w:ascii="Times New Roman" w:cs="Times New Roman" w:eastAsia="Times New Roman" w:hAnsi="Times New Roman"/>
          <w:sz w:val="14"/>
          <w:szCs w:val="14"/>
          <w:color w:val="auto"/>
        </w:rPr>
      </w:pPr>
    </w:p>
    <w:p>
      <w:pPr>
        <w:ind w:left="2120" w:right="679" w:hanging="345"/>
        <w:spacing w:after="0" w:line="222"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utilize the Phase I/II aNK and 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clinical trials data to support the development of our product candidates, including our haNK, taNK, t-haNK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MSC, and M-ceNK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product candidates;</w:t>
      </w:r>
    </w:p>
    <w:p>
      <w:pPr>
        <w:ind w:left="2120" w:right="699" w:hanging="345"/>
        <w:spacing w:after="0" w:line="259"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development, application, commercialization, marketing, prospects and use generally of our product candidates, including Anktiva, hAd5 and saRNA constructs, and PD-L1 t-haNK and M-ceNK;</w:t>
      </w:r>
    </w:p>
    <w:p>
      <w:pPr>
        <w:spacing w:after="0" w:line="67" w:lineRule="exact"/>
        <w:rPr>
          <w:rFonts w:ascii="Times New Roman" w:cs="Times New Roman" w:eastAsia="Times New Roman" w:hAnsi="Times New Roman"/>
          <w:sz w:val="14"/>
          <w:szCs w:val="14"/>
          <w:color w:val="auto"/>
        </w:rPr>
      </w:pPr>
    </w:p>
    <w:p>
      <w:pPr>
        <w:ind w:left="2120" w:right="479" w:hanging="345"/>
        <w:spacing w:after="0" w:line="267"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or other actions and related regulatory authority responses, including any planned investigational new drug, BLA or New Drug Application filings or pursuit of accelerated regulatory approval pathways or orphan drug status and Breakthrough Therapy designations;</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an integrated discovery ecosystem and the operation of that planned ecosystem, including being able to regularly add neoepitopes and subsequently formulate new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strategic collaborators to share our vision and effectively work with us to achieve our goals;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various third parties to engage in research and development activities involving our product candidates, and our ability to leverage those activities;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additional third-party collaborators;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ease of administration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patient compatibility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potential markets for our product candidates and our ability to serve those markets;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enrollment and submission of our clinical trials, and protocols related to such trials;</w:t>
      </w:r>
    </w:p>
    <w:p>
      <w:pPr>
        <w:spacing w:after="0" w:line="12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an antibody-cytokine fusion protein, a DNA, RNA, or recombinant protein vaccine, or a cell therapy;</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potential manufacturing and distribution benefits associated with our product candidates, and our third-party CMOs’ abilities to follow current Good Manufacturing Practice standards to scale up the production of our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regarding our manufacturing facilities and our belief that our manufacturing is capable of being conducted in-house;</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in the potential of our antibody-cytokine fusion proteins, DNA, RNA, or recombinant protein vaccines, or cell therapies, and the fact that our business is based upon the success individually and collectively of these platforms;</w:t>
      </w:r>
    </w:p>
    <w:p>
      <w:pPr>
        <w:spacing w:after="0" w:line="5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regarding the magnitude or duration for additional clinical testing of our antibody-cytokine fusion proteins, DNA, RNA or recombinant protein vaccines, or cell therapies, along with other product candidate families;</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we successfully develop and commercialize specific product candidates like our N-803 or PD-L1 t-haNK, our ability to develop and commercialize our other product candidates either alone or in combination with other therapeutic agents;</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and maintain regulatory approval of any of our product candidates, and any related restrictions, limitations and/or warnings in the label of any approved product candidate;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any approved products;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any approved products;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personnel;</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our future revenue, as well as our future operating expenses, capital requirements and needs for additional financing;</w:t>
      </w:r>
    </w:p>
    <w:p>
      <w:pPr>
        <w:spacing w:after="0" w:line="51" w:lineRule="exact"/>
        <w:rPr>
          <w:rFonts w:ascii="Times New Roman" w:cs="Times New Roman" w:eastAsia="Times New Roman" w:hAnsi="Times New Roman"/>
          <w:sz w:val="14"/>
          <w:szCs w:val="14"/>
          <w:color w:val="auto"/>
        </w:rPr>
      </w:pPr>
    </w:p>
    <w:p>
      <w:pPr>
        <w:ind w:left="2120" w:right="89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patent protection and other proprietary rights for our product candidates and technologies;</w:t>
      </w:r>
    </w:p>
    <w:p>
      <w:pPr>
        <w:spacing w:after="0" w:line="5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licenses granted to us and our ability to license additional intellectual property relating to our product candidates and technology;</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 shutdown, which could adversely affect the U.S. and global economies, and materially and adversely affect our business and/or our BLA submission;</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us, if any, if the contingent value rights held by former Altor BioScience, LLC stockholders become due and payable in accordance with their terms;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U.S. and foreign countries.</w:t>
      </w:r>
    </w:p>
    <w:p>
      <w:pPr>
        <w:spacing w:after="0" w:line="17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44"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materially differ from the projections.</w:t>
      </w: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jc w:val="right"/>
        <w:ind w:right="1939"/>
        <w:spacing w:after="0"/>
        <w:rPr>
          <w:sz w:val="20"/>
          <w:szCs w:val="20"/>
          <w:color w:val="auto"/>
        </w:rPr>
      </w:pPr>
      <w:r>
        <w:rPr>
          <w:rFonts w:ascii="Times New Roman" w:cs="Times New Roman" w:eastAsia="Times New Roman" w:hAnsi="Times New Roman"/>
          <w:sz w:val="14"/>
          <w:szCs w:val="14"/>
          <w:color w:val="auto"/>
        </w:rPr>
        <w:t>We intend to use the net proceeds from the sale of the securities as set forth in the applicable prospectus supplement.</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77" w:lineRule="exact"/>
        <w:rPr>
          <w:sz w:val="20"/>
          <w:szCs w:val="20"/>
          <w:color w:val="auto"/>
        </w:rPr>
      </w:pPr>
    </w:p>
    <w:p>
      <w:pPr>
        <w:ind w:left="1360" w:right="219" w:firstLine="343"/>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capital stock contained in </w:t>
      </w:r>
      <w:hyperlink r:id="rId80">
        <w:r>
          <w:rPr>
            <w:rFonts w:ascii="Times New Roman" w:cs="Times New Roman" w:eastAsia="Times New Roman" w:hAnsi="Times New Roman"/>
            <w:sz w:val="14"/>
            <w:szCs w:val="14"/>
            <w:u w:val="single" w:color="auto"/>
            <w:color w:val="0000EE"/>
          </w:rPr>
          <w:t>Exhibit 4.7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filed with the SEC on March 19, 2024, is incorporated herein by reference.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w:t>
      </w:r>
    </w:p>
    <w:p>
      <w:pPr>
        <w:spacing w:after="0" w:line="177"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41" w:lineRule="exact"/>
        <w:rPr>
          <w:sz w:val="20"/>
          <w:szCs w:val="20"/>
          <w:color w:val="auto"/>
        </w:rPr>
      </w:pPr>
    </w:p>
    <w:p>
      <w:pPr>
        <w:jc w:val="both"/>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36" w:lineRule="exact"/>
        <w:rPr>
          <w:sz w:val="20"/>
          <w:szCs w:val="20"/>
          <w:color w:val="auto"/>
        </w:rPr>
      </w:pPr>
    </w:p>
    <w:p>
      <w:pPr>
        <w:ind w:left="1360" w:right="239" w:firstLine="343"/>
        <w:spacing w:after="0" w:line="258" w:lineRule="auto"/>
        <w:rPr>
          <w:sz w:val="20"/>
          <w:szCs w:val="20"/>
          <w:color w:val="auto"/>
        </w:rPr>
      </w:pPr>
      <w:r>
        <w:rPr>
          <w:rFonts w:ascii="Times New Roman" w:cs="Times New Roman" w:eastAsia="Times New Roman" w:hAnsi="Times New Roman"/>
          <w:sz w:val="14"/>
          <w:szCs w:val="14"/>
          <w:color w:val="auto"/>
        </w:rPr>
        <w:t>The debt securities will be issued under an indenture between us and a trustee to be named in a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239" w:firstLine="343"/>
        <w:spacing w:after="0" w:line="267"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36" w:lineRule="exact"/>
        <w:rPr>
          <w:sz w:val="20"/>
          <w:szCs w:val="20"/>
          <w:color w:val="auto"/>
        </w:rPr>
      </w:pPr>
    </w:p>
    <w:p>
      <w:pPr>
        <w:jc w:val="both"/>
        <w:ind w:left="1360" w:right="339" w:firstLine="343"/>
        <w:spacing w:after="0" w:line="267" w:lineRule="auto"/>
        <w:rPr>
          <w:sz w:val="20"/>
          <w:szCs w:val="20"/>
          <w:color w:val="auto"/>
        </w:rPr>
      </w:pPr>
      <w:r>
        <w:rPr>
          <w:rFonts w:ascii="Times New Roman" w:cs="Times New Roman" w:eastAsia="Times New Roman" w:hAnsi="Times New Roman"/>
          <w:sz w:val="14"/>
          <w:szCs w:val="14"/>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62" w:lineRule="exact"/>
        <w:rPr>
          <w:sz w:val="20"/>
          <w:szCs w:val="20"/>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ranking of the debt securities (including the terms of any subordination provisions);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at which we will sell the debt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principal amount of the debt securities and any limit on the aggregate principal amount of the debt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securities of the series is payable;</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61"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7" w:lineRule="exact"/>
        <w:rPr>
          <w:rFonts w:ascii="Times New Roman" w:cs="Times New Roman" w:eastAsia="Times New Roman" w:hAnsi="Times New Roman"/>
          <w:sz w:val="14"/>
          <w:szCs w:val="14"/>
          <w:color w:val="auto"/>
        </w:rPr>
      </w:pPr>
    </w:p>
    <w:p>
      <w:pPr>
        <w:jc w:val="both"/>
        <w:ind w:left="2120" w:right="299" w:hanging="345"/>
        <w:spacing w:after="0" w:line="267"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61" w:lineRule="exact"/>
        <w:rPr>
          <w:rFonts w:ascii="Times New Roman" w:cs="Times New Roman" w:eastAsia="Times New Roman" w:hAnsi="Times New Roman"/>
          <w:sz w:val="14"/>
          <w:szCs w:val="14"/>
          <w:color w:val="auto"/>
        </w:rPr>
      </w:pPr>
    </w:p>
    <w:p>
      <w:pPr>
        <w:ind w:left="2120" w:right="779" w:hanging="345"/>
        <w:spacing w:after="0" w:line="283"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 or periods within which, the price or prices at which and the terms and conditions upon which we may redeem the debt securities;</w:t>
      </w:r>
    </w:p>
    <w:p>
      <w:pPr>
        <w:spacing w:after="0" w:line="5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obligation we have to redeem or purchase the debt securities pursuant to any sinking fund or analogous provisions or at the option of a holder of debt securities and the period or periods within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51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which, the price or prices at which and the terms and conditions upon which securities of the series shall be redeemed or purchased, in whole or in part, pursuant to such obligation;</w:t>
      </w:r>
    </w:p>
    <w:p>
      <w:pPr>
        <w:spacing w:after="0" w:line="5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and the price or prices at which we will repurchase debt securities at the option of the holders of debt securities and other detailed terms and provisions of these repurchase obligations;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the debt securities will be issued, if other than denominations of $1,000 and any integral multiple thereof;</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will be issued in the form of certificated debt securities or global debt securities;</w:t>
      </w:r>
    </w:p>
    <w:p>
      <w:pPr>
        <w:spacing w:after="0" w:line="101" w:lineRule="exact"/>
        <w:rPr>
          <w:rFonts w:ascii="Times New Roman" w:cs="Times New Roman" w:eastAsia="Times New Roman" w:hAnsi="Times New Roman"/>
          <w:sz w:val="14"/>
          <w:szCs w:val="14"/>
          <w:color w:val="auto"/>
        </w:rPr>
      </w:pPr>
    </w:p>
    <w:p>
      <w:pPr>
        <w:ind w:left="2120" w:right="69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principal amount of the debt securities payable upon declaration of acceleration of the maturity date, if other than the principal amount;</w:t>
      </w:r>
    </w:p>
    <w:p>
      <w:pPr>
        <w:spacing w:after="0" w:line="51" w:lineRule="exact"/>
        <w:rPr>
          <w:rFonts w:ascii="Times New Roman" w:cs="Times New Roman" w:eastAsia="Times New Roman" w:hAnsi="Times New Roman"/>
          <w:sz w:val="14"/>
          <w:szCs w:val="14"/>
          <w:color w:val="auto"/>
        </w:rPr>
      </w:pPr>
    </w:p>
    <w:p>
      <w:pPr>
        <w:ind w:left="2120" w:right="43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5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principal of, premium and interest on the debt securities will be made;</w:t>
      </w:r>
    </w:p>
    <w:p>
      <w:pPr>
        <w:spacing w:after="0" w:line="51" w:lineRule="exact"/>
        <w:rPr>
          <w:rFonts w:ascii="Times New Roman" w:cs="Times New Roman" w:eastAsia="Times New Roman" w:hAnsi="Times New Roman"/>
          <w:sz w:val="14"/>
          <w:szCs w:val="14"/>
          <w:color w:val="auto"/>
        </w:rPr>
      </w:pPr>
    </w:p>
    <w:p>
      <w:pPr>
        <w:ind w:left="2120" w:right="339" w:hanging="345"/>
        <w:spacing w:after="0" w:line="267"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61" w:lineRule="exact"/>
        <w:rPr>
          <w:rFonts w:ascii="Times New Roman" w:cs="Times New Roman" w:eastAsia="Times New Roman" w:hAnsi="Times New Roman"/>
          <w:sz w:val="14"/>
          <w:szCs w:val="14"/>
          <w:color w:val="auto"/>
        </w:rPr>
      </w:pPr>
    </w:p>
    <w:p>
      <w:pPr>
        <w:jc w:val="both"/>
        <w:ind w:left="2120" w:right="279" w:hanging="345"/>
        <w:spacing w:after="0" w:line="267"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debt securities;</w:t>
      </w:r>
    </w:p>
    <w:p>
      <w:pPr>
        <w:spacing w:after="0" w:line="101" w:lineRule="exact"/>
        <w:rPr>
          <w:rFonts w:ascii="Times New Roman" w:cs="Times New Roman" w:eastAsia="Times New Roman" w:hAnsi="Times New Roman"/>
          <w:sz w:val="14"/>
          <w:szCs w:val="14"/>
          <w:color w:val="auto"/>
        </w:rPr>
      </w:pPr>
    </w:p>
    <w:p>
      <w:pPr>
        <w:ind w:left="2120" w:right="339" w:hanging="345"/>
        <w:spacing w:after="0" w:line="323" w:lineRule="auto"/>
        <w:tabs>
          <w:tab w:leader="none" w:pos="21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28"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deletion of or change in the covenants described in this prospectus or in the indenture with respect to the debt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depositaries, interest rate calculation agents, exchange rate calculation agents or other agents with respect to the debt securities;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67"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61" w:lineRule="exact"/>
        <w:rPr>
          <w:rFonts w:ascii="Times New Roman" w:cs="Times New Roman" w:eastAsia="Times New Roman" w:hAnsi="Times New Roman"/>
          <w:sz w:val="14"/>
          <w:szCs w:val="14"/>
          <w:color w:val="auto"/>
        </w:rPr>
      </w:pPr>
    </w:p>
    <w:p>
      <w:pPr>
        <w:ind w:left="2120" w:right="419" w:hanging="345"/>
        <w:spacing w:after="0" w:line="267"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6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direct or indirect subsidiaries will guarantee the debt securities of that series, including the terms of subordination, if any, of such guarantees.</w:t>
      </w:r>
    </w:p>
    <w:p>
      <w:pPr>
        <w:spacing w:after="0" w:line="12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36"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respect to that issue of debt securities and such foreign currency or currencies or foreign currency unit or units in the applicable prospectus supplement.</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3"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Certificated Debt Securities</w:t>
      </w:r>
    </w:p>
    <w:p>
      <w:pPr>
        <w:spacing w:after="0" w:line="93"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36"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Global Debt Securities and Book-Entry System</w:t>
      </w:r>
    </w:p>
    <w:p>
      <w:pPr>
        <w:spacing w:after="0" w:line="93"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Each global debt security representing book-entry debt securities will be deposited with, or on behalf of, the depositary, and registered in the name of the depositary or a nominee of the depositary.</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3" w:lineRule="exact"/>
        <w:rPr>
          <w:sz w:val="20"/>
          <w:szCs w:val="20"/>
          <w:color w:val="auto"/>
        </w:rPr>
      </w:pPr>
    </w:p>
    <w:p>
      <w:pPr>
        <w:ind w:left="1360" w:right="259" w:firstLine="343"/>
        <w:spacing w:after="0" w:line="267"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3" w:lineRule="exact"/>
        <w:rPr>
          <w:sz w:val="20"/>
          <w:szCs w:val="20"/>
          <w:color w:val="auto"/>
        </w:rPr>
      </w:pPr>
    </w:p>
    <w:p>
      <w:pPr>
        <w:ind w:left="1360" w:right="379" w:firstLine="343"/>
        <w:spacing w:after="0" w:line="283" w:lineRule="auto"/>
        <w:rPr>
          <w:sz w:val="20"/>
          <w:szCs w:val="20"/>
          <w:color w:val="auto"/>
        </w:rPr>
      </w:pPr>
      <w:r>
        <w:rPr>
          <w:rFonts w:ascii="Times New Roman" w:cs="Times New Roman" w:eastAsia="Times New Roman" w:hAnsi="Times New Roman"/>
          <w:sz w:val="14"/>
          <w:szCs w:val="14"/>
          <w:color w:val="auto"/>
        </w:rPr>
        <w:t>We may not consolidate with or merge with or into, or convey, transfer or lease all or substantially all of our properties and assets to any person, which we refer to as a successor person, unless:</w:t>
      </w:r>
    </w:p>
    <w:p>
      <w:pPr>
        <w:spacing w:after="0" w:line="51" w:lineRule="exact"/>
        <w:rPr>
          <w:sz w:val="20"/>
          <w:szCs w:val="20"/>
          <w:color w:val="auto"/>
        </w:rPr>
      </w:pPr>
    </w:p>
    <w:p>
      <w:pPr>
        <w:ind w:left="2120" w:right="279" w:hanging="345"/>
        <w:spacing w:after="0" w:line="283" w:lineRule="auto"/>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Default or Event of Default, shall have occurred and be continuing.</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Notwithstanding the above, any of our subsidiaries may consolidate with, merge into or transfer all or part of its properties to us.</w:t>
      </w:r>
    </w:p>
    <w:p>
      <w:pPr>
        <w:spacing w:after="0" w:line="25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102" w:lineRule="exact"/>
        <w:rPr>
          <w:sz w:val="20"/>
          <w:szCs w:val="20"/>
          <w:color w:val="auto"/>
        </w:rPr>
      </w:pPr>
    </w:p>
    <w:p>
      <w:pPr>
        <w:ind w:left="2120" w:right="359" w:hanging="345"/>
        <w:spacing w:after="0" w:line="267"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any security of that series at its maturity;</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61" w:lineRule="auto"/>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7"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voluntary or involuntary events of bankruptcy, insolvency or reorganization of us;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w:t>
      </w:r>
    </w:p>
    <w:p>
      <w:pPr>
        <w:spacing w:after="0" w:line="175" w:lineRule="exact"/>
        <w:rPr>
          <w:sz w:val="20"/>
          <w:szCs w:val="20"/>
          <w:color w:val="auto"/>
        </w:rPr>
      </w:pPr>
    </w:p>
    <w:p>
      <w:pPr>
        <w:ind w:left="1360" w:right="299" w:firstLine="343"/>
        <w:spacing w:after="0" w:line="296" w:lineRule="auto"/>
        <w:rPr>
          <w:sz w:val="20"/>
          <w:szCs w:val="20"/>
          <w:color w:val="auto"/>
        </w:rPr>
      </w:pPr>
      <w:r>
        <w:rPr>
          <w:rFonts w:ascii="Times New Roman" w:cs="Times New Roman" w:eastAsia="Times New Roman" w:hAnsi="Times New Roman"/>
          <w:sz w:val="13"/>
          <w:szCs w:val="13"/>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20"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36"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50" w:lineRule="exact"/>
        <w:rPr>
          <w:sz w:val="20"/>
          <w:szCs w:val="20"/>
          <w:color w:val="auto"/>
        </w:rPr>
      </w:pPr>
    </w:p>
    <w:p>
      <w:pPr>
        <w:ind w:left="1360" w:right="639" w:firstLine="343"/>
        <w:spacing w:after="0" w:line="283" w:lineRule="auto"/>
        <w:rPr>
          <w:sz w:val="20"/>
          <w:szCs w:val="20"/>
          <w:color w:val="auto"/>
        </w:rPr>
      </w:pPr>
      <w:r>
        <w:rPr>
          <w:rFonts w:ascii="Times New Roman" w:cs="Times New Roman" w:eastAsia="Times New Roman" w:hAnsi="Times New Roman"/>
          <w:sz w:val="14"/>
          <w:szCs w:val="14"/>
          <w:color w:val="auto"/>
        </w:rPr>
        <w:t>The indenture provides that the trustee may refuse to perform any duty or exercise any of its rights or powers under the indenture unless the trustee receives indemnity satisfactory to it against any cost, liability or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79"/>
        <w:spacing w:after="0" w:line="261" w:lineRule="auto"/>
        <w:rPr>
          <w:sz w:val="20"/>
          <w:szCs w:val="20"/>
          <w:color w:val="auto"/>
        </w:rPr>
      </w:pPr>
      <w:r>
        <w:rPr>
          <w:rFonts w:ascii="Times New Roman" w:cs="Times New Roman" w:eastAsia="Times New Roman" w:hAnsi="Times New Roman"/>
          <w:sz w:val="14"/>
          <w:szCs w:val="14"/>
          <w:color w:val="auto"/>
        </w:rPr>
        <w:t>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41"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1" w:lineRule="exact"/>
        <w:rPr>
          <w:sz w:val="20"/>
          <w:szCs w:val="20"/>
          <w:color w:val="auto"/>
        </w:rPr>
      </w:pPr>
    </w:p>
    <w:p>
      <w:pPr>
        <w:ind w:left="2120" w:right="339" w:hanging="345"/>
        <w:spacing w:after="0" w:line="283"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51" w:lineRule="exact"/>
        <w:rPr>
          <w:rFonts w:ascii="Times New Roman" w:cs="Times New Roman" w:eastAsia="Times New Roman" w:hAnsi="Times New Roman"/>
          <w:sz w:val="14"/>
          <w:szCs w:val="14"/>
          <w:color w:val="auto"/>
        </w:rPr>
      </w:pPr>
    </w:p>
    <w:p>
      <w:pPr>
        <w:ind w:left="2120" w:right="259" w:hanging="345"/>
        <w:spacing w:after="0" w:line="261" w:lineRule="auto"/>
        <w:tabs>
          <w:tab w:leader="none" w:pos="21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41"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36"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3" w:lineRule="exact"/>
        <w:rPr>
          <w:sz w:val="20"/>
          <w:szCs w:val="20"/>
          <w:color w:val="auto"/>
        </w:rPr>
      </w:pPr>
    </w:p>
    <w:p>
      <w:pPr>
        <w:ind w:left="1360" w:right="419" w:firstLine="343"/>
        <w:spacing w:after="0" w:line="283" w:lineRule="auto"/>
        <w:rPr>
          <w:sz w:val="20"/>
          <w:szCs w:val="20"/>
          <w:color w:val="auto"/>
        </w:rPr>
      </w:pPr>
      <w:r>
        <w:rPr>
          <w:rFonts w:ascii="Times New Roman" w:cs="Times New Roman" w:eastAsia="Times New Roman" w:hAnsi="Times New Roman"/>
          <w:sz w:val="14"/>
          <w:szCs w:val="14"/>
          <w:color w:val="auto"/>
        </w:rPr>
        <w:t>We and the trustee may modify, amend or supplement the indenture or the debt securities of any series without the consent of any holder of any debt security:</w:t>
      </w:r>
    </w:p>
    <w:p>
      <w:pPr>
        <w:spacing w:after="0" w:line="51" w:lineRule="exact"/>
        <w:rPr>
          <w:sz w:val="20"/>
          <w:szCs w:val="20"/>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or inconsistency;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covenants in the indenture described above under the heading “Consolidation, Merger and Sale of Assets”;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securities in addition to or in place of certificated securities;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guarantees with respect to debt securities of any series or secure debt securities of any series;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surrender any of our rights or powers under the indenture;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covenants or events of default for the benefit of the holders of debt securities of any series;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applicable procedures of the applicable depositary;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that does not adversely affect the rights of any holder of debt securities;</w:t>
      </w:r>
    </w:p>
    <w:p>
      <w:pPr>
        <w:spacing w:after="0" w:line="101" w:lineRule="exact"/>
        <w:rPr>
          <w:rFonts w:ascii="Times New Roman" w:cs="Times New Roman" w:eastAsia="Times New Roman" w:hAnsi="Times New Roman"/>
          <w:sz w:val="14"/>
          <w:szCs w:val="14"/>
          <w:color w:val="auto"/>
        </w:rPr>
      </w:pPr>
    </w:p>
    <w:p>
      <w:pPr>
        <w:ind w:left="5580" w:right="259" w:hanging="3805"/>
        <w:spacing w:after="0" w:line="455" w:lineRule="auto"/>
        <w:tabs>
          <w:tab w:leader="none" w:pos="211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the issuance of and establish the form and terms and conditions of debt securities of any series as permitted by the indenture; 16</w:t>
      </w:r>
    </w:p>
    <w:p>
      <w:pPr>
        <w:sectPr>
          <w:pgSz w:w="11900" w:h="16838" w:orient="portrait"/>
          <w:cols w:equalWidth="0" w:num="1">
            <w:col w:w="10159"/>
          </w:cols>
          <w:pgMar w:left="300" w:top="386"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819" w:hanging="345"/>
        <w:spacing w:after="0" w:line="283" w:lineRule="auto"/>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requirements of the SEC in order to effect or maintain the qualification of the indenture under the Trust Indenture Act.</w:t>
      </w:r>
    </w:p>
    <w:p>
      <w:pPr>
        <w:spacing w:after="0" w:line="175" w:lineRule="exact"/>
        <w:rPr>
          <w:sz w:val="20"/>
          <w:szCs w:val="20"/>
          <w:color w:val="auto"/>
        </w:rPr>
      </w:pPr>
    </w:p>
    <w:p>
      <w:pPr>
        <w:jc w:val="both"/>
        <w:ind w:left="1360" w:right="479" w:firstLine="343"/>
        <w:spacing w:after="0" w:line="267" w:lineRule="auto"/>
        <w:rPr>
          <w:sz w:val="20"/>
          <w:szCs w:val="20"/>
          <w:color w:val="auto"/>
        </w:rPr>
      </w:pPr>
      <w:r>
        <w:rPr>
          <w:rFonts w:ascii="Times New Roman" w:cs="Times New Roman" w:eastAsia="Times New Roman" w:hAnsi="Times New Roman"/>
          <w:sz w:val="14"/>
          <w:szCs w:val="14"/>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2" w:lineRule="exact"/>
        <w:rPr>
          <w:sz w:val="20"/>
          <w:szCs w:val="20"/>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supplement or waiver;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67"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67" w:lineRule="auto"/>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6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7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9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i w:val="1"/>
          <w:iCs w:val="1"/>
          <w:color w:val="auto"/>
        </w:rPr>
        <w:t>Legal Defeasance</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79"/>
        <w:spacing w:after="0" w:line="261" w:lineRule="auto"/>
        <w:rPr>
          <w:sz w:val="20"/>
          <w:szCs w:val="20"/>
          <w:color w:val="auto"/>
        </w:rPr>
      </w:pPr>
      <w:r>
        <w:rPr>
          <w:rFonts w:ascii="Times New Roman" w:cs="Times New Roman" w:eastAsia="Times New Roman" w:hAnsi="Times New Roman"/>
          <w:sz w:val="14"/>
          <w:szCs w:val="14"/>
          <w:color w:val="auto"/>
        </w:rPr>
        <w:t>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41"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i w:val="1"/>
          <w:iCs w:val="1"/>
          <w:color w:val="auto"/>
        </w:rPr>
        <w:t>Defeasance of Certain Covenants</w:t>
      </w:r>
    </w:p>
    <w:p>
      <w:pPr>
        <w:spacing w:after="0" w:line="93" w:lineRule="exact"/>
        <w:rPr>
          <w:sz w:val="20"/>
          <w:szCs w:val="20"/>
          <w:color w:val="auto"/>
        </w:rPr>
      </w:pPr>
    </w:p>
    <w:p>
      <w:pPr>
        <w:ind w:left="1360" w:right="619" w:firstLine="343"/>
        <w:spacing w:after="0" w:line="283" w:lineRule="auto"/>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upon compliance with certain conditions:</w:t>
      </w:r>
    </w:p>
    <w:p>
      <w:pPr>
        <w:spacing w:after="0" w:line="51" w:lineRule="exact"/>
        <w:rPr>
          <w:sz w:val="20"/>
          <w:szCs w:val="20"/>
          <w:color w:val="auto"/>
        </w:rPr>
      </w:pPr>
    </w:p>
    <w:p>
      <w:pPr>
        <w:ind w:left="2120" w:right="399" w:hanging="345"/>
        <w:spacing w:after="0" w:line="267"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6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refer to this as covenant defeasance. The conditions include:</w:t>
      </w:r>
    </w:p>
    <w:p>
      <w:pPr>
        <w:spacing w:after="0" w:line="102" w:lineRule="exact"/>
        <w:rPr>
          <w:sz w:val="20"/>
          <w:szCs w:val="20"/>
          <w:color w:val="auto"/>
        </w:rPr>
      </w:pPr>
    </w:p>
    <w:p>
      <w:pPr>
        <w:ind w:left="2120" w:right="299" w:hanging="345"/>
        <w:spacing w:after="0" w:line="257" w:lineRule="auto"/>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69"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deposit will not result in a breach or violation of, or constitute a default under the indenture or any other agreement to which we are a party;</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applicable series of debt securities shall have occurred or is continuing on the date of such deposit; and</w:t>
      </w:r>
    </w:p>
    <w:p>
      <w:pPr>
        <w:spacing w:after="0" w:line="51" w:lineRule="exact"/>
        <w:rPr>
          <w:rFonts w:ascii="Times New Roman" w:cs="Times New Roman" w:eastAsia="Times New Roman" w:hAnsi="Times New Roman"/>
          <w:sz w:val="14"/>
          <w:szCs w:val="14"/>
          <w:color w:val="auto"/>
        </w:rPr>
      </w:pPr>
    </w:p>
    <w:p>
      <w:pPr>
        <w:ind w:left="2120" w:right="279" w:hanging="345"/>
        <w:spacing w:after="0" w:line="257" w:lineRule="auto"/>
        <w:tabs>
          <w:tab w:leader="none" w:pos="21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 Personal Liability of Directors, Officers, Employees or Stockholders</w:t>
      </w:r>
    </w:p>
    <w:p>
      <w:pPr>
        <w:spacing w:after="0" w:line="93"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None of our past, present or future directors, officers, employees or stockholders, as such, will have any liability for any of our obligations under the debt securities or the indenture or for any claim based on, or in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39"/>
        <w:spacing w:after="0" w:line="267" w:lineRule="auto"/>
        <w:rPr>
          <w:sz w:val="20"/>
          <w:szCs w:val="20"/>
          <w:color w:val="auto"/>
        </w:rPr>
      </w:pPr>
      <w:r>
        <w:rPr>
          <w:rFonts w:ascii="Times New Roman" w:cs="Times New Roman" w:eastAsia="Times New Roman" w:hAnsi="Times New Roman"/>
          <w:sz w:val="14"/>
          <w:szCs w:val="14"/>
          <w:color w:val="auto"/>
        </w:rPr>
        <w:t>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3"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The indenture and the debt securities, including any claim or controversy arising out of or relating to the indenture or the securities, will be governed by the laws of the State of New York.</w:t>
      </w:r>
    </w:p>
    <w:p>
      <w:pPr>
        <w:spacing w:after="0" w:line="125"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36" w:lineRule="exact"/>
        <w:rPr>
          <w:sz w:val="20"/>
          <w:szCs w:val="20"/>
          <w:color w:val="auto"/>
        </w:rPr>
      </w:pPr>
    </w:p>
    <w:p>
      <w:pPr>
        <w:ind w:left="1360" w:right="279" w:firstLine="343"/>
        <w:spacing w:after="0" w:line="254" w:lineRule="auto"/>
        <w:rPr>
          <w:sz w:val="20"/>
          <w:szCs w:val="20"/>
          <w:color w:val="auto"/>
        </w:rPr>
      </w:pPr>
      <w:r>
        <w:rPr>
          <w:rFonts w:ascii="Times New Roman" w:cs="Times New Roman" w:eastAsia="Times New Roman" w:hAnsi="Times New Roman"/>
          <w:sz w:val="14"/>
          <w:szCs w:val="14"/>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7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We may, at our option, elect to offer fractional shares of preferred stock, or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43" w:lineRule="exact"/>
        <w:rPr>
          <w:sz w:val="20"/>
          <w:szCs w:val="20"/>
          <w:color w:val="auto"/>
        </w:rPr>
      </w:pPr>
    </w:p>
    <w:p>
      <w:pPr>
        <w:jc w:val="both"/>
        <w:ind w:left="1360" w:right="359" w:firstLine="343"/>
        <w:spacing w:after="0" w:line="267" w:lineRule="auto"/>
        <w:rPr>
          <w:sz w:val="20"/>
          <w:szCs w:val="20"/>
          <w:color w:val="auto"/>
        </w:rPr>
      </w:pPr>
      <w:r>
        <w:rPr>
          <w:rFonts w:ascii="Times New Roman" w:cs="Times New Roman" w:eastAsia="Times New Roman" w:hAnsi="Times New Roman"/>
          <w:sz w:val="14"/>
          <w:szCs w:val="14"/>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36" w:lineRule="exact"/>
        <w:rPr>
          <w:sz w:val="20"/>
          <w:szCs w:val="20"/>
          <w:color w:val="auto"/>
        </w:rPr>
      </w:pPr>
    </w:p>
    <w:p>
      <w:pPr>
        <w:jc w:val="both"/>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spacing w:after="0" w:line="125" w:lineRule="exact"/>
        <w:rPr>
          <w:sz w:val="20"/>
          <w:szCs w:val="20"/>
          <w:color w:val="auto"/>
        </w:rPr>
      </w:pPr>
    </w:p>
    <w:p>
      <w:pPr>
        <w:ind w:left="1360" w:right="219" w:firstLine="343"/>
        <w:spacing w:after="0" w:line="323" w:lineRule="auto"/>
        <w:rPr>
          <w:sz w:val="20"/>
          <w:szCs w:val="20"/>
          <w:color w:val="auto"/>
        </w:rPr>
      </w:pPr>
      <w:r>
        <w:rPr>
          <w:rFonts w:ascii="Times New Roman" w:cs="Times New Roman" w:eastAsia="Times New Roman" w:hAnsi="Times New Roman"/>
          <w:sz w:val="13"/>
          <w:szCs w:val="13"/>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8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Dividends and Other Distributions</w:t>
      </w:r>
    </w:p>
    <w:p>
      <w:pPr>
        <w:spacing w:after="0" w:line="93"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36" w:lineRule="exact"/>
        <w:rPr>
          <w:sz w:val="20"/>
          <w:szCs w:val="20"/>
          <w:color w:val="auto"/>
        </w:rPr>
      </w:pPr>
    </w:p>
    <w:p>
      <w:pPr>
        <w:ind w:left="1360" w:right="379" w:firstLine="343"/>
        <w:spacing w:after="0" w:line="267" w:lineRule="auto"/>
        <w:rPr>
          <w:sz w:val="20"/>
          <w:szCs w:val="20"/>
          <w:color w:val="auto"/>
        </w:rPr>
      </w:pPr>
      <w:r>
        <w:rPr>
          <w:rFonts w:ascii="Times New Roman" w:cs="Times New Roman" w:eastAsia="Times New Roman" w:hAnsi="Times New Roman"/>
          <w:sz w:val="14"/>
          <w:szCs w:val="14"/>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Liquidation Preference</w:t>
      </w:r>
    </w:p>
    <w:p>
      <w:pPr>
        <w:spacing w:after="0" w:line="93"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Withdrawal of Stock</w:t>
      </w:r>
    </w:p>
    <w:p>
      <w:pPr>
        <w:spacing w:after="0" w:line="93"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419"/>
        <w:spacing w:after="0" w:line="267" w:lineRule="auto"/>
        <w:rPr>
          <w:sz w:val="20"/>
          <w:szCs w:val="20"/>
          <w:color w:val="auto"/>
        </w:rPr>
      </w:pPr>
      <w:r>
        <w:rPr>
          <w:rFonts w:ascii="Times New Roman" w:cs="Times New Roman" w:eastAsia="Times New Roman" w:hAnsi="Times New Roman"/>
          <w:sz w:val="14"/>
          <w:szCs w:val="14"/>
          <w:color w:val="auto"/>
        </w:rPr>
        <w:t>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Redemption of Depositary Shares</w:t>
      </w:r>
    </w:p>
    <w:p>
      <w:pPr>
        <w:spacing w:after="0" w:line="93" w:lineRule="exact"/>
        <w:rPr>
          <w:sz w:val="20"/>
          <w:szCs w:val="20"/>
          <w:color w:val="auto"/>
        </w:rPr>
      </w:pPr>
    </w:p>
    <w:p>
      <w:pPr>
        <w:ind w:left="1360" w:right="319" w:firstLine="343"/>
        <w:spacing w:after="0" w:line="257" w:lineRule="auto"/>
        <w:rPr>
          <w:sz w:val="20"/>
          <w:szCs w:val="20"/>
          <w:color w:val="auto"/>
        </w:rPr>
      </w:pPr>
      <w:r>
        <w:rPr>
          <w:rFonts w:ascii="Times New Roman" w:cs="Times New Roman" w:eastAsia="Times New Roman" w:hAnsi="Times New Roman"/>
          <w:sz w:val="14"/>
          <w:szCs w:val="14"/>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43" w:lineRule="exact"/>
        <w:rPr>
          <w:sz w:val="20"/>
          <w:szCs w:val="20"/>
          <w:color w:val="auto"/>
        </w:rPr>
      </w:pPr>
    </w:p>
    <w:p>
      <w:pPr>
        <w:ind w:left="1360" w:right="419" w:firstLine="343"/>
        <w:spacing w:after="0" w:line="261" w:lineRule="auto"/>
        <w:rPr>
          <w:sz w:val="20"/>
          <w:szCs w:val="20"/>
          <w:color w:val="auto"/>
        </w:rPr>
      </w:pPr>
      <w:r>
        <w:rPr>
          <w:rFonts w:ascii="Times New Roman" w:cs="Times New Roman" w:eastAsia="Times New Roman" w:hAnsi="Times New Roman"/>
          <w:sz w:val="14"/>
          <w:szCs w:val="14"/>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Voting the Preferred Stock</w:t>
      </w:r>
    </w:p>
    <w:p>
      <w:pPr>
        <w:spacing w:after="0" w:line="93" w:lineRule="exact"/>
        <w:rPr>
          <w:sz w:val="20"/>
          <w:szCs w:val="20"/>
          <w:color w:val="auto"/>
        </w:rPr>
      </w:pPr>
    </w:p>
    <w:p>
      <w:pPr>
        <w:ind w:left="1360" w:right="279" w:firstLine="343"/>
        <w:spacing w:after="0" w:line="255" w:lineRule="auto"/>
        <w:rPr>
          <w:sz w:val="20"/>
          <w:szCs w:val="20"/>
          <w:color w:val="auto"/>
        </w:rPr>
      </w:pPr>
      <w:r>
        <w:rPr>
          <w:rFonts w:ascii="Times New Roman" w:cs="Times New Roman" w:eastAsia="Times New Roman" w:hAnsi="Times New Roman"/>
          <w:sz w:val="14"/>
          <w:szCs w:val="14"/>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Charges of the Depositary</w:t>
      </w:r>
    </w:p>
    <w:p>
      <w:pPr>
        <w:spacing w:after="0" w:line="93" w:lineRule="exact"/>
        <w:rPr>
          <w:sz w:val="20"/>
          <w:szCs w:val="20"/>
          <w:color w:val="auto"/>
        </w:rPr>
      </w:pPr>
    </w:p>
    <w:p>
      <w:pPr>
        <w:ind w:left="1360" w:right="359" w:firstLine="343"/>
        <w:spacing w:after="0" w:line="256" w:lineRule="auto"/>
        <w:rPr>
          <w:sz w:val="20"/>
          <w:szCs w:val="20"/>
          <w:color w:val="auto"/>
        </w:rPr>
      </w:pPr>
      <w:r>
        <w:rPr>
          <w:rFonts w:ascii="Times New Roman" w:cs="Times New Roman" w:eastAsia="Times New Roman" w:hAnsi="Times New Roman"/>
          <w:sz w:val="14"/>
          <w:szCs w:val="14"/>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6"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Amendment and Termination of the Deposit Agreement</w:t>
      </w:r>
    </w:p>
    <w:p>
      <w:pPr>
        <w:spacing w:after="0" w:line="93"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67" w:lineRule="exact"/>
        <w:rPr>
          <w:sz w:val="20"/>
          <w:szCs w:val="20"/>
          <w:color w:val="auto"/>
        </w:rPr>
      </w:pPr>
    </w:p>
    <w:p>
      <w:pPr>
        <w:ind w:left="2120" w:hanging="345"/>
        <w:spacing w:after="0"/>
        <w:tabs>
          <w:tab w:leader="none" w:pos="21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depositary shares have been redeemed; or</w:t>
      </w:r>
    </w:p>
    <w:p>
      <w:pPr>
        <w:spacing w:after="0" w:line="101" w:lineRule="exact"/>
        <w:rPr>
          <w:rFonts w:ascii="Times New Roman" w:cs="Times New Roman" w:eastAsia="Times New Roman" w:hAnsi="Times New Roman"/>
          <w:sz w:val="14"/>
          <w:szCs w:val="14"/>
          <w:color w:val="auto"/>
        </w:rPr>
      </w:pPr>
    </w:p>
    <w:p>
      <w:pPr>
        <w:ind w:left="2120" w:right="399" w:hanging="345"/>
        <w:spacing w:after="0" w:line="283" w:lineRule="auto"/>
        <w:tabs>
          <w:tab w:leader="none" w:pos="21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a final distribution of the preferred stock in connection with our dissolution and such distribution has been made to all the holders of depositary shares.</w:t>
      </w:r>
    </w:p>
    <w:p>
      <w:pPr>
        <w:spacing w:after="0" w:line="20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Resignation and Removal of Depositary</w:t>
      </w:r>
    </w:p>
    <w:p>
      <w:pPr>
        <w:spacing w:after="0" w:line="93"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93" w:lineRule="exact"/>
        <w:rPr>
          <w:sz w:val="20"/>
          <w:szCs w:val="20"/>
          <w:color w:val="auto"/>
        </w:rPr>
      </w:pPr>
    </w:p>
    <w:p>
      <w:pPr>
        <w:jc w:val="both"/>
        <w:ind w:left="1360" w:right="299" w:firstLine="343"/>
        <w:spacing w:after="0" w:line="261" w:lineRule="auto"/>
        <w:rPr>
          <w:sz w:val="20"/>
          <w:szCs w:val="20"/>
          <w:color w:val="auto"/>
        </w:rPr>
      </w:pPr>
      <w:r>
        <w:rPr>
          <w:rFonts w:ascii="Times New Roman" w:cs="Times New Roman" w:eastAsia="Times New Roman" w:hAnsi="Times New Roman"/>
          <w:sz w:val="14"/>
          <w:szCs w:val="14"/>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Limitation of Liability</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6"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77"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We may issue warrants to purchase debt securities, preferred stock or common stock. We may offer warrants separately or together with one or more additional warrants, debt securities, preferred stock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70" w:lineRule="exact"/>
        <w:rPr>
          <w:sz w:val="20"/>
          <w:szCs w:val="20"/>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specific designation and aggregate number of, and the offering price at which we will issue, the warrants;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or currency units in which the offering price, if any, and the exercise price are payable;</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are to be sold separately or with other securities as parts of units;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applicable material U.S. federal income tax consequences;</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identity of the warrant agent for the warrants and of any other depositaries, execution or paying agents, transfer agents, registrars or other agents;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proposed listing, if any, of the warrants or any securities purchasable upon exercise of the warrants on any securities exchange;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any equity securities purchasable upon exercise of the warrants;</w:t>
      </w:r>
    </w:p>
    <w:p>
      <w:pPr>
        <w:spacing w:after="0" w:line="101" w:lineRule="exact"/>
        <w:rPr>
          <w:rFonts w:ascii="Times New Roman" w:cs="Times New Roman" w:eastAsia="Times New Roman" w:hAnsi="Times New Roman"/>
          <w:sz w:val="14"/>
          <w:szCs w:val="14"/>
          <w:color w:val="auto"/>
        </w:rPr>
      </w:pPr>
    </w:p>
    <w:p>
      <w:pPr>
        <w:ind w:left="2120" w:right="75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aggregate principal amount, currency and terms of any debt securities that may be purchased upon exercise of the warrants;</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debt securities, preferred stock or common stock with which the warrants are issued and the number of warrants issued with each security;</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from and after which any warrants issued as part of a unit and the related debt securities, preferred stock or common stock will be separately transferable;</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preferred stock or the number of shares of common stock purchasable upon exercise of a warrant and the price at which those shares may be purchased;</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minimum or maximum amount of the warrants that may be exercised at any one time;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antidilution provisions, and other provisions for changes to or adjustment in the exercise price, of the warrants, if any;</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redemption or call provisions;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additional terms of the warrants, including terms, procedures and limitations relating to the exchange or exercise of the warrants.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6"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4"/>
          <w:szCs w:val="14"/>
          <w:b w:val="1"/>
          <w:bCs w:val="1"/>
          <w:color w:val="auto"/>
        </w:rPr>
        <w:t>DESCRIPTION OF SUBSCRIPTION RIGHTS</w:t>
      </w:r>
    </w:p>
    <w:p>
      <w:pPr>
        <w:spacing w:after="0" w:line="177"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We may issue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44" w:lineRule="exact"/>
        <w:rPr>
          <w:sz w:val="20"/>
          <w:szCs w:val="20"/>
          <w:color w:val="auto"/>
        </w:rPr>
      </w:pPr>
    </w:p>
    <w:p>
      <w:pPr>
        <w:ind w:left="1360" w:right="359" w:firstLine="343"/>
        <w:spacing w:after="0" w:line="283" w:lineRule="auto"/>
        <w:rPr>
          <w:sz w:val="20"/>
          <w:szCs w:val="20"/>
          <w:color w:val="auto"/>
        </w:rPr>
      </w:pPr>
      <w:r>
        <w:rPr>
          <w:rFonts w:ascii="Times New Roman" w:cs="Times New Roman" w:eastAsia="Times New Roman" w:hAnsi="Times New Roman"/>
          <w:sz w:val="14"/>
          <w:szCs w:val="14"/>
          <w:color w:val="auto"/>
        </w:rPr>
        <w:t>The prospectus supplement relating to any subscription rights we offer, if any, will, to the extent applicable, include specific terms relating to the offering, including some or all of the following:</w:t>
      </w:r>
    </w:p>
    <w:p>
      <w:pPr>
        <w:spacing w:after="0" w:line="51" w:lineRule="exact"/>
        <w:rPr>
          <w:sz w:val="20"/>
          <w:szCs w:val="20"/>
          <w:color w:val="auto"/>
        </w:rPr>
      </w:pPr>
    </w:p>
    <w:p>
      <w:pPr>
        <w:ind w:left="2120" w:hanging="345"/>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if any, for the subscription rights;</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payable for our common stock, preferred stock, debt securities, depositary shares, warrants or units consisting of some or all of these securities upon the exercise of the subscription rights;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subscription rights to be issued to each stockholder;</w:t>
      </w:r>
    </w:p>
    <w:p>
      <w:pPr>
        <w:spacing w:after="0" w:line="101" w:lineRule="exact"/>
        <w:rPr>
          <w:rFonts w:ascii="Times New Roman" w:cs="Times New Roman" w:eastAsia="Times New Roman" w:hAnsi="Times New Roman"/>
          <w:sz w:val="14"/>
          <w:szCs w:val="14"/>
          <w:color w:val="auto"/>
        </w:rPr>
      </w:pPr>
    </w:p>
    <w:p>
      <w:pPr>
        <w:ind w:left="2120" w:right="339" w:hanging="345"/>
        <w:spacing w:after="0" w:line="283"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terms of our common stock, preferred stock, debt securities, depositary shares, warrants or units consisting of some or all of these securities which may be purchased per each subscription right;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are transferable;</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subscription rights, including the terms, procedures and limitations relating to the exchange and exercise of the subscription rights;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the subscription rights shall commence, and the date on which the subscription rights shall expire;</w:t>
      </w:r>
    </w:p>
    <w:p>
      <w:pPr>
        <w:spacing w:after="0" w:line="101" w:lineRule="exact"/>
        <w:rPr>
          <w:rFonts w:ascii="Times New Roman" w:cs="Times New Roman" w:eastAsia="Times New Roman" w:hAnsi="Times New Roman"/>
          <w:sz w:val="14"/>
          <w:szCs w:val="14"/>
          <w:color w:val="auto"/>
        </w:rPr>
      </w:pPr>
    </w:p>
    <w:p>
      <w:pPr>
        <w:ind w:left="2120" w:right="419" w:hanging="345"/>
        <w:spacing w:after="0" w:line="283"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the subscription rights may include an over-subscription privilege with respect to unsubscribed securities or an over-allotment privilege to the extent the securities are fully subscribed; and</w:t>
      </w:r>
    </w:p>
    <w:p>
      <w:pPr>
        <w:spacing w:after="0" w:line="5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material terms of any standby underwriting or purchase arrangement which may be entered into by us in connection with the offering of subscription rights.</w:t>
      </w:r>
    </w:p>
    <w:p>
      <w:pPr>
        <w:spacing w:after="0" w:line="125"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of this prospectus captioned “Where You Can Find More Information.”</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6"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PURCHASE CONTRACTS</w:t>
      </w:r>
    </w:p>
    <w:p>
      <w:pPr>
        <w:spacing w:after="0" w:line="177" w:lineRule="exact"/>
        <w:rPr>
          <w:sz w:val="20"/>
          <w:szCs w:val="20"/>
          <w:color w:val="auto"/>
        </w:rPr>
      </w:pPr>
    </w:p>
    <w:p>
      <w:pPr>
        <w:ind w:left="1360" w:right="299" w:firstLine="343"/>
        <w:spacing w:after="0" w:line="256" w:lineRule="auto"/>
        <w:rPr>
          <w:sz w:val="20"/>
          <w:szCs w:val="20"/>
          <w:color w:val="auto"/>
        </w:rPr>
      </w:pPr>
      <w:r>
        <w:rPr>
          <w:rFonts w:ascii="Times New Roman" w:cs="Times New Roman" w:eastAsia="Times New Roman" w:hAnsi="Times New Roman"/>
          <w:sz w:val="14"/>
          <w:szCs w:val="14"/>
          <w:color w:val="auto"/>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spacing w:after="0" w:line="144"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spacing w:after="0" w:line="143"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We may issue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spacing w:after="0" w:line="136" w:lineRule="exact"/>
        <w:rPr>
          <w:sz w:val="20"/>
          <w:szCs w:val="20"/>
          <w:color w:val="auto"/>
        </w:rPr>
      </w:pPr>
    </w:p>
    <w:p>
      <w:pPr>
        <w:ind w:left="1360" w:right="479" w:firstLine="343"/>
        <w:spacing w:after="0" w:line="283" w:lineRule="auto"/>
        <w:rPr>
          <w:sz w:val="20"/>
          <w:szCs w:val="20"/>
          <w:color w:val="auto"/>
        </w:rPr>
      </w:pPr>
      <w:r>
        <w:rPr>
          <w:rFonts w:ascii="Times New Roman" w:cs="Times New Roman" w:eastAsia="Times New Roman" w:hAnsi="Times New Roman"/>
          <w:sz w:val="14"/>
          <w:szCs w:val="14"/>
          <w:color w:val="auto"/>
        </w:rPr>
        <w:t>If we offer any purchase contracts, certain terms of that series of purchase contracts will be described in the applicable prospectus supplement, including, without limitation, the following:</w:t>
      </w:r>
    </w:p>
    <w:p>
      <w:pPr>
        <w:spacing w:after="0" w:line="51" w:lineRule="exact"/>
        <w:rPr>
          <w:sz w:val="20"/>
          <w:szCs w:val="20"/>
          <w:color w:val="auto"/>
        </w:rPr>
      </w:pPr>
    </w:p>
    <w:p>
      <w:pPr>
        <w:ind w:left="2120" w:right="339" w:hanging="345"/>
        <w:spacing w:after="0" w:line="283" w:lineRule="auto"/>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of the securities or other property subject to the purchase contracts (which may be determined by reference to a specific formula described in the purchase contracts);</w:t>
      </w:r>
    </w:p>
    <w:p>
      <w:pPr>
        <w:spacing w:after="0" w:line="51" w:lineRule="exact"/>
        <w:rPr>
          <w:rFonts w:ascii="Times New Roman" w:cs="Times New Roman" w:eastAsia="Times New Roman" w:hAnsi="Times New Roman"/>
          <w:sz w:val="14"/>
          <w:szCs w:val="14"/>
          <w:color w:val="auto"/>
        </w:rPr>
      </w:pPr>
    </w:p>
    <w:p>
      <w:pPr>
        <w:ind w:left="2120" w:right="499" w:hanging="345"/>
        <w:spacing w:after="0" w:line="283" w:lineRule="auto"/>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are issued separately, or as a part of units each consisting of a purchase contract and one or more of our other securities, including U.S. Treasury securities, securing the holder’s obligations under the purchase contract;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requirement for us to make periodic payments to holders or vice versa, and whether the payments are unsecured or pre-funded;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relating to any security provided for the purchase contracts;</w:t>
      </w:r>
    </w:p>
    <w:p>
      <w:pPr>
        <w:spacing w:after="0" w:line="101" w:lineRule="exact"/>
        <w:rPr>
          <w:rFonts w:ascii="Times New Roman" w:cs="Times New Roman" w:eastAsia="Times New Roman" w:hAnsi="Times New Roman"/>
          <w:sz w:val="14"/>
          <w:szCs w:val="14"/>
          <w:color w:val="auto"/>
        </w:rPr>
      </w:pPr>
    </w:p>
    <w:p>
      <w:pPr>
        <w:ind w:left="2120" w:right="479" w:hanging="345"/>
        <w:spacing w:after="0" w:line="323" w:lineRule="auto"/>
        <w:tabs>
          <w:tab w:leader="none" w:pos="212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28" w:lineRule="exact"/>
        <w:rPr>
          <w:rFonts w:ascii="Times New Roman" w:cs="Times New Roman" w:eastAsia="Times New Roman" w:hAnsi="Times New Roman"/>
          <w:sz w:val="13"/>
          <w:szCs w:val="13"/>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are to be prepaid or not;</w:t>
      </w:r>
    </w:p>
    <w:p>
      <w:pPr>
        <w:spacing w:after="0" w:line="101" w:lineRule="exact"/>
        <w:rPr>
          <w:rFonts w:ascii="Times New Roman" w:cs="Times New Roman" w:eastAsia="Times New Roman" w:hAnsi="Times New Roman"/>
          <w:sz w:val="14"/>
          <w:szCs w:val="14"/>
          <w:color w:val="auto"/>
        </w:rPr>
      </w:pPr>
    </w:p>
    <w:p>
      <w:pPr>
        <w:ind w:left="2120" w:right="379" w:hanging="345"/>
        <w:spacing w:after="0" w:line="283" w:lineRule="auto"/>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are to be settled by delivery, or by reference or linkage to the value, performance or level of the securities subject to purchase under the purchase contract;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acceleration, cancellation, termination or other provisions relating to the settlement of the purchase contracts;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U.S. federal income tax considerations applicable to the purchase contracts;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purchase contracts will be issued in fully registered or global form;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purchase contracts and any securities subject to such purchase contracts.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6"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UNITS</w:t>
      </w:r>
    </w:p>
    <w:p>
      <w:pPr>
        <w:spacing w:after="0" w:line="177" w:lineRule="exact"/>
        <w:rPr>
          <w:sz w:val="20"/>
          <w:szCs w:val="20"/>
          <w:color w:val="auto"/>
        </w:rPr>
      </w:pPr>
    </w:p>
    <w:p>
      <w:pPr>
        <w:ind w:left="1360" w:right="359" w:firstLine="343"/>
        <w:spacing w:after="0" w:line="261" w:lineRule="auto"/>
        <w:rPr>
          <w:sz w:val="20"/>
          <w:szCs w:val="20"/>
          <w:color w:val="auto"/>
        </w:rPr>
      </w:pPr>
      <w:r>
        <w:rPr>
          <w:rFonts w:ascii="Times New Roman" w:cs="Times New Roman" w:eastAsia="Times New Roman" w:hAnsi="Times New Roman"/>
          <w:sz w:val="14"/>
          <w:szCs w:val="14"/>
          <w:color w:val="auto"/>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spacing w:after="0" w:line="141" w:lineRule="exact"/>
        <w:rPr>
          <w:sz w:val="20"/>
          <w:szCs w:val="20"/>
          <w:color w:val="auto"/>
        </w:rPr>
      </w:pPr>
    </w:p>
    <w:p>
      <w:pPr>
        <w:ind w:left="1360" w:right="279" w:firstLine="343"/>
        <w:spacing w:after="0" w:line="257" w:lineRule="auto"/>
        <w:rPr>
          <w:sz w:val="20"/>
          <w:szCs w:val="20"/>
          <w:color w:val="auto"/>
        </w:rPr>
      </w:pPr>
      <w:r>
        <w:rPr>
          <w:rFonts w:ascii="Times New Roman" w:cs="Times New Roman" w:eastAsia="Times New Roman" w:hAnsi="Times New Roman"/>
          <w:sz w:val="14"/>
          <w:szCs w:val="14"/>
          <w:color w:val="auto"/>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43"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The prospectus supplement relating to any particular issuance of units will describe the terms of those units, including, to the extent applicable, the following:</w:t>
      </w:r>
    </w:p>
    <w:p>
      <w:pPr>
        <w:spacing w:after="0" w:line="51" w:lineRule="exact"/>
        <w:rPr>
          <w:sz w:val="20"/>
          <w:szCs w:val="20"/>
          <w:color w:val="auto"/>
        </w:rPr>
      </w:pPr>
    </w:p>
    <w:p>
      <w:pPr>
        <w:ind w:left="2120" w:right="619" w:hanging="345"/>
        <w:spacing w:after="0" w:line="283" w:lineRule="auto"/>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the securities comprising the units, including whether and under what circumstances those securities may be held or transferred separately;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 for the issuance, payment, settlement, transfer or exchange of the units or of the securities comprising the units;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units will be issued in fully registered or global form.</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10159"/>
          </w:cols>
          <w:pgMar w:left="300" w:top="386"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We may sell securities:</w:t>
      </w:r>
    </w:p>
    <w:p>
      <w:pPr>
        <w:spacing w:after="0" w:line="102" w:lineRule="exact"/>
        <w:rPr>
          <w:sz w:val="20"/>
          <w:szCs w:val="20"/>
          <w:color w:val="auto"/>
        </w:rPr>
      </w:pPr>
    </w:p>
    <w:p>
      <w:pPr>
        <w:ind w:left="2120" w:hanging="345"/>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underwriters;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dealers;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agents;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directly to purchasers;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of these methods of sale.</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In addition, we may issue the securities as a dividend or distribution or in a subscription rights offering to our existing securityholders.</w:t>
      </w:r>
    </w:p>
    <w:p>
      <w:pPr>
        <w:spacing w:after="0" w:line="175"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4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distribution of the securities may be effected from time to time in one or more transactions:</w:t>
      </w:r>
    </w:p>
    <w:p>
      <w:pPr>
        <w:spacing w:after="0" w:line="102" w:lineRule="exact"/>
        <w:rPr>
          <w:sz w:val="20"/>
          <w:szCs w:val="20"/>
          <w:color w:val="auto"/>
        </w:rPr>
      </w:pPr>
    </w:p>
    <w:p>
      <w:pPr>
        <w:ind w:left="2120" w:hanging="345"/>
        <w:spacing w:after="0"/>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 fixed price or prices that may be changed from time to time;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market prices prevailing at the time of sale;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such prevailing market prices; or</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Each prospectus supplement will describe the method of distribution of the securities and any applicable restrictions.</w:t>
      </w:r>
    </w:p>
    <w:p>
      <w:pPr>
        <w:spacing w:after="0" w:line="175"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The prospectus supplement with respect to the securities of a particular series will describe the terms of the offering of the securities, including the following:</w:t>
      </w:r>
    </w:p>
    <w:p>
      <w:pPr>
        <w:spacing w:after="0" w:line="51" w:lineRule="exact"/>
        <w:rPr>
          <w:sz w:val="20"/>
          <w:szCs w:val="20"/>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of the agent or any underwriters;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public offering or purchase price;</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the agent or underwriters;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items constituting underwriting compensation;</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and commissions to be allowed or paid to dealers;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exchanges on which the securities will be listed.</w:t>
      </w:r>
    </w:p>
    <w:p>
      <w:pPr>
        <w:spacing w:after="0" w:line="175" w:lineRule="exact"/>
        <w:rPr>
          <w:sz w:val="20"/>
          <w:szCs w:val="20"/>
          <w:color w:val="auto"/>
        </w:rPr>
      </w:pPr>
    </w:p>
    <w:p>
      <w:pPr>
        <w:ind w:left="1360" w:right="499" w:firstLine="343"/>
        <w:spacing w:after="0" w:line="267" w:lineRule="auto"/>
        <w:rPr>
          <w:sz w:val="20"/>
          <w:szCs w:val="20"/>
          <w:color w:val="auto"/>
        </w:rPr>
      </w:pPr>
      <w:r>
        <w:rPr>
          <w:rFonts w:ascii="Times New Roman" w:cs="Times New Roman" w:eastAsia="Times New Roman" w:hAnsi="Times New Roman"/>
          <w:sz w:val="14"/>
          <w:szCs w:val="14"/>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36" w:lineRule="exact"/>
        <w:rPr>
          <w:sz w:val="20"/>
          <w:szCs w:val="20"/>
          <w:color w:val="auto"/>
        </w:rPr>
      </w:pPr>
    </w:p>
    <w:p>
      <w:pPr>
        <w:ind w:left="1360" w:right="679" w:firstLine="343"/>
        <w:spacing w:after="0" w:line="283" w:lineRule="auto"/>
        <w:rPr>
          <w:sz w:val="20"/>
          <w:szCs w:val="20"/>
          <w:color w:val="auto"/>
        </w:rPr>
      </w:pPr>
      <w:r>
        <w:rPr>
          <w:rFonts w:ascii="Times New Roman" w:cs="Times New Roman" w:eastAsia="Times New Roman" w:hAnsi="Times New Roman"/>
          <w:sz w:val="14"/>
          <w:szCs w:val="14"/>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25" w:lineRule="exact"/>
        <w:rPr>
          <w:sz w:val="20"/>
          <w:szCs w:val="20"/>
          <w:color w:val="auto"/>
        </w:rPr>
      </w:pPr>
    </w:p>
    <w:p>
      <w:pPr>
        <w:ind w:left="1360" w:right="219" w:firstLine="343"/>
        <w:spacing w:after="0" w:line="283" w:lineRule="auto"/>
        <w:rPr>
          <w:sz w:val="20"/>
          <w:szCs w:val="20"/>
          <w:color w:val="auto"/>
        </w:rPr>
      </w:pPr>
      <w:r>
        <w:rPr>
          <w:rFonts w:ascii="Times New Roman" w:cs="Times New Roman" w:eastAsia="Times New Roman" w:hAnsi="Times New Roman"/>
          <w:sz w:val="14"/>
          <w:szCs w:val="14"/>
          <w:color w:val="auto"/>
        </w:rPr>
        <w:t>Agents, underwriters, dealers and other persons may be entitled under agreements that they may enter into with us to indemnification by us against certain civil liabilities, including liabilities under the Securities Act.</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6"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36" w:lineRule="exact"/>
        <w:rPr>
          <w:sz w:val="20"/>
          <w:szCs w:val="20"/>
          <w:color w:val="auto"/>
        </w:rPr>
      </w:pPr>
    </w:p>
    <w:p>
      <w:pPr>
        <w:ind w:left="1360" w:right="239" w:firstLine="343"/>
        <w:spacing w:after="0" w:line="277" w:lineRule="auto"/>
        <w:rPr>
          <w:sz w:val="20"/>
          <w:szCs w:val="20"/>
          <w:color w:val="auto"/>
        </w:rPr>
      </w:pPr>
      <w:r>
        <w:rPr>
          <w:rFonts w:ascii="Times New Roman" w:cs="Times New Roman" w:eastAsia="Times New Roman" w:hAnsi="Times New Roman"/>
          <w:sz w:val="13"/>
          <w:szCs w:val="13"/>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34"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43"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6"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579" w:firstLine="343"/>
        <w:spacing w:after="0" w:line="267" w:lineRule="auto"/>
        <w:rPr>
          <w:sz w:val="20"/>
          <w:szCs w:val="20"/>
          <w:color w:val="auto"/>
        </w:rPr>
      </w:pPr>
      <w:r>
        <w:rPr>
          <w:rFonts w:ascii="Times New Roman" w:cs="Times New Roman" w:eastAsia="Times New Roman" w:hAnsi="Times New Roman"/>
          <w:sz w:val="14"/>
          <w:szCs w:val="14"/>
          <w:color w:val="auto"/>
        </w:rPr>
        <w:t>The validity of the securities offered hereby will be passed upon for us by Wilson Sonsini Goodrich &amp; Rosati, Professional Corporation, San Diego, California. Additional legal matters may be passed on for us, or any underwriters, dealers or agents, by counsel that we will name in the applicable prospectus supplement.</w:t>
      </w:r>
    </w:p>
    <w:p>
      <w:pPr>
        <w:spacing w:after="0" w:line="30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ImmunityBio, Inc. appearing in ImmunityBio,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over the Internet at the SEC’s website </w:t>
      </w:r>
      <w:r>
        <w:rPr>
          <w:rFonts w:ascii="Times New Roman" w:cs="Times New Roman" w:eastAsia="Times New Roman" w:hAnsi="Times New Roman"/>
          <w:sz w:val="14"/>
          <w:szCs w:val="14"/>
          <w:i w:val="1"/>
          <w:iCs w:val="1"/>
          <w:color w:val="auto"/>
        </w:rPr>
        <w:t>at www.sec.gov</w:t>
      </w:r>
      <w:r>
        <w:rPr>
          <w:rFonts w:ascii="Times New Roman" w:cs="Times New Roman" w:eastAsia="Times New Roman" w:hAnsi="Times New Roman"/>
          <w:sz w:val="14"/>
          <w:szCs w:val="14"/>
          <w:color w:val="auto"/>
        </w:rPr>
        <w:t xml:space="preserve">. Copies of certain information filed by us with the SEC are also available on our website at </w:t>
      </w:r>
      <w:r>
        <w:rPr>
          <w:rFonts w:ascii="Times New Roman" w:cs="Times New Roman" w:eastAsia="Times New Roman" w:hAnsi="Times New Roman"/>
          <w:sz w:val="14"/>
          <w:szCs w:val="14"/>
          <w:i w:val="1"/>
          <w:iCs w:val="1"/>
          <w:color w:val="auto"/>
        </w:rPr>
        <w:t>www.immunitybio.com</w:t>
      </w:r>
      <w:r>
        <w:rPr>
          <w:rFonts w:ascii="Times New Roman" w:cs="Times New Roman" w:eastAsia="Times New Roman" w:hAnsi="Times New Roman"/>
          <w:sz w:val="14"/>
          <w:szCs w:val="14"/>
          <w:color w:val="auto"/>
        </w:rPr>
        <w:t>. Information accessible on or through our website is not a part of this prospectus.</w:t>
      </w:r>
    </w:p>
    <w:p>
      <w:pPr>
        <w:spacing w:after="0" w:line="136" w:lineRule="exact"/>
        <w:rPr>
          <w:sz w:val="20"/>
          <w:szCs w:val="20"/>
          <w:color w:val="auto"/>
        </w:rPr>
      </w:pPr>
    </w:p>
    <w:p>
      <w:pPr>
        <w:ind w:left="1360" w:right="339" w:firstLine="343"/>
        <w:spacing w:after="0" w:line="256" w:lineRule="auto"/>
        <w:rPr>
          <w:sz w:val="20"/>
          <w:szCs w:val="20"/>
          <w:color w:val="auto"/>
        </w:rPr>
      </w:pPr>
      <w:r>
        <w:rPr>
          <w:rFonts w:ascii="Times New Roman" w:cs="Times New Roman" w:eastAsia="Times New Roman" w:hAnsi="Times New Roman"/>
          <w:sz w:val="14"/>
          <w:szCs w:val="14"/>
          <w:color w:val="auto"/>
        </w:rPr>
        <w:t>This prospectus and any prospectus supplement we may file are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pacing w:after="0" w:line="31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7"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73" w:lineRule="exact"/>
        <w:rPr>
          <w:sz w:val="20"/>
          <w:szCs w:val="20"/>
          <w:color w:val="auto"/>
        </w:rPr>
      </w:pPr>
    </w:p>
    <w:p>
      <w:pPr>
        <w:ind w:left="2120" w:hanging="345"/>
        <w:spacing w:after="0"/>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2023, filed with the SEC on </w:t>
      </w:r>
      <w:hyperlink r:id="rId80">
        <w:r>
          <w:rPr>
            <w:rFonts w:ascii="Times New Roman" w:cs="Times New Roman" w:eastAsia="Times New Roman" w:hAnsi="Times New Roman"/>
            <w:sz w:val="14"/>
            <w:szCs w:val="14"/>
            <w:u w:val="single" w:color="auto"/>
            <w:color w:val="0000EE"/>
          </w:rPr>
          <w:t>March 19, 2024</w:t>
        </w:r>
      </w:hyperlink>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2120" w:right="1039" w:hanging="345"/>
        <w:spacing w:after="0" w:line="283" w:lineRule="auto"/>
        <w:tabs>
          <w:tab w:leader="none" w:pos="21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incorporated by reference into our Annual Report on Form 10-K for the year ended December 31, 2022 from our Definitive Proxy Statement on Schedule 14A, filed with the SEC on </w:t>
      </w:r>
      <w:hyperlink r:id="rId99">
        <w:r>
          <w:rPr>
            <w:rFonts w:ascii="Times New Roman" w:cs="Times New Roman" w:eastAsia="Times New Roman" w:hAnsi="Times New Roman"/>
            <w:sz w:val="14"/>
            <w:szCs w:val="14"/>
            <w:u w:val="single" w:color="auto"/>
            <w:color w:val="0000EE"/>
          </w:rPr>
          <w:t>April 28, 2023</w:t>
        </w:r>
      </w:hyperlink>
      <w:r>
        <w:rPr>
          <w:rFonts w:ascii="Times New Roman" w:cs="Times New Roman" w:eastAsia="Times New Roman" w:hAnsi="Times New Roman"/>
          <w:sz w:val="14"/>
          <w:szCs w:val="14"/>
          <w:color w:val="auto"/>
        </w:rPr>
        <w:t>;</w:t>
      </w:r>
    </w:p>
    <w:p>
      <w:pPr>
        <w:spacing w:after="0" w:line="72"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6"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101">
        <w:r>
          <w:rPr>
            <w:rFonts w:ascii="Times New Roman" w:cs="Times New Roman" w:eastAsia="Times New Roman" w:hAnsi="Times New Roman"/>
            <w:sz w:val="14"/>
            <w:szCs w:val="14"/>
            <w:u w:val="single" w:color="auto"/>
            <w:color w:val="0000EE"/>
          </w:rPr>
          <w:t>January 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02">
        <w:r>
          <w:rPr>
            <w:rFonts w:ascii="Times New Roman" w:cs="Times New Roman" w:eastAsia="Times New Roman" w:hAnsi="Times New Roman"/>
            <w:sz w:val="14"/>
            <w:szCs w:val="14"/>
            <w:u w:val="single" w:color="auto"/>
            <w:color w:val="0000EE"/>
          </w:rPr>
          <w:t>February 26, 2024</w:t>
        </w:r>
      </w:hyperlink>
      <w:r>
        <w:rPr>
          <w:rFonts w:ascii="Times New Roman" w:cs="Times New Roman" w:eastAsia="Times New Roman" w:hAnsi="Times New Roman"/>
          <w:sz w:val="14"/>
          <w:szCs w:val="14"/>
          <w:color w:val="auto"/>
        </w:rPr>
        <w:t>; and</w:t>
      </w:r>
    </w:p>
    <w:p>
      <w:pPr>
        <w:spacing w:after="0" w:line="10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80">
        <w:r>
          <w:rPr>
            <w:rFonts w:ascii="Times New Roman" w:cs="Times New Roman" w:eastAsia="Times New Roman" w:hAnsi="Times New Roman"/>
            <w:sz w:val="14"/>
            <w:szCs w:val="14"/>
            <w:u w:val="single" w:color="auto"/>
            <w:color w:val="0000EE"/>
          </w:rPr>
          <w:t>Exhibit 4.7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filed with the SEC on March 19, 2024, including any amendment or report filed for the purpose of updating such description.</w:t>
      </w:r>
    </w:p>
    <w:p>
      <w:pPr>
        <w:spacing w:after="0" w:line="125" w:lineRule="exact"/>
        <w:rPr>
          <w:rFonts w:ascii="Times New Roman" w:cs="Times New Roman" w:eastAsia="Times New Roman" w:hAnsi="Times New Roman"/>
          <w:sz w:val="14"/>
          <w:szCs w:val="14"/>
          <w:color w:val="auto"/>
        </w:rPr>
      </w:pPr>
    </w:p>
    <w:p>
      <w:pPr>
        <w:ind w:left="1360" w:right="279" w:firstLine="343"/>
        <w:spacing w:after="0" w:line="283" w:lineRule="auto"/>
        <w:rPr>
          <w:sz w:val="20"/>
          <w:szCs w:val="20"/>
          <w:color w:val="auto"/>
        </w:rPr>
      </w:pPr>
      <w:r>
        <w:rPr>
          <w:rFonts w:ascii="Times New Roman" w:cs="Times New Roman" w:eastAsia="Times New Roman" w:hAnsi="Times New Roman"/>
          <w:sz w:val="14"/>
          <w:szCs w:val="14"/>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25" w:lineRule="exact"/>
        <w:rPr>
          <w:rFonts w:ascii="Times New Roman" w:cs="Times New Roman" w:eastAsia="Times New Roman" w:hAnsi="Times New Roman"/>
          <w:sz w:val="14"/>
          <w:szCs w:val="14"/>
          <w:color w:val="auto"/>
        </w:rPr>
      </w:pPr>
    </w:p>
    <w:p>
      <w:pPr>
        <w:ind w:left="170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and telephone number:</w:t>
      </w:r>
    </w:p>
    <w:p>
      <w:pPr>
        <w:spacing w:after="0" w:line="175"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ImmunityBio, Inc.</w:t>
      </w:r>
    </w:p>
    <w:p>
      <w:pPr>
        <w:spacing w:after="0" w:line="22"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3530 John Hopkins Court</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San Diego, CA 92121</w:t>
      </w:r>
    </w:p>
    <w:p>
      <w:pPr>
        <w:spacing w:after="0" w:line="7" w:lineRule="exact"/>
        <w:rPr>
          <w:rFonts w:ascii="Times New Roman" w:cs="Times New Roman" w:eastAsia="Times New Roman" w:hAnsi="Times New Roman"/>
          <w:sz w:val="14"/>
          <w:szCs w:val="1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(844) 696-5235</w:t>
      </w:r>
    </w:p>
    <w:p>
      <w:pPr>
        <w:spacing w:after="0" w:line="108"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6"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196215</wp:posOffset>
            </wp:positionV>
            <wp:extent cx="5447030" cy="133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5447030" cy="133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236220</wp:posOffset>
            </wp:positionV>
            <wp:extent cx="544703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509905</wp:posOffset>
            </wp:positionV>
            <wp:extent cx="1809115" cy="494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1809115" cy="494030"/>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Debt Securities</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Depositary Shares</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Subscription Rights</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Purchase Contracts</w:t>
      </w:r>
    </w:p>
    <w:p>
      <w:pPr>
        <w:spacing w:after="0" w:line="9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2"/>
          <w:szCs w:val="2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686435</wp:posOffset>
            </wp:positionV>
            <wp:extent cx="114173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191770</wp:posOffset>
            </wp:positionV>
            <wp:extent cx="114173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b w:val="1"/>
          <w:bCs w:val="1"/>
          <w:color w:val="auto"/>
        </w:rPr>
        <w:t>April 17,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312420</wp:posOffset>
            </wp:positionV>
            <wp:extent cx="544703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365760</wp:posOffset>
            </wp:positionV>
            <wp:extent cx="54470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135255</wp:posOffset>
            </wp:positionV>
            <wp:extent cx="1809115" cy="4940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1809115"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Up to $300,785,011</w:t>
      </w:r>
    </w:p>
    <w:p>
      <w:pPr>
        <w:spacing w:after="0" w:line="16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188595</wp:posOffset>
            </wp:positionV>
            <wp:extent cx="114173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We have entered into an open market sale agreement (the “sale agreement”) with Jefferies LLC (“Jefferies”) relating to shares of our common stock, $0.0001 par value per share, offered by this prospectus. In accordance with the terms of the sale agreement, we may offer and sell shares of our common stock having an aggregate offering price of up to $500,000,000, of which we have to date sold $199,214,989, and of which $300,785,011 may still be offered, from time to time through Jefferies, acting as our sales agent, pursuant to this prospectus.</w:t>
      </w:r>
    </w:p>
    <w:p>
      <w:pPr>
        <w:spacing w:after="0" w:line="14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Nasdaq Global Select Market under the symbol “IBRX.” On April 12, 2024, the closing price of our common stock on The Nasdaq Global Select Market was $5.11 per share.</w:t>
      </w:r>
    </w:p>
    <w:p>
      <w:pPr>
        <w:spacing w:after="0" w:line="125" w:lineRule="exact"/>
        <w:rPr>
          <w:sz w:val="20"/>
          <w:szCs w:val="20"/>
          <w:color w:val="auto"/>
        </w:rPr>
      </w:pPr>
    </w:p>
    <w:p>
      <w:pPr>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We are a “smaller reporting company” as that term is defined in Rule 12b-2 promulgated under the Securities Exchange Act of 1934, as amended, or the Exchange Act, and, as such, have elected to comply with certain reduced public company reporting requirements for this prospectus and future filings.</w:t>
      </w:r>
    </w:p>
    <w:p>
      <w:pPr>
        <w:spacing w:after="0" w:line="136"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Sales, if any, of shares of our common stock under the sale agreement may be made by any method permitted by law. Jefferies is not required to sell any specific amount of securities but will act as our sales agent using commercially reasonable efforts to sell on our behalf all of the shares of common stock requested to be sold by us, consistent with its normal trading and sales practices, applicable state and federal laws, rules and regulations and the rules of The Nasdaq Global Select Market, on mutually agreed terms between Jefferies and us. There is no arrangement for funds to be received in any escrow, trust or similar arrangement.</w:t>
      </w:r>
    </w:p>
    <w:p>
      <w:pPr>
        <w:spacing w:after="0" w:line="144"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Jefferies will be entitled to compensation at a commission rate of up to 3.0% of the gross proceeds of any shares of common stock sold under the sale agreement. In connection with the sale of the common stock on our behalf, Jefferies may be deemed to be an “underwriter” within the meaning of the Securities Act of 1933, as amended (the “Securities Act”) and the compensation of Jefferies may be deemed to be underwriting commissions or discounts. We have also agreed to provide indemnification and contribution to Jefferies with respect to certain liabilities, including liabilities under the Securities Act or the Exchange Act. See the section titled “Plan of Distribution” on page 16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173990</wp:posOffset>
            </wp:positionV>
            <wp:extent cx="114173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360" w:right="499" w:firstLine="343"/>
        <w:spacing w:after="0" w:line="243"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a high degree of risk.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7 of this prospectus and in the reports we file with the Securities and Exchange Commission (the “SEC”) pursuant to the Exchange Act, incorporated by reference into this prospectus supplement, to read about factors you should consider before buying shares of our common stock.</w:t>
      </w:r>
    </w:p>
    <w:p>
      <w:pPr>
        <w:spacing w:after="0" w:line="141" w:lineRule="exact"/>
        <w:rPr>
          <w:sz w:val="20"/>
          <w:szCs w:val="20"/>
          <w:color w:val="auto"/>
        </w:rPr>
      </w:pPr>
    </w:p>
    <w:p>
      <w:pPr>
        <w:ind w:left="1360" w:right="339" w:firstLine="343"/>
        <w:spacing w:after="0" w:line="286"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154305</wp:posOffset>
            </wp:positionV>
            <wp:extent cx="114173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7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Jefferies</w:t>
      </w:r>
    </w:p>
    <w:p>
      <w:pPr>
        <w:spacing w:after="0" w:line="17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The date of this prospectus is April 17, 2024.</w:t>
      </w:r>
    </w:p>
    <w:p>
      <w:pPr>
        <w:sectPr>
          <w:pgSz w:w="11900" w:h="16838" w:orient="portrait"/>
          <w:cols w:equalWidth="0" w:num="1">
            <w:col w:w="10159"/>
          </w:cols>
          <w:pgMar w:left="300" w:top="386"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320" w:type="dxa"/>
            <w:vAlign w:val="bottom"/>
            <w:gridSpan w:val="2"/>
          </w:tcPr>
          <w:p>
            <w:pPr>
              <w:jc w:val="right"/>
              <w:ind w:right="3432"/>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26"/>
        </w:trPr>
        <w:tc>
          <w:tcPr>
            <w:tcW w:w="222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602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0"/>
        </w:trPr>
        <w:tc>
          <w:tcPr>
            <w:tcW w:w="2220" w:type="dxa"/>
            <w:vAlign w:val="bottom"/>
            <w:gridSpan w:val="12"/>
            <w:vMerge w:val="continu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220" w:type="dxa"/>
            <w:vAlign w:val="bottom"/>
            <w:gridSpan w:val="12"/>
            <w:vMerge w:val="continue"/>
          </w:tcPr>
          <w:p>
            <w:pPr>
              <w:spacing w:after="0"/>
              <w:rPr>
                <w:sz w:val="10"/>
                <w:szCs w:val="10"/>
                <w:color w:val="auto"/>
              </w:rPr>
            </w:pPr>
          </w:p>
        </w:tc>
        <w:tc>
          <w:tcPr>
            <w:tcW w:w="6020" w:type="dxa"/>
            <w:vAlign w:val="bottom"/>
          </w:tcPr>
          <w:p>
            <w:pPr>
              <w:spacing w:after="0"/>
              <w:rPr>
                <w:sz w:val="10"/>
                <w:szCs w:val="10"/>
                <w:color w:val="auto"/>
              </w:rPr>
            </w:pPr>
          </w:p>
        </w:tc>
        <w:tc>
          <w:tcPr>
            <w:tcW w:w="3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ii</w:t>
            </w:r>
          </w:p>
        </w:tc>
        <w:tc>
          <w:tcPr>
            <w:tcW w:w="0" w:type="dxa"/>
            <w:vAlign w:val="bottom"/>
          </w:tcPr>
          <w:p>
            <w:pPr>
              <w:spacing w:after="0"/>
              <w:rPr>
                <w:sz w:val="1"/>
                <w:szCs w:val="1"/>
                <w:color w:val="auto"/>
              </w:rPr>
            </w:pPr>
          </w:p>
        </w:tc>
      </w:tr>
      <w:tr>
        <w:trPr>
          <w:trHeight w:val="148"/>
        </w:trPr>
        <w:tc>
          <w:tcPr>
            <w:tcW w:w="1220" w:type="dxa"/>
            <w:vAlign w:val="bottom"/>
            <w:tcBorders>
              <w:top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rPr>
              <w:t>Prospectus Summary</w:t>
            </w:r>
          </w:p>
        </w:tc>
        <w:tc>
          <w:tcPr>
            <w:tcW w:w="1000" w:type="dxa"/>
            <w:vAlign w:val="bottom"/>
            <w:gridSpan w:val="4"/>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180" w:type="dxa"/>
            <w:vAlign w:val="bottom"/>
            <w:tcBorders>
              <w:top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rPr>
              <w:t>The Offering</w:t>
            </w:r>
          </w:p>
        </w:tc>
        <w:tc>
          <w:tcPr>
            <w:tcW w:w="1040" w:type="dxa"/>
            <w:vAlign w:val="bottom"/>
            <w:gridSpan w:val="5"/>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48"/>
        </w:trPr>
        <w:tc>
          <w:tcPr>
            <w:tcW w:w="700" w:type="dxa"/>
            <w:vAlign w:val="bottom"/>
            <w:tcBorders>
              <w:top w:val="single" w:sz="8" w:color="0000EE"/>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20" w:type="dxa"/>
            <w:vAlign w:val="bottom"/>
            <w:tcBorders>
              <w:top w:val="single" w:sz="8" w:color="0000EE"/>
            </w:tcBorders>
          </w:tcPr>
          <w:p>
            <w:pPr>
              <w:spacing w:after="0"/>
              <w:rPr>
                <w:sz w:val="12"/>
                <w:szCs w:val="12"/>
                <w:color w:val="auto"/>
              </w:rPr>
            </w:pPr>
          </w:p>
        </w:tc>
        <w:tc>
          <w:tcPr>
            <w:tcW w:w="1500" w:type="dxa"/>
            <w:vAlign w:val="bottom"/>
            <w:gridSpan w:val="9"/>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222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Forward-Looking Statements</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8"/>
        </w:trPr>
        <w:tc>
          <w:tcPr>
            <w:tcW w:w="1640" w:type="dxa"/>
            <w:vAlign w:val="bottom"/>
            <w:tcBorders>
              <w:top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580" w:type="dxa"/>
            <w:vAlign w:val="bottom"/>
            <w:gridSpan w:val="2"/>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720" w:type="dxa"/>
            <w:vAlign w:val="bottom"/>
            <w:tcBorders>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9"/>
              </w:rPr>
              <w:t>Description of Common Stock</w:t>
            </w:r>
          </w:p>
        </w:tc>
        <w:tc>
          <w:tcPr>
            <w:tcW w:w="500" w:type="dxa"/>
            <w:vAlign w:val="bottom"/>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48"/>
        </w:trPr>
        <w:tc>
          <w:tcPr>
            <w:tcW w:w="222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Dilution</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2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2"/>
          </w:tcPr>
          <w:p>
            <w:pPr>
              <w:spacing w:after="0"/>
              <w:rPr>
                <w:sz w:val="12"/>
                <w:szCs w:val="12"/>
                <w:color w:val="auto"/>
              </w:rPr>
            </w:pPr>
          </w:p>
        </w:tc>
        <w:tc>
          <w:tcPr>
            <w:tcW w:w="1120" w:type="dxa"/>
            <w:vAlign w:val="bottom"/>
            <w:gridSpan w:val="6"/>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220" w:type="dxa"/>
            <w:vAlign w:val="bottom"/>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22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w w:val="98"/>
              </w:rPr>
              <w:t>Where You Can Find More Information</w:t>
            </w: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1540" w:type="dxa"/>
            <w:vAlign w:val="bottom"/>
            <w:tcBorders>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w w:val="98"/>
              </w:rPr>
              <w:t>Incorporation by Reference</w:t>
            </w:r>
          </w:p>
        </w:tc>
        <w:tc>
          <w:tcPr>
            <w:tcW w:w="680" w:type="dxa"/>
            <w:vAlign w:val="bottom"/>
            <w:gridSpan w:val="3"/>
          </w:tcPr>
          <w:p>
            <w:pPr>
              <w:spacing w:after="0"/>
              <w:rPr>
                <w:sz w:val="12"/>
                <w:szCs w:val="12"/>
                <w:color w:val="auto"/>
              </w:rPr>
            </w:pPr>
          </w:p>
        </w:tc>
        <w:tc>
          <w:tcPr>
            <w:tcW w:w="632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360" w:right="279"/>
        <w:spacing w:after="0" w:line="257" w:lineRule="auto"/>
        <w:rPr>
          <w:sz w:val="20"/>
          <w:szCs w:val="20"/>
          <w:color w:val="auto"/>
        </w:rPr>
      </w:pPr>
      <w:r>
        <w:rPr>
          <w:rFonts w:ascii="Times New Roman" w:cs="Times New Roman" w:eastAsia="Times New Roman" w:hAnsi="Times New Roman"/>
          <w:sz w:val="14"/>
          <w:szCs w:val="14"/>
          <w:color w:val="auto"/>
        </w:rPr>
        <w:t>For investors outside the United States: we have not, and the sales agent has not, done anything that would permit this offering or possession or distribution of this prospectus and any free writing prospectus that we have authorized for use in connection with this offering in any jurisdiction where action for that purpose is required, other than in the United States. Persons outside the United States who come into possession of this prospectus or any free writing prospectus that we have authorized for use in connection with this offering must inform themselves about, and observe any restrictions relating to, the offering of the common stock and the distribution of this prospectus and any free writing prospectus that we have authorized for use in connection with this offering outside the United States.</w:t>
      </w:r>
    </w:p>
    <w:p>
      <w:pPr>
        <w:spacing w:after="0" w:line="9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6"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77" w:lineRule="exact"/>
        <w:rPr>
          <w:sz w:val="20"/>
          <w:szCs w:val="20"/>
          <w:color w:val="auto"/>
        </w:rPr>
      </w:pPr>
    </w:p>
    <w:p>
      <w:pPr>
        <w:ind w:left="1360" w:right="319" w:firstLine="343"/>
        <w:spacing w:after="0" w:line="258"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ASR that we have filed with the SEC as a “well-known seasoned issuer” as defined in Rule 405 under the Securities Act. Under the shelf registration process, we may, from time to time, offer and sell any combination of our securities described in the base prospectus filed with such registration statement in one or more offerings. Under this prospectus, we are offering shares of our common stock having an aggregate offering price of up to $300,785,011 from time to time through Jefferies acting as our sales agent at prices and on terms to be determined by market conditions at the time of the offering.</w:t>
      </w:r>
    </w:p>
    <w:p>
      <w:pPr>
        <w:spacing w:after="0" w:line="144" w:lineRule="exact"/>
        <w:rPr>
          <w:sz w:val="20"/>
          <w:szCs w:val="20"/>
          <w:color w:val="auto"/>
        </w:rPr>
      </w:pPr>
    </w:p>
    <w:p>
      <w:pPr>
        <w:ind w:left="1360" w:right="339" w:firstLine="343"/>
        <w:spacing w:after="0" w:line="258" w:lineRule="auto"/>
        <w:rPr>
          <w:sz w:val="20"/>
          <w:szCs w:val="20"/>
          <w:color w:val="auto"/>
        </w:rPr>
      </w:pPr>
      <w:r>
        <w:rPr>
          <w:rFonts w:ascii="Times New Roman" w:cs="Times New Roman" w:eastAsia="Times New Roman" w:hAnsi="Times New Roman"/>
          <w:sz w:val="14"/>
          <w:szCs w:val="14"/>
          <w:color w:val="auto"/>
        </w:rPr>
        <w:t>If the information contained in this prospectus differs or varies from the information contained in any document incorporated by reference herein that was filed with the SEC before the date of this prospectus, you should rely on the information set forth in this prospectus. If any statement in one of these documents is inconsistent with a statement in another document having a later date (for example, a subsequently filed document deemed incorporated by reference in this prospectus), the statement in the document having the later date modifies or supersedes the earlier statement. Any statement so modified or superseded will not be deemed, except as so modified or superseded, to constitute a part of this prospectus.</w:t>
      </w:r>
    </w:p>
    <w:p>
      <w:pPr>
        <w:spacing w:after="0" w:line="144"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We have not, and the sales agent has not, authorized anyone to provide you with information that is in addition to or different from that contained or incorporated by reference in this prospectus or contained in any permitted free writing prospectuses we have authorized for use in connection with this offering. We and the sales agent take no responsibility for, and can provide no assurance as to the reliability of, any other information that others may provide.</w:t>
      </w:r>
    </w:p>
    <w:p>
      <w:pPr>
        <w:spacing w:after="0" w:line="141"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The information contained in this prospectus and the documents incorporated by reference herein is accurate only as of their respective dates, regardless of the time of delivery of any such document or the time of any sale of our common stock. Our business, financial condition, results of operations and prospects may have changed since those dates. It is important for you to read and consider all information contained or incorporated by reference in this prospectus in making your investment decision. You should read this prospectus, as well as the documents incorporated by reference herein, the additional information described under the section titled “Where You Can Find More Information” and “Incorporation of Certain Documents by Reference” in this prospectus and any free writing prospectus that we have authorized for use in connection with this offering, before investing in our common stock.</w:t>
      </w:r>
    </w:p>
    <w:p>
      <w:pPr>
        <w:spacing w:after="0" w:line="144" w:lineRule="exact"/>
        <w:rPr>
          <w:sz w:val="20"/>
          <w:szCs w:val="20"/>
          <w:color w:val="auto"/>
        </w:rPr>
      </w:pPr>
    </w:p>
    <w:p>
      <w:pPr>
        <w:ind w:left="1360" w:right="299" w:firstLine="343"/>
        <w:spacing w:after="0" w:line="258" w:lineRule="auto"/>
        <w:rPr>
          <w:sz w:val="20"/>
          <w:szCs w:val="20"/>
          <w:color w:val="auto"/>
        </w:rPr>
      </w:pPr>
      <w:r>
        <w:rPr>
          <w:rFonts w:ascii="Times New Roman" w:cs="Times New Roman" w:eastAsia="Times New Roman" w:hAnsi="Times New Roman"/>
          <w:sz w:val="14"/>
          <w:szCs w:val="14"/>
          <w:color w:val="auto"/>
        </w:rPr>
        <w:t>We are offering to sell, and seeking offers to buy, shares of common stock only in jurisdictions where offers and sales are permitted. The distribution of this prospectus and the offering of the common stock in certain jurisdictions may be restricted by law. We are not, and Jefferies is not, making an offer to sell these securities in any jurisdiction where the offer or sale is not permitted.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44" w:lineRule="exact"/>
        <w:rPr>
          <w:sz w:val="20"/>
          <w:szCs w:val="20"/>
          <w:color w:val="auto"/>
        </w:rPr>
      </w:pPr>
    </w:p>
    <w:p>
      <w:pPr>
        <w:ind w:left="1360" w:right="279" w:firstLine="343"/>
        <w:spacing w:after="0" w:line="261" w:lineRule="auto"/>
        <w:rPr>
          <w:sz w:val="20"/>
          <w:szCs w:val="20"/>
          <w:color w:val="auto"/>
        </w:rPr>
      </w:pPr>
      <w:r>
        <w:rPr>
          <w:rFonts w:ascii="Times New Roman" w:cs="Times New Roman" w:eastAsia="Times New Roman" w:hAnsi="Times New Roman"/>
          <w:sz w:val="14"/>
          <w:szCs w:val="14"/>
          <w:color w:val="auto"/>
        </w:rPr>
        <w:t>Before buying any of the common stock that we are offering, we urge you to carefully read this prospectus and all of the information incorporated by reference herein, together with the additional information described in the sections titled “Where You Can Find More Information” and “Incorporation of Certain Information by Reference.” These documents contain important information that you should consider when making your investment decision.</w:t>
      </w:r>
    </w:p>
    <w:p>
      <w:pPr>
        <w:spacing w:after="0" w:line="141" w:lineRule="exact"/>
        <w:rPr>
          <w:sz w:val="20"/>
          <w:szCs w:val="20"/>
          <w:color w:val="auto"/>
        </w:rPr>
      </w:pPr>
    </w:p>
    <w:p>
      <w:pPr>
        <w:jc w:val="both"/>
        <w:ind w:left="1360" w:right="799" w:firstLine="343"/>
        <w:spacing w:after="0" w:line="267" w:lineRule="auto"/>
        <w:rPr>
          <w:sz w:val="20"/>
          <w:szCs w:val="20"/>
          <w:color w:val="auto"/>
        </w:rPr>
      </w:pPr>
      <w:r>
        <w:rPr>
          <w:rFonts w:ascii="Times New Roman" w:cs="Times New Roman" w:eastAsia="Times New Roman" w:hAnsi="Times New Roman"/>
          <w:sz w:val="14"/>
          <w:szCs w:val="14"/>
          <w:color w:val="auto"/>
        </w:rPr>
        <w:t>You should not consider any information in this prospectus to be investment, legal or tax advice. You should consult your own counsel, accountants and other advisers for legal, tax, business, financial and related advice regarding the purchase of the common stock offered by this prospectus.</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ii</w:t>
      </w:r>
    </w:p>
    <w:p>
      <w:pPr>
        <w:sectPr>
          <w:pgSz w:w="11900" w:h="16838" w:orient="portrait"/>
          <w:cols w:equalWidth="0" w:num="1">
            <w:col w:w="10159"/>
          </w:cols>
          <w:pgMar w:left="300" w:top="386"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6189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5453380" cy="4618990"/>
                    </a:xfrm>
                    <a:prstGeom prst="rect">
                      <a:avLst/>
                    </a:prstGeom>
                    <a:noFill/>
                  </pic:spPr>
                </pic:pic>
              </a:graphicData>
            </a:graphic>
          </wp:anchor>
        </w:drawing>
      </w:r>
    </w:p>
    <w:p>
      <w:pPr>
        <w:spacing w:after="0" w:line="36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5" w:lineRule="exact"/>
        <w:rPr>
          <w:sz w:val="20"/>
          <w:szCs w:val="20"/>
          <w:color w:val="auto"/>
        </w:rPr>
      </w:pPr>
    </w:p>
    <w:p>
      <w:pPr>
        <w:ind w:left="1500" w:right="479" w:firstLine="332"/>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about us, this offering and information appearing elsewhere in this prospectus and in the documents we incorporate by reference. This summary is not complete and does not contain all the information that you should consider before investing in our common stock pursuant to this prospectus and any free writing prospectus that we have authorized for use in connection with this offering. Before making an investment decision, to fully understand this offering and its consequences to you, you should carefully read this entire prospectus, including the section titled “Risk Factors” and the financial statements and related notes and the other information that we incorporate by reference herein, as well as the information included in any free writing prospectus that we have authorized for use in connection with this offering. Unless the context indicates otherwise, as used in this prospectus, the terms “ImmunityBio,” “the company,” “we,” “us” and “our” refer to ImmunityBio, Inc., a Delaware corporation, and its subsidiaries taken as a whole.</w:t>
      </w:r>
    </w:p>
    <w:p>
      <w:pPr>
        <w:spacing w:after="0" w:line="23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Our Business</w:t>
      </w:r>
    </w:p>
    <w:p>
      <w:pPr>
        <w:spacing w:after="0" w:line="93" w:lineRule="exact"/>
        <w:rPr>
          <w:sz w:val="20"/>
          <w:szCs w:val="20"/>
          <w:color w:val="auto"/>
        </w:rPr>
      </w:pPr>
    </w:p>
    <w:p>
      <w:pPr>
        <w:ind w:left="1500" w:right="379" w:firstLine="332"/>
        <w:spacing w:after="0" w:line="254" w:lineRule="auto"/>
        <w:rPr>
          <w:sz w:val="20"/>
          <w:szCs w:val="20"/>
          <w:color w:val="auto"/>
        </w:rPr>
      </w:pPr>
      <w:r>
        <w:rPr>
          <w:rFonts w:ascii="Times New Roman" w:cs="Times New Roman" w:eastAsia="Times New Roman" w:hAnsi="Times New Roman"/>
          <w:sz w:val="14"/>
          <w:szCs w:val="14"/>
          <w:color w:val="auto"/>
        </w:rPr>
        <w:t xml:space="preserve">We are an integrated clinical-stage biotechnology company discovering, developing, and commercializing next-generation immuno- and cellular therapies that bolster the natural immune system to drive and sustain an immune response. Using our proprietary platforms that amplify both the innate and adaptive branches of the immune system, our teams of clinical, scientific, and manufacturing experts, advance novel therapies and vaccines aimed at defeating urologic and other cancers, as well as infectious diseases. Although such designations may not lead to a faster development process or regulatory review and may not increase the likelihood that a product candidate will receive approval, N-803 (“Anktiva”), our lead biologic commercial product candidate, has received </w:t>
      </w:r>
      <w:r>
        <w:rPr>
          <w:rFonts w:ascii="Times New Roman" w:cs="Times New Roman" w:eastAsia="Times New Roman" w:hAnsi="Times New Roman"/>
          <w:sz w:val="14"/>
          <w:szCs w:val="14"/>
          <w:i w:val="1"/>
          <w:iCs w:val="1"/>
          <w:color w:val="auto"/>
        </w:rPr>
        <w:t>Breakthrough Therapy</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Fast Track</w:t>
      </w:r>
      <w:r>
        <w:rPr>
          <w:rFonts w:ascii="Times New Roman" w:cs="Times New Roman" w:eastAsia="Times New Roman" w:hAnsi="Times New Roman"/>
          <w:sz w:val="14"/>
          <w:szCs w:val="14"/>
          <w:color w:val="auto"/>
        </w:rPr>
        <w:t xml:space="preserve"> designations and is currently under review by the U.S. Food and Drug Administration (the “FDA”) for treatment in combination with bacillus Calmette-Guérin (“BCG”) of patients with BCG-unresponsive non-muscle invasive bladder cancer (“NMIBC”) with </w:t>
      </w:r>
      <w:r>
        <w:rPr>
          <w:rFonts w:ascii="Times New Roman" w:cs="Times New Roman" w:eastAsia="Times New Roman" w:hAnsi="Times New Roman"/>
          <w:sz w:val="14"/>
          <w:szCs w:val="14"/>
          <w:i w:val="1"/>
          <w:iCs w:val="1"/>
          <w:color w:val="auto"/>
        </w:rPr>
        <w:t>carcinoma in situ</w:t>
      </w:r>
      <w:r>
        <w:rPr>
          <w:rFonts w:ascii="Times New Roman" w:cs="Times New Roman" w:eastAsia="Times New Roman" w:hAnsi="Times New Roman"/>
          <w:sz w:val="14"/>
          <w:szCs w:val="14"/>
          <w:color w:val="auto"/>
        </w:rPr>
        <w:t xml:space="preserve"> (“CIS”) with or without Ta or T1 disease and has a new user fee goal date (PDUFA date) of April 23, 2024.</w:t>
      </w:r>
    </w:p>
    <w:p>
      <w:pPr>
        <w:spacing w:after="0" w:line="149" w:lineRule="exact"/>
        <w:rPr>
          <w:sz w:val="20"/>
          <w:szCs w:val="20"/>
          <w:color w:val="auto"/>
        </w:rPr>
      </w:pPr>
    </w:p>
    <w:p>
      <w:pPr>
        <w:ind w:left="1500" w:right="499" w:firstLine="332"/>
        <w:spacing w:after="0" w:line="257" w:lineRule="auto"/>
        <w:rPr>
          <w:sz w:val="20"/>
          <w:szCs w:val="20"/>
          <w:color w:val="auto"/>
        </w:rPr>
      </w:pPr>
      <w:r>
        <w:rPr>
          <w:rFonts w:ascii="Times New Roman" w:cs="Times New Roman" w:eastAsia="Times New Roman" w:hAnsi="Times New Roman"/>
          <w:sz w:val="14"/>
          <w:szCs w:val="14"/>
          <w:color w:val="auto"/>
        </w:rPr>
        <w:t>Our platforms and their associated product candidates are designed to attack cancer and infectious pathogens by activating both the innate immune system, including natural killer (“NK”) cells, dendritic cells, and macrophages, as well as the adaptive immune system comprising B and T cells,—in an orchestrated manner. The goal of this potentially best-in-class approach is to generate immunogenic cell death thereby eliminating rogue cells from the body whether they are cancerous or virally-infected. Our ultimate goal is to overcome the limitations of current treatments, such as checkpoint inhibitors, and/or reduce the need for standard high-dose chemotherapy in cancer by employing this coordinated approach to establish “immunological memory” that confers long-term benefit for the patient.</w:t>
      </w:r>
    </w:p>
    <w:p>
      <w:pPr>
        <w:spacing w:after="0" w:line="143" w:lineRule="exact"/>
        <w:rPr>
          <w:sz w:val="20"/>
          <w:szCs w:val="20"/>
          <w:color w:val="auto"/>
        </w:rPr>
      </w:pPr>
    </w:p>
    <w:p>
      <w:pPr>
        <w:ind w:left="1500" w:right="419" w:firstLine="332"/>
        <w:spacing w:after="0" w:line="258" w:lineRule="auto"/>
        <w:rPr>
          <w:sz w:val="20"/>
          <w:szCs w:val="20"/>
          <w:color w:val="auto"/>
        </w:rPr>
      </w:pPr>
      <w:r>
        <w:rPr>
          <w:rFonts w:ascii="Times New Roman" w:cs="Times New Roman" w:eastAsia="Times New Roman" w:hAnsi="Times New Roman"/>
          <w:sz w:val="14"/>
          <w:szCs w:val="14"/>
          <w:color w:val="auto"/>
        </w:rPr>
        <w:t>Our proprietary platforms for the development of biologic product candidates include: (i) antibody-cytokine fusion proteins, (ii) DNA, RNA, and recombinant protein vaccines, and (iii) cell therapies. These platforms have generated 9 novel therapeutic agents for which clinical trials are either underway or planned in solid and liquid tumors. Specifically, our clinical focus includes bladder, lung, and colorectal cancers and glioblastoma multiforme (“GBM”), which are among the most frequent and lethal cancer types, and where there are high failure rates for existing standards of care or no available effective treatment.</w:t>
      </w:r>
    </w:p>
    <w:p>
      <w:pPr>
        <w:spacing w:after="0" w:line="144" w:lineRule="exact"/>
        <w:rPr>
          <w:sz w:val="20"/>
          <w:szCs w:val="20"/>
          <w:color w:val="auto"/>
        </w:rPr>
      </w:pPr>
    </w:p>
    <w:p>
      <w:pPr>
        <w:ind w:left="1500" w:right="679" w:firstLine="332"/>
        <w:spacing w:after="0" w:line="261" w:lineRule="auto"/>
        <w:rPr>
          <w:sz w:val="20"/>
          <w:szCs w:val="20"/>
          <w:color w:val="auto"/>
        </w:rPr>
      </w:pPr>
      <w:r>
        <w:rPr>
          <w:rFonts w:ascii="Times New Roman" w:cs="Times New Roman" w:eastAsia="Times New Roman" w:hAnsi="Times New Roman"/>
          <w:sz w:val="14"/>
          <w:szCs w:val="14"/>
          <w:color w:val="auto"/>
        </w:rPr>
        <w:t>Our lead biologic commercial product candidate Anktiva is an IL-15 superagonist antibody-cytokine fusion protein. In May 2022, we announced the submission of a Biologics License Application (“BLA”) to the FDA for Anktiva in combination with BCG for the treatment of patients with BCG-unresponsive NMIBC with CIS with or without Ta or T1 disease. On May 9, 2023, the FDA delivered a complete response letter (“CRL”) to us regarding the BLA filed in May 2022, indicating that the FDA had determined that it could not approve the</w:t>
      </w:r>
    </w:p>
    <w:p>
      <w:pPr>
        <w:spacing w:after="0" w:line="23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6"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712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5453380" cy="4712335"/>
                    </a:xfrm>
                    <a:prstGeom prst="rect">
                      <a:avLst/>
                    </a:prstGeom>
                    <a:noFill/>
                  </pic:spPr>
                </pic:pic>
              </a:graphicData>
            </a:graphic>
          </wp:anchor>
        </w:drawing>
      </w:r>
    </w:p>
    <w:p>
      <w:pPr>
        <w:spacing w:after="0" w:line="368" w:lineRule="exact"/>
        <w:rPr>
          <w:sz w:val="20"/>
          <w:szCs w:val="20"/>
          <w:color w:val="auto"/>
        </w:rPr>
      </w:pPr>
    </w:p>
    <w:p>
      <w:pPr>
        <w:ind w:left="1500" w:right="459"/>
        <w:spacing w:after="0" w:line="280" w:lineRule="auto"/>
        <w:rPr>
          <w:sz w:val="20"/>
          <w:szCs w:val="20"/>
          <w:color w:val="auto"/>
        </w:rPr>
      </w:pPr>
      <w:r>
        <w:rPr>
          <w:rFonts w:ascii="Times New Roman" w:cs="Times New Roman" w:eastAsia="Times New Roman" w:hAnsi="Times New Roman"/>
          <w:sz w:val="13"/>
          <w:szCs w:val="13"/>
          <w:color w:val="auto"/>
        </w:rPr>
        <w:t>original BLA submission in its initial form, and the FDA made recommendations to address the issues raised. The deficiencies in the CRL related to the FDA’s pre-license inspection of the company’s third-party contract manufacturing organizations (“CMOs”), among other items. Satisfactory resolution of the observations noted at the pre-license inspection would be required before the BLA could be approved. At the time, the FDA further provided recommendations specific to additional Chemistry, Manufacturing and Controls (“CMC”) issues and assays to be resolved. The CRL did not request new preclinical studies or Phase III clinical trials to evaluate safety or efficacy. The FDA requested that the company provide updated duration of response data for the efficacy population as identified by the FDA in the company’s resubmission, as well as a safety update.</w:t>
      </w:r>
    </w:p>
    <w:p>
      <w:pPr>
        <w:spacing w:after="0" w:line="131" w:lineRule="exact"/>
        <w:rPr>
          <w:sz w:val="20"/>
          <w:szCs w:val="20"/>
          <w:color w:val="auto"/>
        </w:rPr>
      </w:pPr>
    </w:p>
    <w:p>
      <w:pPr>
        <w:ind w:left="1500" w:right="419" w:firstLine="332"/>
        <w:spacing w:after="0" w:line="257" w:lineRule="auto"/>
        <w:rPr>
          <w:sz w:val="20"/>
          <w:szCs w:val="20"/>
          <w:color w:val="auto"/>
        </w:rPr>
      </w:pPr>
      <w:r>
        <w:rPr>
          <w:rFonts w:ascii="Times New Roman" w:cs="Times New Roman" w:eastAsia="Times New Roman" w:hAnsi="Times New Roman"/>
          <w:sz w:val="14"/>
          <w:szCs w:val="14"/>
          <w:color w:val="auto"/>
        </w:rPr>
        <w:t>On October 23, 2023, we announced that we had completed the resubmission of the BLA addressing the issues in the CRL. As part of our resubmission, we provided an update of the duration of response regarding the responders identified by the FDA in the efficacy population for BCG unresponsive subjects with high-risk CIS disease. On October 26, 2023, we announced that the FDA had accepted our BLA resubmission for review and considered it as a complete response to the CRL. The FDA has set a new user fee goal date (PDUFA date) of April 23, 2024. While we believe the BLA resubmission addresses the issues identified in the CRL, there is no guarantee that the FDA will ultimately agree that such issues have been successfully addressed and resolved. It is unclear when the FDA will approve our BLA, if at all.</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i w:val="1"/>
          <w:iCs w:val="1"/>
          <w:color w:val="auto"/>
        </w:rPr>
        <w:t>Our Strategy</w:t>
      </w:r>
    </w:p>
    <w:p>
      <w:pPr>
        <w:spacing w:after="0" w:line="93" w:lineRule="exact"/>
        <w:rPr>
          <w:sz w:val="20"/>
          <w:szCs w:val="20"/>
          <w:color w:val="auto"/>
        </w:rPr>
      </w:pPr>
    </w:p>
    <w:p>
      <w:pPr>
        <w:jc w:val="both"/>
        <w:ind w:left="1500" w:right="419" w:firstLine="332"/>
        <w:spacing w:after="0" w:line="323" w:lineRule="auto"/>
        <w:rPr>
          <w:sz w:val="20"/>
          <w:szCs w:val="20"/>
          <w:color w:val="auto"/>
        </w:rPr>
      </w:pPr>
      <w:r>
        <w:rPr>
          <w:rFonts w:ascii="Times New Roman" w:cs="Times New Roman" w:eastAsia="Times New Roman" w:hAnsi="Times New Roman"/>
          <w:sz w:val="13"/>
          <w:szCs w:val="13"/>
          <w:color w:val="auto"/>
        </w:rPr>
        <w:t>We seek to become a leading global immunological therapeutics company by creating next-generation immuno- and cell therapies to address serious unmet needs within urologic and other cancers as well as infectious diseases. To achieve this goal, the key elements of our strategy include:</w:t>
      </w:r>
    </w:p>
    <w:p>
      <w:pPr>
        <w:spacing w:after="0" w:line="29" w:lineRule="exact"/>
        <w:rPr>
          <w:sz w:val="20"/>
          <w:szCs w:val="20"/>
          <w:color w:val="auto"/>
        </w:rPr>
      </w:pPr>
    </w:p>
    <w:p>
      <w:pPr>
        <w:ind w:left="2220" w:right="459" w:hanging="313"/>
        <w:spacing w:after="0" w:line="283" w:lineRule="auto"/>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advancing the approval and commercialization of our lead IL-15 superagonist antibody-cytokine fusion protein, N-803, as an integral component of immunotherapy combinations, including those with checkpoint inhibitors;</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continuously scrutinizing our clinical pipeline;</w:t>
      </w:r>
    </w:p>
    <w:p>
      <w:pPr>
        <w:spacing w:after="0" w:line="101" w:lineRule="exact"/>
        <w:rPr>
          <w:rFonts w:ascii="Times New Roman" w:cs="Times New Roman" w:eastAsia="Times New Roman" w:hAnsi="Times New Roman"/>
          <w:sz w:val="14"/>
          <w:szCs w:val="14"/>
          <w:color w:val="auto"/>
        </w:rPr>
      </w:pPr>
    </w:p>
    <w:p>
      <w:pPr>
        <w:ind w:left="2220" w:right="619" w:hanging="313"/>
        <w:spacing w:after="0" w:line="283" w:lineRule="auto"/>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accelerating product candidates generated from our immunotherapy platforms with registrational intent to address difficult-to-treat oncological and infectious disease indications;</w:t>
      </w:r>
    </w:p>
    <w:p>
      <w:pPr>
        <w:spacing w:after="0" w:line="51" w:lineRule="exact"/>
        <w:rPr>
          <w:rFonts w:ascii="Times New Roman" w:cs="Times New Roman" w:eastAsia="Times New Roman" w:hAnsi="Times New Roman"/>
          <w:sz w:val="14"/>
          <w:szCs w:val="14"/>
          <w:color w:val="auto"/>
        </w:rPr>
      </w:pPr>
    </w:p>
    <w:p>
      <w:pPr>
        <w:jc w:val="both"/>
        <w:ind w:left="2220" w:right="419" w:hanging="313"/>
        <w:spacing w:after="0" w:line="267" w:lineRule="auto"/>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prospect, license, and acquire technologies to complement and strengthen our platforms and product candidates, both as single agent and combination therapies, in order to optimize responses of the innate and adaptive immune systems to generate cellular memory against multiple tumor types and infectious diseases;</w:t>
      </w:r>
    </w:p>
    <w:p>
      <w:pPr>
        <w:spacing w:after="0" w:line="61" w:lineRule="exact"/>
        <w:rPr>
          <w:rFonts w:ascii="Times New Roman" w:cs="Times New Roman" w:eastAsia="Times New Roman" w:hAnsi="Times New Roman"/>
          <w:sz w:val="14"/>
          <w:szCs w:val="14"/>
          <w:color w:val="auto"/>
        </w:rPr>
      </w:pPr>
    </w:p>
    <w:p>
      <w:pPr>
        <w:ind w:left="2220" w:right="479" w:hanging="313"/>
        <w:spacing w:after="0" w:line="283" w:lineRule="auto"/>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investing in our discovery, development, and manufacturing capabilities for our next-generation product candidates in both oncology and infectious disease; and</w:t>
      </w:r>
    </w:p>
    <w:p>
      <w:pPr>
        <w:spacing w:after="0" w:line="51" w:lineRule="exact"/>
        <w:rPr>
          <w:rFonts w:ascii="Times New Roman" w:cs="Times New Roman" w:eastAsia="Times New Roman" w:hAnsi="Times New Roman"/>
          <w:sz w:val="14"/>
          <w:szCs w:val="14"/>
          <w:color w:val="auto"/>
        </w:rPr>
      </w:pPr>
    </w:p>
    <w:p>
      <w:pPr>
        <w:ind w:left="2220" w:hanging="313"/>
        <w:spacing w:after="0"/>
        <w:tabs>
          <w:tab w:leader="none" w:pos="22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cultivating new and expanding existing collaborations for our multi-stage pipeline to reach global scale efficiently.</w:t>
      </w:r>
    </w:p>
    <w:p>
      <w:pPr>
        <w:spacing w:after="0" w:line="2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93" w:lineRule="exact"/>
        <w:rPr>
          <w:sz w:val="20"/>
          <w:szCs w:val="20"/>
          <w:color w:val="auto"/>
        </w:rPr>
      </w:pPr>
    </w:p>
    <w:p>
      <w:pPr>
        <w:ind w:left="1500" w:right="579" w:firstLine="332"/>
        <w:spacing w:after="0" w:line="283" w:lineRule="auto"/>
        <w:rPr>
          <w:sz w:val="20"/>
          <w:szCs w:val="20"/>
          <w:color w:val="auto"/>
        </w:rPr>
      </w:pPr>
      <w:r>
        <w:rPr>
          <w:rFonts w:ascii="Times New Roman" w:cs="Times New Roman" w:eastAsia="Times New Roman" w:hAnsi="Times New Roman"/>
          <w:sz w:val="14"/>
          <w:szCs w:val="14"/>
          <w:color w:val="auto"/>
        </w:rPr>
        <w:t>For additional information related to our business and operations, please refer to the reports incorporated herein by reference, as described under the caption “Information Incorporated by Reference” on page 18 of this prospectus.</w:t>
      </w:r>
    </w:p>
    <w:p>
      <w:pPr>
        <w:spacing w:after="0" w:line="20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ind w:left="1500" w:right="659" w:firstLine="332"/>
        <w:spacing w:after="0" w:line="283" w:lineRule="auto"/>
        <w:rPr>
          <w:sz w:val="20"/>
          <w:szCs w:val="20"/>
          <w:color w:val="auto"/>
        </w:rPr>
      </w:pPr>
      <w:r>
        <w:rPr>
          <w:rFonts w:ascii="Times New Roman" w:cs="Times New Roman" w:eastAsia="Times New Roman" w:hAnsi="Times New Roman"/>
          <w:sz w:val="14"/>
          <w:szCs w:val="14"/>
          <w:color w:val="auto"/>
        </w:rPr>
        <w:t>ImmunityBio, Inc. was established following a series of mergers and name changes. We were incorporated in Illinois on October 7, 2002 under the name ZelleRx Corporation. Our name was later changed to Conkwest,</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6"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43516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5453380" cy="4351655"/>
                    </a:xfrm>
                    <a:prstGeom prst="rect">
                      <a:avLst/>
                    </a:prstGeom>
                    <a:noFill/>
                  </pic:spPr>
                </pic:pic>
              </a:graphicData>
            </a:graphic>
          </wp:anchor>
        </w:drawing>
      </w:r>
    </w:p>
    <w:p>
      <w:pPr>
        <w:spacing w:after="0" w:line="36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Inc., and we were reincorporated in the state of Delaware in March 2014. On July 10, 2015, we changed our name to NantKwest, Inc.</w:t>
      </w:r>
    </w:p>
    <w:p>
      <w:pPr>
        <w:spacing w:after="0" w:line="175" w:lineRule="exact"/>
        <w:rPr>
          <w:sz w:val="20"/>
          <w:szCs w:val="20"/>
          <w:color w:val="auto"/>
        </w:rPr>
      </w:pPr>
    </w:p>
    <w:p>
      <w:pPr>
        <w:ind w:left="1500" w:right="659" w:firstLine="332"/>
        <w:spacing w:after="0" w:line="283" w:lineRule="auto"/>
        <w:rPr>
          <w:sz w:val="20"/>
          <w:szCs w:val="20"/>
          <w:color w:val="auto"/>
        </w:rPr>
      </w:pPr>
      <w:r>
        <w:rPr>
          <w:rFonts w:ascii="Times New Roman" w:cs="Times New Roman" w:eastAsia="Times New Roman" w:hAnsi="Times New Roman"/>
          <w:sz w:val="14"/>
          <w:szCs w:val="14"/>
          <w:color w:val="auto"/>
        </w:rPr>
        <w:t>NantCell, LLC was originally organized as a Delaware limited liability company in November 2014. In April 2015, it was converted to a Delaware corporation, NantCell, Inc., and in May 2019 changed its name to ImmunityBio, Inc. (a private company).</w:t>
      </w:r>
    </w:p>
    <w:p>
      <w:pPr>
        <w:spacing w:after="0" w:line="125" w:lineRule="exact"/>
        <w:rPr>
          <w:sz w:val="20"/>
          <w:szCs w:val="20"/>
          <w:color w:val="auto"/>
        </w:rPr>
      </w:pPr>
    </w:p>
    <w:p>
      <w:pPr>
        <w:ind w:left="1500" w:right="419" w:firstLine="332"/>
        <w:spacing w:after="0" w:line="254" w:lineRule="auto"/>
        <w:rPr>
          <w:sz w:val="20"/>
          <w:szCs w:val="20"/>
          <w:color w:val="auto"/>
        </w:rPr>
      </w:pPr>
      <w:r>
        <w:rPr>
          <w:rFonts w:ascii="Times New Roman" w:cs="Times New Roman" w:eastAsia="Times New Roman" w:hAnsi="Times New Roman"/>
          <w:sz w:val="14"/>
          <w:szCs w:val="14"/>
          <w:color w:val="auto"/>
        </w:rPr>
        <w:t>On December 21, 2020, NantKwest, Inc. and ImmunityBio, Inc. entered into a merger agreement providing for the combination of the two companies (the “Merger”), with NantKwest, Inc. being the surviving company which then changed its name to ImmunityBio, Inc. (and ImmunityBio, Inc., a private company, changed its name back to NantCell, Inc. and is now our wholly owned subsidiary). At the time, NantKwest, Inc. was an innovative, clinical-stage immunotherapy company focused on harnessing the power of the innate immune system to treat cancer and infectious diseases, and ImmunityBio, Inc. was a clinical-stage immunotherapy company developing next-generation therapies that drive immunogenic mechanisms for defeating cancer and infectious diseases, with an immunotherapy platform designed to activate both the innate and adaptive immune systems to create long-term “immunological memory.” We believe that the Merger, which closed on March 9, 2021, combined two companies to create a clinical-stage biotechnology company developing next-generation therapies and vaccines that complement, harness, and amplify the immune system to defeat cancers and infectious diseases.</w:t>
      </w:r>
    </w:p>
    <w:p>
      <w:pPr>
        <w:spacing w:after="0" w:line="149" w:lineRule="exact"/>
        <w:rPr>
          <w:sz w:val="20"/>
          <w:szCs w:val="20"/>
          <w:color w:val="auto"/>
        </w:rPr>
      </w:pPr>
    </w:p>
    <w:p>
      <w:pPr>
        <w:ind w:left="1500" w:right="479" w:firstLine="332"/>
        <w:spacing w:after="0" w:line="258" w:lineRule="auto"/>
        <w:rPr>
          <w:sz w:val="20"/>
          <w:szCs w:val="20"/>
          <w:color w:val="auto"/>
        </w:rPr>
      </w:pPr>
      <w:r>
        <w:rPr>
          <w:rFonts w:ascii="Times New Roman" w:cs="Times New Roman" w:eastAsia="Times New Roman" w:hAnsi="Times New Roman"/>
          <w:sz w:val="14"/>
          <w:szCs w:val="14"/>
          <w:color w:val="auto"/>
        </w:rPr>
        <w:t>ImmunityBio, Inc. is incorporated in Delaware and its principal executive offices are located at 3530 John Hopkins Court, San Diego, California 92121. Our telephone number is (844) 696-5235. Our website address is www.immunitybio.com. Information contained on, or that can be accessed through, our website is not part of, and is not incorporated by reference into this prospectus and you should not consider information on, or that can be accessed through, our website to be part of this prospectus. Inclusion of our website address in this prospectus is an inactive textual reference only. Investors should not rely on any such information in deciding whether to purchase our securities.</w:t>
      </w:r>
    </w:p>
    <w:p>
      <w:pPr>
        <w:spacing w:after="0" w:line="144" w:lineRule="exact"/>
        <w:rPr>
          <w:sz w:val="20"/>
          <w:szCs w:val="20"/>
          <w:color w:val="auto"/>
        </w:rPr>
      </w:pPr>
    </w:p>
    <w:p>
      <w:pPr>
        <w:ind w:left="1500" w:right="399" w:firstLine="332"/>
        <w:spacing w:after="0" w:line="236" w:lineRule="auto"/>
        <w:rPr>
          <w:sz w:val="20"/>
          <w:szCs w:val="20"/>
          <w:color w:val="auto"/>
        </w:rPr>
      </w:pPr>
      <w:r>
        <w:rPr>
          <w:rFonts w:ascii="Times New Roman" w:cs="Times New Roman" w:eastAsia="Times New Roman" w:hAnsi="Times New Roman"/>
          <w:sz w:val="14"/>
          <w:szCs w:val="14"/>
          <w:color w:val="auto"/>
        </w:rPr>
        <w:t xml:space="preserve">We use ImmunityBio, the ImmunityBio logo, and other marks as trademarks in the United States and other countries. This prospectus and the other documents incorporated by reference contain references to our trademarks and service marks and to those belonging to other entities. Solely for convenience, trademarks and trade names referred to in this prospectus and the other documents incorporated by reference, including logos, artwork, and other visual displays, may appear without the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4"/>
          <w:szCs w:val="14"/>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93" w:lineRule="exact"/>
        <w:rPr>
          <w:sz w:val="20"/>
          <w:szCs w:val="20"/>
          <w:color w:val="auto"/>
        </w:rPr>
      </w:pPr>
    </w:p>
    <w:p>
      <w:pPr>
        <w:ind w:left="1500" w:right="379" w:firstLine="332"/>
        <w:spacing w:after="0" w:line="255" w:lineRule="auto"/>
        <w:rPr>
          <w:sz w:val="20"/>
          <w:szCs w:val="20"/>
          <w:color w:val="auto"/>
        </w:rPr>
      </w:pPr>
      <w:r>
        <w:rPr>
          <w:rFonts w:ascii="Times New Roman" w:cs="Times New Roman" w:eastAsia="Times New Roman" w:hAnsi="Times New Roman"/>
          <w:sz w:val="14"/>
          <w:szCs w:val="14"/>
          <w:color w:val="auto"/>
        </w:rPr>
        <w:t>We are a “smaller reporting company,” meaning that the market value of our shares held by non-affiliates was less than $700 million as of June 30 of our prior fiscal year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and the market value of our shares held by non-affiliates is less than $700 million as of June 30 of our prior fiscal year. We may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4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6"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1" w:lineRule="exact"/>
        <w:rPr>
          <w:sz w:val="20"/>
          <w:szCs w:val="20"/>
          <w:color w:val="auto"/>
        </w:rPr>
      </w:pPr>
    </w:p>
    <w:tbl>
      <w:tblPr>
        <w:tblLayout w:type="fixed"/>
        <w:tblInd w:w="1370" w:type="dxa"/>
        <w:tblCellMar>
          <w:top w:w="0" w:type="dxa"/>
          <w:left w:w="0" w:type="dxa"/>
          <w:bottom w:w="0" w:type="dxa"/>
          <w:right w:w="0" w:type="dxa"/>
        </w:tblCellMar>
      </w:tblPr>
      <w:tr>
        <w:trPr>
          <w:trHeight w:val="310"/>
        </w:trPr>
        <w:tc>
          <w:tcPr>
            <w:tcW w:w="3020" w:type="dxa"/>
            <w:vAlign w:val="bottom"/>
            <w:tcBorders>
              <w:top w:val="single" w:sz="8" w:color="auto"/>
              <w:left w:val="single" w:sz="8" w:color="auto"/>
            </w:tcBorders>
          </w:tcPr>
          <w:p>
            <w:pPr>
              <w:spacing w:after="0"/>
              <w:rPr>
                <w:sz w:val="24"/>
                <w:szCs w:val="24"/>
                <w:color w:val="auto"/>
              </w:rPr>
            </w:pPr>
          </w:p>
        </w:tc>
        <w:tc>
          <w:tcPr>
            <w:tcW w:w="556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THE OFFERING</w:t>
            </w:r>
          </w:p>
        </w:tc>
      </w:tr>
      <w:tr>
        <w:trPr>
          <w:trHeight w:val="357"/>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 Offered by Us</w:t>
            </w: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Shares of our common stock having an aggregate offering price up to $300,785,011.</w:t>
            </w:r>
          </w:p>
        </w:tc>
      </w:tr>
      <w:tr>
        <w:trPr>
          <w:trHeight w:val="351"/>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Common Stock to be Outstanding After this</w:t>
            </w: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Up to 729,729,381 shares, assuming sales of 58,862,037 shares of our common stock in</w:t>
            </w:r>
          </w:p>
        </w:tc>
      </w:tr>
      <w:tr>
        <w:trPr>
          <w:trHeight w:val="170"/>
        </w:trPr>
        <w:tc>
          <w:tcPr>
            <w:tcW w:w="30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this offering at an offering price of $5.11 per share, the closing price of our common stock</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on The Nasdaq Global Select Market on April 12, 2024. The actual number of shares</w:t>
            </w:r>
          </w:p>
        </w:tc>
      </w:tr>
      <w:tr>
        <w:trPr>
          <w:trHeight w:val="183"/>
        </w:trPr>
        <w:tc>
          <w:tcPr>
            <w:tcW w:w="302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issued will vary depending on the sales price under this offering.</w:t>
            </w:r>
          </w:p>
        </w:tc>
      </w:tr>
      <w:tr>
        <w:trPr>
          <w:trHeight w:val="343"/>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Manner of Offering</w:t>
            </w: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“At-the-market” offering that may be made from time to time through our sales agent,</w:t>
            </w:r>
          </w:p>
        </w:tc>
      </w:tr>
      <w:tr>
        <w:trPr>
          <w:trHeight w:val="183"/>
        </w:trPr>
        <w:tc>
          <w:tcPr>
            <w:tcW w:w="302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Jefferies. See the section titled “Plan of Distribution.”</w:t>
            </w:r>
          </w:p>
        </w:tc>
      </w:tr>
      <w:tr>
        <w:trPr>
          <w:trHeight w:val="343"/>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We intend to use the net proceeds from this offering, together with other available funds,</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for the progression of our regulatory approval efforts, commercialization activities, clinical</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development programs, other research and development activities, capital expenditures,</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and other general corporate purposes. Although we have no current plans, we may also use</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a portion of the net proceeds to license intellectual property or to make acquisitions or</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investments. See the section titled “Use of Proceeds” for a more complete description of</w:t>
            </w:r>
          </w:p>
        </w:tc>
      </w:tr>
      <w:tr>
        <w:trPr>
          <w:trHeight w:val="183"/>
        </w:trPr>
        <w:tc>
          <w:tcPr>
            <w:tcW w:w="302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the intended use of proceeds from this offering.</w:t>
            </w:r>
          </w:p>
        </w:tc>
      </w:tr>
      <w:tr>
        <w:trPr>
          <w:trHeight w:val="343"/>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Dividend Policy</w:t>
            </w: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intend to retain future earnings, if any, for the operation and expansion of our business and,</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therefore, we do not anticipate declaring or paying cash dividends in the foreseeable future.</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The payment of dividends will be at the discretion of our board of directors and will</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depend on our results of operations, capital requirements, financial condition, prospects,</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contractual arrangements, our revenue interest liability, any limitations on payment of</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dividends present in any future debt agreements, and other factors that our board of</w:t>
            </w:r>
          </w:p>
        </w:tc>
      </w:tr>
      <w:tr>
        <w:trPr>
          <w:trHeight w:val="183"/>
        </w:trPr>
        <w:tc>
          <w:tcPr>
            <w:tcW w:w="302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directors may deem relevant.</w:t>
            </w:r>
          </w:p>
        </w:tc>
      </w:tr>
      <w:tr>
        <w:trPr>
          <w:trHeight w:val="343"/>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Investing in our securities involves a high degree of risk. See the section titled “Risk</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Factors” and other information included and incorporated by reference in this prospectus</w:t>
            </w:r>
          </w:p>
        </w:tc>
      </w:tr>
      <w:tr>
        <w:trPr>
          <w:trHeight w:val="168"/>
        </w:trPr>
        <w:tc>
          <w:tcPr>
            <w:tcW w:w="3020" w:type="dxa"/>
            <w:vAlign w:val="bottom"/>
            <w:tcBorders>
              <w:left w:val="single" w:sz="8" w:color="auto"/>
            </w:tcBorders>
          </w:tcPr>
          <w:p>
            <w:pPr>
              <w:spacing w:after="0"/>
              <w:rPr>
                <w:sz w:val="14"/>
                <w:szCs w:val="14"/>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for a discussion of factors that you should carefully read and consider before deciding to</w:t>
            </w:r>
          </w:p>
        </w:tc>
      </w:tr>
      <w:tr>
        <w:trPr>
          <w:trHeight w:val="183"/>
        </w:trPr>
        <w:tc>
          <w:tcPr>
            <w:tcW w:w="3020" w:type="dxa"/>
            <w:vAlign w:val="bottom"/>
            <w:tcBorders>
              <w:left w:val="single" w:sz="8" w:color="auto"/>
            </w:tcBorders>
          </w:tcPr>
          <w:p>
            <w:pPr>
              <w:spacing w:after="0"/>
              <w:rPr>
                <w:sz w:val="15"/>
                <w:szCs w:val="15"/>
                <w:color w:val="auto"/>
              </w:rPr>
            </w:pP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invest in our common stock.</w:t>
            </w:r>
          </w:p>
        </w:tc>
      </w:tr>
      <w:tr>
        <w:trPr>
          <w:trHeight w:val="357"/>
        </w:trPr>
        <w:tc>
          <w:tcPr>
            <w:tcW w:w="30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Nasdaq Global Select Market symbol</w:t>
            </w:r>
          </w:p>
        </w:tc>
        <w:tc>
          <w:tcPr>
            <w:tcW w:w="556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color w:val="auto"/>
              </w:rPr>
              <w:t>“IBRX”</w:t>
            </w:r>
          </w:p>
        </w:tc>
      </w:tr>
      <w:tr>
        <w:trPr>
          <w:trHeight w:val="142"/>
        </w:trPr>
        <w:tc>
          <w:tcPr>
            <w:tcW w:w="3020" w:type="dxa"/>
            <w:vAlign w:val="bottom"/>
            <w:tcBorders>
              <w:left w:val="single" w:sz="8" w:color="auto"/>
              <w:bottom w:val="single" w:sz="8" w:color="auto"/>
            </w:tcBorders>
          </w:tcPr>
          <w:p>
            <w:pPr>
              <w:spacing w:after="0"/>
              <w:rPr>
                <w:sz w:val="12"/>
                <w:szCs w:val="12"/>
                <w:color w:val="auto"/>
              </w:rPr>
            </w:pPr>
          </w:p>
        </w:tc>
        <w:tc>
          <w:tcPr>
            <w:tcW w:w="5560" w:type="dxa"/>
            <w:vAlign w:val="bottom"/>
            <w:tcBorders>
              <w:bottom w:val="single" w:sz="8" w:color="auto"/>
              <w:right w:val="single" w:sz="8" w:color="auto"/>
            </w:tcBorders>
          </w:tcPr>
          <w:p>
            <w:pPr>
              <w:spacing w:after="0"/>
              <w:rPr>
                <w:sz w:val="12"/>
                <w:szCs w:val="12"/>
                <w:color w:val="auto"/>
              </w:rPr>
            </w:pPr>
          </w:p>
        </w:tc>
      </w:tr>
      <w:tr>
        <w:trPr>
          <w:trHeight w:val="279"/>
        </w:trPr>
        <w:tc>
          <w:tcPr>
            <w:tcW w:w="3020" w:type="dxa"/>
            <w:vAlign w:val="bottom"/>
          </w:tcPr>
          <w:p>
            <w:pPr>
              <w:spacing w:after="0"/>
              <w:rPr>
                <w:sz w:val="24"/>
                <w:szCs w:val="24"/>
                <w:color w:val="auto"/>
              </w:rPr>
            </w:pPr>
          </w:p>
        </w:tc>
        <w:tc>
          <w:tcPr>
            <w:tcW w:w="556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4</w:t>
            </w:r>
          </w:p>
        </w:tc>
      </w:tr>
    </w:tbl>
    <w:p>
      <w:pPr>
        <w:sectPr>
          <w:pgSz w:w="11900" w:h="16838" w:orient="portrait"/>
          <w:cols w:equalWidth="0" w:num="1">
            <w:col w:w="10159"/>
          </w:cols>
          <w:pgMar w:left="300" w:top="385"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51860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5453380" cy="5186045"/>
                    </a:xfrm>
                    <a:prstGeom prst="rect">
                      <a:avLst/>
                    </a:prstGeom>
                    <a:noFill/>
                  </pic:spPr>
                </pic:pic>
              </a:graphicData>
            </a:graphic>
          </wp:anchor>
        </w:drawing>
      </w:r>
    </w:p>
    <w:p>
      <w:pPr>
        <w:spacing w:after="0" w:line="3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Outstanding Shares</w:t>
      </w:r>
    </w:p>
    <w:p>
      <w:pPr>
        <w:spacing w:after="0" w:line="93" w:lineRule="exact"/>
        <w:rPr>
          <w:sz w:val="20"/>
          <w:szCs w:val="20"/>
          <w:color w:val="auto"/>
        </w:rPr>
      </w:pPr>
    </w:p>
    <w:p>
      <w:pPr>
        <w:ind w:left="1500" w:right="459" w:firstLine="332"/>
        <w:spacing w:after="0" w:line="283" w:lineRule="auto"/>
        <w:rPr>
          <w:sz w:val="20"/>
          <w:szCs w:val="20"/>
          <w:color w:val="auto"/>
        </w:rPr>
      </w:pPr>
      <w:r>
        <w:rPr>
          <w:rFonts w:ascii="Times New Roman" w:cs="Times New Roman" w:eastAsia="Times New Roman" w:hAnsi="Times New Roman"/>
          <w:sz w:val="14"/>
          <w:szCs w:val="14"/>
          <w:color w:val="auto"/>
        </w:rPr>
        <w:t>The number of shares of common stock to be outstanding after this offering is based on 670,867,344 shares of common stock outstanding as of December 31, 2023 and excludes the following:</w:t>
      </w:r>
    </w:p>
    <w:p>
      <w:pPr>
        <w:spacing w:after="0" w:line="51" w:lineRule="exact"/>
        <w:rPr>
          <w:sz w:val="20"/>
          <w:szCs w:val="20"/>
          <w:color w:val="auto"/>
        </w:rPr>
      </w:pPr>
    </w:p>
    <w:p>
      <w:pPr>
        <w:ind w:left="2220" w:right="659" w:hanging="313"/>
        <w:spacing w:after="0" w:line="283"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 shares issued to GlobeImmune, Inc., our consolidated subsidiary, which are treated as treasury stock for purposes of U.S. generally accepted accounting principles;</w:t>
      </w:r>
    </w:p>
    <w:p>
      <w:pPr>
        <w:spacing w:after="0" w:line="51" w:lineRule="exact"/>
        <w:rPr>
          <w:rFonts w:ascii="Times New Roman" w:cs="Times New Roman" w:eastAsia="Times New Roman" w:hAnsi="Times New Roman"/>
          <w:sz w:val="14"/>
          <w:szCs w:val="14"/>
          <w:color w:val="auto"/>
        </w:rPr>
      </w:pPr>
    </w:p>
    <w:p>
      <w:pPr>
        <w:ind w:left="2220" w:right="779" w:hanging="313"/>
        <w:spacing w:after="0" w:line="283"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9,820,435 shares of our common stock issuable upon exercise of options to purchase common stock that were outstanding as of December 31, 2023;</w:t>
      </w:r>
    </w:p>
    <w:p>
      <w:pPr>
        <w:spacing w:after="0" w:line="51" w:lineRule="exact"/>
        <w:rPr>
          <w:rFonts w:ascii="Times New Roman" w:cs="Times New Roman" w:eastAsia="Times New Roman" w:hAnsi="Times New Roman"/>
          <w:sz w:val="14"/>
          <w:szCs w:val="14"/>
          <w:color w:val="auto"/>
        </w:rPr>
      </w:pPr>
    </w:p>
    <w:p>
      <w:pPr>
        <w:ind w:left="2220" w:right="599" w:hanging="313"/>
        <w:spacing w:after="0" w:line="283"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7,503,979 shares of our common stock issuable upon the vesting of restricted stock units that were outstanding as of December 31, 2023;</w:t>
      </w:r>
    </w:p>
    <w:p>
      <w:pPr>
        <w:spacing w:after="0" w:line="51" w:lineRule="exact"/>
        <w:rPr>
          <w:rFonts w:ascii="Times New Roman" w:cs="Times New Roman" w:eastAsia="Times New Roman" w:hAnsi="Times New Roman"/>
          <w:sz w:val="14"/>
          <w:szCs w:val="14"/>
          <w:color w:val="auto"/>
        </w:rPr>
      </w:pPr>
    </w:p>
    <w:p>
      <w:pPr>
        <w:ind w:left="2220" w:right="959" w:hanging="313"/>
        <w:spacing w:after="0" w:line="283"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1,638,000 shares of our common stock subject to an outstanding warrant that will become exercisable if certain performance conditions are satisfied;</w:t>
      </w:r>
    </w:p>
    <w:p>
      <w:pPr>
        <w:spacing w:after="0" w:line="51" w:lineRule="exact"/>
        <w:rPr>
          <w:rFonts w:ascii="Times New Roman" w:cs="Times New Roman" w:eastAsia="Times New Roman" w:hAnsi="Times New Roman"/>
          <w:sz w:val="14"/>
          <w:szCs w:val="14"/>
          <w:color w:val="auto"/>
        </w:rPr>
      </w:pPr>
    </w:p>
    <w:p>
      <w:pPr>
        <w:ind w:left="2220" w:right="799" w:hanging="313"/>
        <w:spacing w:after="0" w:line="283"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13,068,020 shares of our common stock reserved for future issuance under our 2015 Plan (there are no shares of common stock available for future issuance under the 2014 Plan);</w:t>
      </w:r>
    </w:p>
    <w:p>
      <w:pPr>
        <w:spacing w:after="0" w:line="51" w:lineRule="exact"/>
        <w:rPr>
          <w:rFonts w:ascii="Times New Roman" w:cs="Times New Roman" w:eastAsia="Times New Roman" w:hAnsi="Times New Roman"/>
          <w:sz w:val="14"/>
          <w:szCs w:val="14"/>
          <w:color w:val="auto"/>
        </w:rPr>
      </w:pPr>
    </w:p>
    <w:p>
      <w:pPr>
        <w:ind w:left="2220" w:right="379" w:hanging="313"/>
        <w:spacing w:after="0" w:line="267"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our common stock issuable to the former stockholders of Altor, including Dr. Soon-Shiong and certain affiliates, in satisfaction of an aggregate of approximately $300.6 million in CVRs, which such stockholders may choose to receive in shares of our common stock, upon the first calendar year prior to December 31, 2026 in which worldwide net sales of N-803 exceed $1.0 billion;</w:t>
      </w:r>
    </w:p>
    <w:p>
      <w:pPr>
        <w:spacing w:after="0" w:line="61" w:lineRule="exact"/>
        <w:rPr>
          <w:rFonts w:ascii="Times New Roman" w:cs="Times New Roman" w:eastAsia="Times New Roman" w:hAnsi="Times New Roman"/>
          <w:sz w:val="14"/>
          <w:szCs w:val="14"/>
          <w:color w:val="auto"/>
        </w:rPr>
      </w:pPr>
    </w:p>
    <w:p>
      <w:pPr>
        <w:ind w:left="2220" w:right="879" w:hanging="313"/>
        <w:spacing w:after="0" w:line="281" w:lineRule="auto"/>
        <w:tabs>
          <w:tab w:leader="none" w:pos="22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common stock that may be issued upon conversion of a $380.0 million Tranche 2 of a promissory note due December 31, 2025 bearing interest at 3-month Term SOFR plus 7.5% per annum, issued to Nant Capital, LLC, an affiliate of</w:t>
      </w:r>
    </w:p>
    <w:p>
      <w:pPr>
        <w:spacing w:after="0" w:line="1" w:lineRule="exact"/>
        <w:rPr>
          <w:rFonts w:ascii="Times New Roman" w:cs="Times New Roman" w:eastAsia="Times New Roman" w:hAnsi="Times New Roman"/>
          <w:sz w:val="13"/>
          <w:szCs w:val="13"/>
          <w:color w:val="auto"/>
        </w:rPr>
      </w:pPr>
    </w:p>
    <w:p>
      <w:pPr>
        <w:ind w:left="2220" w:right="439"/>
        <w:spacing w:after="0" w:line="25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Dr. Soon-Shiong, for unpaid principal and interest at a conversion price of $8.2690 per share of common stock (subject to appropriate adjustment from time to time for any stock dividend, stock split, combination of shares, reorganization, recapitalization, reclassification or other similar event), which is convertible at the holder’ option;</w:t>
      </w:r>
    </w:p>
    <w:p>
      <w:pPr>
        <w:spacing w:after="0" w:line="69" w:lineRule="exact"/>
        <w:rPr>
          <w:rFonts w:ascii="Times New Roman" w:cs="Times New Roman" w:eastAsia="Times New Roman" w:hAnsi="Times New Roman"/>
          <w:sz w:val="13"/>
          <w:szCs w:val="13"/>
          <w:color w:val="auto"/>
        </w:rPr>
      </w:pPr>
    </w:p>
    <w:p>
      <w:pPr>
        <w:ind w:left="2220" w:right="459" w:hanging="313"/>
        <w:spacing w:after="0" w:line="258"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conversion of a $200.0 million September 2023 promissory note due September 11, 2026 bearing interest at 1-month Term SOFR plus 8.0% per annum, issued to Nant Capital, LLC, at a conversion price of $1.9350 per share of common stock (subject to appropriate adjustment from time to time for any stock dividend, stock split, combination of shares, reorganization, recapitalization, reclassification or other similar event), which is convertible at the holder’s option;</w:t>
      </w:r>
    </w:p>
    <w:p>
      <w:pPr>
        <w:spacing w:after="0" w:line="70" w:lineRule="exact"/>
        <w:rPr>
          <w:rFonts w:ascii="Times New Roman" w:cs="Times New Roman" w:eastAsia="Times New Roman" w:hAnsi="Times New Roman"/>
          <w:sz w:val="14"/>
          <w:szCs w:val="14"/>
          <w:color w:val="auto"/>
        </w:rPr>
      </w:pPr>
    </w:p>
    <w:p>
      <w:pPr>
        <w:ind w:left="2220" w:right="419" w:hanging="313"/>
        <w:spacing w:after="0" w:line="258"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conversion of a $30.0 million March 2023 promissory note due December 31, 2025 bearing interest at 3-month Term SOFR plus 8.0% per annum, issued to Nant Capital, LLC, for unpaid principal and interest at a conversion price of $2.28 per share of common stock (subject to appropriate adjustment from time to time for any stock dividend, stock split, combination of shares, reorganization, recapitalization, reclassification or other similar event), which is convertible at the holder’s option;</w:t>
      </w:r>
    </w:p>
    <w:p>
      <w:pPr>
        <w:spacing w:after="0" w:line="70" w:lineRule="exact"/>
        <w:rPr>
          <w:rFonts w:ascii="Times New Roman" w:cs="Times New Roman" w:eastAsia="Times New Roman" w:hAnsi="Times New Roman"/>
          <w:sz w:val="14"/>
          <w:szCs w:val="14"/>
          <w:color w:val="auto"/>
        </w:rPr>
      </w:pPr>
    </w:p>
    <w:p>
      <w:pPr>
        <w:ind w:left="2220" w:right="639" w:hanging="313"/>
        <w:spacing w:after="0" w:line="283"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9,090,909 shares of our common stock issuable upon the exercise of the warrants included in our December 2022 registered direct offering at an exercise price of $6.60 per share;</w:t>
      </w:r>
    </w:p>
    <w:p>
      <w:pPr>
        <w:spacing w:after="0" w:line="51" w:lineRule="exact"/>
        <w:rPr>
          <w:rFonts w:ascii="Times New Roman" w:cs="Times New Roman" w:eastAsia="Times New Roman" w:hAnsi="Times New Roman"/>
          <w:sz w:val="14"/>
          <w:szCs w:val="14"/>
          <w:color w:val="auto"/>
        </w:rPr>
      </w:pPr>
    </w:p>
    <w:p>
      <w:pPr>
        <w:ind w:left="2220" w:right="639" w:hanging="313"/>
        <w:spacing w:after="0" w:line="283"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14,072,615 shares of our common stock issuable upon the exercise of the warrants included in our February 2023 registered direct offering at an exercise price of $3.2946 per share;</w:t>
      </w:r>
    </w:p>
    <w:p>
      <w:pPr>
        <w:spacing w:after="0" w:line="51" w:lineRule="exact"/>
        <w:rPr>
          <w:rFonts w:ascii="Times New Roman" w:cs="Times New Roman" w:eastAsia="Times New Roman" w:hAnsi="Times New Roman"/>
          <w:sz w:val="14"/>
          <w:szCs w:val="14"/>
          <w:color w:val="auto"/>
        </w:rPr>
      </w:pPr>
    </w:p>
    <w:p>
      <w:pPr>
        <w:ind w:left="2220" w:right="419" w:hanging="313"/>
        <w:spacing w:after="0" w:line="283"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14,569,296 shares of our common stock issuable upon the exercise of the warrants included in our July 2023 registered direct offering at an exercise price of $3.2946 per share; and</w:t>
      </w:r>
    </w:p>
    <w:p>
      <w:pPr>
        <w:spacing w:after="0" w:line="51" w:lineRule="exact"/>
        <w:rPr>
          <w:rFonts w:ascii="Times New Roman" w:cs="Times New Roman" w:eastAsia="Times New Roman" w:hAnsi="Times New Roman"/>
          <w:sz w:val="14"/>
          <w:szCs w:val="14"/>
          <w:color w:val="auto"/>
        </w:rPr>
      </w:pPr>
    </w:p>
    <w:p>
      <w:pPr>
        <w:ind w:left="2220" w:right="499" w:hanging="313"/>
        <w:spacing w:after="0" w:line="283" w:lineRule="auto"/>
        <w:tabs>
          <w:tab w:leader="none" w:pos="2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the exercise of the $10.0 million option held by Oberland Capital Management LLC and its affiliates (“Oberland”), for which the price per share shall be determined by the 30-day trailing volume weighted-</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6"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860425</wp:posOffset>
            </wp:positionH>
            <wp:positionV relativeFrom="paragraph">
              <wp:posOffset>165735</wp:posOffset>
            </wp:positionV>
            <wp:extent cx="5453380" cy="7200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5453380" cy="720090"/>
                    </a:xfrm>
                    <a:prstGeom prst="rect">
                      <a:avLst/>
                    </a:prstGeom>
                    <a:noFill/>
                  </pic:spPr>
                </pic:pic>
              </a:graphicData>
            </a:graphic>
          </wp:anchor>
        </w:drawing>
      </w:r>
    </w:p>
    <w:p>
      <w:pPr>
        <w:spacing w:after="0" w:line="368" w:lineRule="exact"/>
        <w:rPr>
          <w:sz w:val="20"/>
          <w:szCs w:val="20"/>
          <w:color w:val="auto"/>
        </w:rPr>
      </w:pPr>
    </w:p>
    <w:p>
      <w:pPr>
        <w:ind w:left="2240" w:right="559"/>
        <w:spacing w:after="0" w:line="323" w:lineRule="auto"/>
        <w:rPr>
          <w:sz w:val="20"/>
          <w:szCs w:val="20"/>
          <w:color w:val="auto"/>
        </w:rPr>
      </w:pPr>
      <w:r>
        <w:rPr>
          <w:rFonts w:ascii="Times New Roman" w:cs="Times New Roman" w:eastAsia="Times New Roman" w:hAnsi="Times New Roman"/>
          <w:sz w:val="13"/>
          <w:szCs w:val="13"/>
          <w:color w:val="auto"/>
        </w:rPr>
        <w:t>average price of our common stock, calculated from the date of exercise, and which option is exercisable by Oberland until the earliest of (i) December 29, 2028, (ii) a change of control of the company, or (iii) a sale of substantially all of the company’s assets.</w:t>
      </w:r>
    </w:p>
    <w:p>
      <w:pPr>
        <w:spacing w:after="0" w:line="102" w:lineRule="exact"/>
        <w:rPr>
          <w:sz w:val="20"/>
          <w:szCs w:val="20"/>
          <w:color w:val="auto"/>
        </w:rPr>
      </w:pPr>
    </w:p>
    <w:p>
      <w:pPr>
        <w:ind w:left="1500" w:right="679" w:firstLine="332"/>
        <w:spacing w:after="0" w:line="283" w:lineRule="auto"/>
        <w:rPr>
          <w:sz w:val="20"/>
          <w:szCs w:val="20"/>
          <w:color w:val="auto"/>
        </w:rPr>
      </w:pPr>
      <w:r>
        <w:rPr>
          <w:rFonts w:ascii="Times New Roman" w:cs="Times New Roman" w:eastAsia="Times New Roman" w:hAnsi="Times New Roman"/>
          <w:sz w:val="14"/>
          <w:szCs w:val="14"/>
          <w:color w:val="auto"/>
        </w:rPr>
        <w:t>In addition, unless we specifically state otherwise, all information in this prospectus assumes no exercise of outstanding stock options or warrants subsequent to December 31, 2023.</w:t>
      </w:r>
    </w:p>
    <w:p>
      <w:pPr>
        <w:spacing w:after="0" w:line="220"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6"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ind w:left="1360" w:right="259" w:firstLine="343"/>
        <w:spacing w:after="0" w:line="262" w:lineRule="auto"/>
        <w:rPr>
          <w:sz w:val="20"/>
          <w:szCs w:val="20"/>
          <w:color w:val="auto"/>
        </w:rPr>
      </w:pPr>
      <w:r>
        <w:rPr>
          <w:rFonts w:ascii="Times New Roman" w:cs="Times New Roman" w:eastAsia="Times New Roman" w:hAnsi="Times New Roman"/>
          <w:sz w:val="14"/>
          <w:szCs w:val="14"/>
          <w:i w:val="1"/>
          <w:iCs w:val="1"/>
          <w:color w:val="auto"/>
        </w:rPr>
        <w:t>Investing in our securities involves a high degree of risk. Before deciding whether to invest in our securities, you should consider carefully, among other matters, the risks and uncertainties discussed in our Annual Report on Form 10-K for the year ended December 31, 2023 filed with the SEC on March 19, 2024 under Part I, Item 1A. “Risk Factors,” which is incorporated herein by reference, and may be amended, updated, supplemented or superseded from time-to-time by annual, quarterly and other reports and documents that we file with the SEC in the future.</w:t>
      </w:r>
    </w:p>
    <w:p>
      <w:pPr>
        <w:spacing w:after="0" w:line="222"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i w:val="1"/>
          <w:iCs w:val="1"/>
          <w:color w:val="auto"/>
        </w:rPr>
        <w:t>The risks described in these documents are not the only ones we face. There may be other unknown or unpredictable economic, business, competitive, regulatory or other factors that could harm our future results. Additional risks not presently known to us or that we currently believe are immaterial may also significantly impair our business operations.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securities to decline, resulting in a loss of all or part of your investment. Please also read carefully the section below titled “Forward-Looking Statements.”</w:t>
      </w:r>
    </w:p>
    <w:p>
      <w:pPr>
        <w:spacing w:after="0" w:line="2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color w:val="auto"/>
        </w:rPr>
        <w:t>Risks Related to this Offering</w:t>
      </w:r>
    </w:p>
    <w:p>
      <w:pPr>
        <w:spacing w:after="0" w:line="9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the use of the net proceeds from this offering and may not use them effectively.</w:t>
      </w:r>
    </w:p>
    <w:p>
      <w:pPr>
        <w:spacing w:after="0" w:line="93" w:lineRule="exact"/>
        <w:rPr>
          <w:sz w:val="20"/>
          <w:szCs w:val="20"/>
          <w:color w:val="auto"/>
        </w:rPr>
      </w:pPr>
    </w:p>
    <w:p>
      <w:pPr>
        <w:ind w:left="1360" w:right="239" w:firstLine="343"/>
        <w:spacing w:after="0" w:line="255" w:lineRule="auto"/>
        <w:rPr>
          <w:sz w:val="20"/>
          <w:szCs w:val="20"/>
          <w:color w:val="auto"/>
        </w:rPr>
      </w:pPr>
      <w:r>
        <w:rPr>
          <w:rFonts w:ascii="Times New Roman" w:cs="Times New Roman" w:eastAsia="Times New Roman" w:hAnsi="Times New Roman"/>
          <w:sz w:val="14"/>
          <w:szCs w:val="14"/>
          <w:color w:val="auto"/>
        </w:rPr>
        <w:t>We cannot specify with certainty the particular uses of the net proceeds we will receive from this offering. Our management will have broad discretion in the application of the net proceeds, including for any of the purposes described in the section titled “Use of Proceeds.” We intend to use the net proceeds from this offering, together with other available funds, for the progression of our regulatory approval efforts, commercialization activities, clinical development programs, other research and development activities, capital expenditures, and other general corporate purposes. Although we have no current plans, we may also use a portion of the net proceeds to license intellectual property or to make acquisitions or investments.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22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It is not possible to predict the actual number of shares we will sell under the sale agreement, or the gross proceeds resulting from those sales.</w:t>
      </w:r>
    </w:p>
    <w:p>
      <w:pPr>
        <w:spacing w:after="0" w:line="93"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Subject to certain limitations in the sale agreement and compliance with applicable law, we have the discretion to deliver instruction to the sales agent to sell shares of our common stock at any time throughout the term of the sale agreement. The number of shares that are sold through the sales agent after our instruction will fluctuate based on a number of factors, including the market price of our common stock during the sales period, the limits we set with the sales agent in any instruction to sell shares, and the demand for our common stock during the sales period. Because the price per share of each share sold will fluctuate during this offering, it is not currently possible to predict the number of shares that will be sold or the gross proceeds to be raised in connection with those sales.</w:t>
      </w:r>
    </w:p>
    <w:p>
      <w:pPr>
        <w:spacing w:after="0" w:line="225" w:lineRule="exact"/>
        <w:rPr>
          <w:sz w:val="20"/>
          <w:szCs w:val="20"/>
          <w:color w:val="auto"/>
        </w:rPr>
      </w:pPr>
    </w:p>
    <w:p>
      <w:pPr>
        <w:ind w:left="1360" w:right="3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common stock offered hereby will be sold in “at the market offerings,” and investors who buy shares at different times will likely pay different prices.</w:t>
      </w:r>
    </w:p>
    <w:p>
      <w:pPr>
        <w:spacing w:after="0" w:line="39" w:lineRule="exact"/>
        <w:rPr>
          <w:sz w:val="20"/>
          <w:szCs w:val="20"/>
          <w:color w:val="auto"/>
        </w:rPr>
      </w:pPr>
    </w:p>
    <w:p>
      <w:pPr>
        <w:ind w:left="1360" w:right="439" w:firstLine="343"/>
        <w:spacing w:after="0" w:line="283"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may therefore experience different levels of dilution and different outcomes in their investment results. We will have</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6"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59"/>
        <w:spacing w:after="0" w:line="267" w:lineRule="auto"/>
        <w:rPr>
          <w:sz w:val="20"/>
          <w:szCs w:val="20"/>
          <w:color w:val="auto"/>
        </w:rPr>
      </w:pPr>
      <w:r>
        <w:rPr>
          <w:rFonts w:ascii="Times New Roman" w:cs="Times New Roman" w:eastAsia="Times New Roman" w:hAnsi="Times New Roman"/>
          <w:sz w:val="14"/>
          <w:szCs w:val="14"/>
          <w:color w:val="auto"/>
        </w:rPr>
        <w:t>discretion, subject to market demand, to vary the timing, prices, and numbers of shares sold in this offering. In addition, subject to the final determination by our board of directors,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2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future dilution as a result of future equity offerings.</w:t>
      </w:r>
    </w:p>
    <w:p>
      <w:pPr>
        <w:spacing w:after="0" w:line="93" w:lineRule="exact"/>
        <w:rPr>
          <w:sz w:val="20"/>
          <w:szCs w:val="20"/>
          <w:color w:val="auto"/>
        </w:rPr>
      </w:pPr>
    </w:p>
    <w:p>
      <w:pPr>
        <w:ind w:left="1360" w:right="259" w:firstLine="343"/>
        <w:spacing w:after="0" w:line="255" w:lineRule="auto"/>
        <w:rPr>
          <w:sz w:val="20"/>
          <w:szCs w:val="20"/>
          <w:color w:val="auto"/>
        </w:rPr>
      </w:pPr>
      <w:r>
        <w:rPr>
          <w:rFonts w:ascii="Times New Roman" w:cs="Times New Roman" w:eastAsia="Times New Roman" w:hAnsi="Times New Roman"/>
          <w:sz w:val="14"/>
          <w:szCs w:val="14"/>
          <w:color w:val="auto"/>
        </w:rPr>
        <w:t>We will require more capital to pursue our preclinical and clinical activities and the regulatory approval and commercialization of our products. In addition, we may also choose to raise additional capital due to market conditions or strategic considerations even if we believe we have sufficient funds for our current or future operating plans.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28" w:lineRule="exact"/>
        <w:rPr>
          <w:sz w:val="20"/>
          <w:szCs w:val="20"/>
          <w:color w:val="auto"/>
        </w:rPr>
      </w:pPr>
    </w:p>
    <w:p>
      <w:pPr>
        <w:ind w:left="1360" w:right="31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a “smaller reporting company,” and the reduced disclosure requirements applicable to smaller reporting companies may make our common stock less attractive to investors.</w:t>
      </w:r>
    </w:p>
    <w:p>
      <w:pPr>
        <w:spacing w:after="0" w:line="39"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We are a “smaller reporting company,” as defined in Rule 12b-2 under the Exchange Act. We would cease to be a smaller reporting company if we no longer had either a public float less than $250 million or annual revenues less than $100 million and a public float less than $700 million as of</w:t>
      </w:r>
    </w:p>
    <w:p>
      <w:pPr>
        <w:spacing w:after="0" w:line="1" w:lineRule="exact"/>
        <w:rPr>
          <w:sz w:val="20"/>
          <w:szCs w:val="20"/>
          <w:color w:val="auto"/>
        </w:rPr>
      </w:pPr>
    </w:p>
    <w:p>
      <w:pPr>
        <w:ind w:left="1360" w:right="259"/>
        <w:spacing w:after="0" w:line="254" w:lineRule="auto"/>
        <w:rPr>
          <w:sz w:val="20"/>
          <w:szCs w:val="20"/>
          <w:color w:val="auto"/>
        </w:rPr>
      </w:pPr>
      <w:r>
        <w:rPr>
          <w:rFonts w:ascii="Times New Roman" w:cs="Times New Roman" w:eastAsia="Times New Roman" w:hAnsi="Times New Roman"/>
          <w:sz w:val="14"/>
          <w:szCs w:val="14"/>
          <w:color w:val="auto"/>
        </w:rPr>
        <w:t>June 30 of our prior fiscal year, determined on an annual basis. As a smaller reporting company, we are permitted and intend to rely on exemptions from certain disclosure requirements that are applicable to other public companies that are not smaller reporting companies. We cannot predict whether investors will find our common stock less attractive as a result of our reliance on these exemptions. If some investors find our common stock less attractive as a result, there may be a less active trading market for our common stock and our stock price may be more volatile.</w:t>
      </w:r>
    </w:p>
    <w:p>
      <w:pPr>
        <w:spacing w:after="0" w:line="227" w:lineRule="exact"/>
        <w:rPr>
          <w:sz w:val="20"/>
          <w:szCs w:val="20"/>
          <w:color w:val="auto"/>
        </w:rPr>
      </w:pPr>
    </w:p>
    <w:p>
      <w:pPr>
        <w:ind w:left="1360" w:right="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have not paid cash dividends in the past and do not expect to pay dividends in the future. Any return on investment may be limited to the value of our common stock.</w:t>
      </w:r>
    </w:p>
    <w:p>
      <w:pPr>
        <w:spacing w:after="0" w:line="39"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We have never paid cash dividends on our common stock and do not anticipate paying cash dividends for the foreseeable future. The payment of dividends on our common stock will depend on earnings, financial condition and other business and economic factors affecting us at such time as the board of directors may consider relevant. If we do not pay dividends, our common stock may be less valuable because a return on your investment will only occur if our stock price appreciates.</w:t>
      </w:r>
    </w:p>
    <w:p>
      <w:pPr>
        <w:spacing w:after="0" w:line="22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You may experience immediate and substantial dilution in the net tangible book value per share of the common stock you purchase.</w:t>
      </w:r>
    </w:p>
    <w:p>
      <w:pPr>
        <w:spacing w:after="0" w:line="93" w:lineRule="exact"/>
        <w:rPr>
          <w:sz w:val="20"/>
          <w:szCs w:val="20"/>
          <w:color w:val="auto"/>
        </w:rPr>
      </w:pPr>
    </w:p>
    <w:p>
      <w:pPr>
        <w:ind w:left="1360" w:right="239" w:firstLine="343"/>
        <w:spacing w:after="0" w:line="256" w:lineRule="auto"/>
        <w:rPr>
          <w:sz w:val="20"/>
          <w:szCs w:val="20"/>
          <w:color w:val="auto"/>
        </w:rPr>
      </w:pPr>
      <w:r>
        <w:rPr>
          <w:rFonts w:ascii="Times New Roman" w:cs="Times New Roman" w:eastAsia="Times New Roman" w:hAnsi="Times New Roman"/>
          <w:sz w:val="14"/>
          <w:szCs w:val="14"/>
          <w:color w:val="auto"/>
        </w:rPr>
        <w:t>The price per share of our common stock being offered may be higher than the net tangible book value per share of our common stock outstanding prior to this offering. Assuming that an aggregate of 58,862,037 shares are sold at a price of $5.11 per share, the closing price of our common stock on The Nasdaq Global Select Market on April 12, 2024, for aggregate proceeds of $300,785,011 in this offering, and after deducting commissions and estimated aggregate offering expenses payable by us, you will suffer immediate and substantial dilution of $5.53 per share, representing the difference between the as adjusted net tangible book value per share of our common stock as of December 31, 2023 after giving effect to this offering and the assumed offering price of $5.11 per share. See the section entitled “Dilution” below for a more detailed discussion of the dilution you will incur if you purchase common stock in this offering.</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6"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77" w:lineRule="exact"/>
        <w:rPr>
          <w:sz w:val="20"/>
          <w:szCs w:val="20"/>
          <w:color w:val="auto"/>
        </w:rPr>
      </w:pPr>
    </w:p>
    <w:p>
      <w:pPr>
        <w:ind w:left="1360" w:right="239" w:firstLine="343"/>
        <w:spacing w:after="0" w:line="253" w:lineRule="auto"/>
        <w:rPr>
          <w:sz w:val="20"/>
          <w:szCs w:val="20"/>
          <w:color w:val="auto"/>
        </w:rPr>
      </w:pPr>
      <w:r>
        <w:rPr>
          <w:rFonts w:ascii="Times New Roman" w:cs="Times New Roman" w:eastAsia="Times New Roman" w:hAnsi="Times New Roman"/>
          <w:sz w:val="14"/>
          <w:szCs w:val="14"/>
          <w:color w:val="auto"/>
        </w:rPr>
        <w:t>This prospectus and the information incorporated by reference in this prospectus contains certain statements that constitute “forward-looking statements” within the meaning of Section 27A of the Securities Act of 1933, as amended (the “Securities Act”), and Section 21E of the Securities Exchange Act of 1934, as amended (the “Exchange Act”). Forward-looking statements include statements that are not historical facts and can be identified by terminology such as “may,” “will,” “should,” “could,” “would,” “expects,” “plans,” “intends,” “anticipates,” “believes,” “estimates,” “schedule,” “goal,” “predicts,” “projects,” “seek,” “should,” “potential,” or “continue,” or the negative of such terms and other same terminology.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Those statements appear in this prospectus and the documents incorporated herein by reference, particularly in the sections captioned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50" w:lineRule="exact"/>
        <w:rPr>
          <w:sz w:val="20"/>
          <w:szCs w:val="20"/>
          <w:color w:val="auto"/>
        </w:rPr>
      </w:pPr>
    </w:p>
    <w:p>
      <w:pPr>
        <w:ind w:left="1360" w:right="259" w:firstLine="343"/>
        <w:spacing w:after="0" w:line="256" w:lineRule="auto"/>
        <w:rPr>
          <w:sz w:val="20"/>
          <w:szCs w:val="20"/>
          <w:color w:val="auto"/>
        </w:rPr>
      </w:pPr>
      <w:r>
        <w:rPr>
          <w:rFonts w:ascii="Times New Roman" w:cs="Times New Roman" w:eastAsia="Times New Roman" w:hAnsi="Times New Roman"/>
          <w:sz w:val="14"/>
          <w:szCs w:val="14"/>
          <w:color w:val="auto"/>
        </w:rPr>
        <w:t>Because forward-looking statements are inherently subject to risks and uncertainties, some of which cannot be predicted or quantified, you should not rely upon forward-looking statements as predictions of future events.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44"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Statements of past performance, efforts, or results of our preclinical and clinical trials, about which inferences or assumptions may be made, can also be forward-looking statements and are not indicative of future performance or results.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4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Forward-looking statements include, but are not limited to, statements concerning the following:</w:t>
      </w:r>
    </w:p>
    <w:p>
      <w:pPr>
        <w:spacing w:after="0" w:line="102" w:lineRule="exact"/>
        <w:rPr>
          <w:sz w:val="20"/>
          <w:szCs w:val="20"/>
          <w:color w:val="auto"/>
        </w:rPr>
      </w:pPr>
    </w:p>
    <w:p>
      <w:pPr>
        <w:ind w:left="2120" w:right="319" w:hanging="345"/>
        <w:spacing w:after="0" w:line="283" w:lineRule="auto"/>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next-generation therapies and vaccines that complement, harness, and amplify the immune system to defeat cancers and infectious diseases;</w:t>
      </w:r>
    </w:p>
    <w:p>
      <w:pPr>
        <w:spacing w:after="0" w:line="51" w:lineRule="exact"/>
        <w:rPr>
          <w:rFonts w:ascii="Times New Roman" w:cs="Times New Roman" w:eastAsia="Times New Roman" w:hAnsi="Times New Roman"/>
          <w:sz w:val="14"/>
          <w:szCs w:val="14"/>
          <w:color w:val="auto"/>
        </w:rPr>
      </w:pPr>
    </w:p>
    <w:p>
      <w:pPr>
        <w:ind w:left="2120" w:right="619" w:hanging="345"/>
        <w:spacing w:after="0" w:line="283" w:lineRule="auto"/>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to fund our operations and complete the development and commercialization of our various product candidates;</w:t>
      </w:r>
    </w:p>
    <w:p>
      <w:pPr>
        <w:spacing w:after="0" w:line="51" w:lineRule="exact"/>
        <w:rPr>
          <w:rFonts w:ascii="Times New Roman" w:cs="Times New Roman" w:eastAsia="Times New Roman" w:hAnsi="Times New Roman"/>
          <w:sz w:val="14"/>
          <w:szCs w:val="14"/>
          <w:color w:val="auto"/>
        </w:rPr>
      </w:pPr>
    </w:p>
    <w:p>
      <w:pPr>
        <w:ind w:left="2120" w:right="579" w:hanging="345"/>
        <w:spacing w:after="0" w:line="283" w:lineRule="auto"/>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the FDA will ultimately determine that the BLA resubmission and related actions successfully address and resolve the issues identified in the CRL;</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our third-party CMOs, to adequately address the issues raised in the FDA’s CRL;</w:t>
      </w:r>
    </w:p>
    <w:p>
      <w:pPr>
        <w:spacing w:after="0" w:line="10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FDA approval milestone after which Oberland may purchase $100.0 million in Revenue Interests will be achieved and, even if the milestone is achieved, whether Oberland will actually purchase such interests and fund such $100.0 million payment;</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6"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259" w:hanging="345"/>
        <w:spacing w:after="0" w:line="283"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our payment obligations under the Revenue Interest Purchase Agreement (the “RIPA”) and to service the interest on our related-party promissory notes and repay such notes, to the extent required;</w:t>
      </w:r>
    </w:p>
    <w:p>
      <w:pPr>
        <w:spacing w:after="0" w:line="51" w:lineRule="exact"/>
        <w:rPr>
          <w:rFonts w:ascii="Times New Roman" w:cs="Times New Roman" w:eastAsia="Times New Roman" w:hAnsi="Times New Roman"/>
          <w:sz w:val="14"/>
          <w:szCs w:val="14"/>
          <w:color w:val="auto"/>
        </w:rPr>
      </w:pPr>
    </w:p>
    <w:p>
      <w:pPr>
        <w:ind w:left="2120" w:right="639" w:hanging="345"/>
        <w:spacing w:after="0" w:line="283"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the terms, conditions, covenants, restrictions, and obligations set forth in the RIPA and related transaction documents;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potential benefits of our strategy and technology;</w:t>
      </w:r>
    </w:p>
    <w:p>
      <w:pPr>
        <w:spacing w:after="0" w:line="101" w:lineRule="exact"/>
        <w:rPr>
          <w:rFonts w:ascii="Times New Roman" w:cs="Times New Roman" w:eastAsia="Times New Roman" w:hAnsi="Times New Roman"/>
          <w:sz w:val="14"/>
          <w:szCs w:val="14"/>
          <w:color w:val="auto"/>
        </w:rPr>
      </w:pPr>
    </w:p>
    <w:p>
      <w:pPr>
        <w:ind w:left="2120" w:right="519" w:hanging="345"/>
        <w:spacing w:after="0" w:line="283"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forecast operating results and make period-to-period comparisons predictive of future performance due to fluctuations in warrant values;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operation and effectiveness of our product candidates and related benefits;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multiple modes to induce cell death;</w:t>
      </w:r>
    </w:p>
    <w:p>
      <w:pPr>
        <w:spacing w:after="0" w:line="101" w:lineRule="exact"/>
        <w:rPr>
          <w:rFonts w:ascii="Times New Roman" w:cs="Times New Roman" w:eastAsia="Times New Roman" w:hAnsi="Times New Roman"/>
          <w:sz w:val="14"/>
          <w:szCs w:val="14"/>
          <w:color w:val="auto"/>
        </w:rPr>
      </w:pPr>
    </w:p>
    <w:p>
      <w:pPr>
        <w:ind w:left="2120" w:right="479" w:hanging="345"/>
        <w:spacing w:after="0" w:line="283"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benefits and perceived limitations of competing approaches, and the future of competing technologies and our industry;</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details regarding our strategic vision and planned product candidate pipeline;</w:t>
      </w:r>
    </w:p>
    <w:p>
      <w:pPr>
        <w:spacing w:after="0" w:line="101" w:lineRule="exact"/>
        <w:rPr>
          <w:rFonts w:ascii="Times New Roman" w:cs="Times New Roman" w:eastAsia="Times New Roman" w:hAnsi="Times New Roman"/>
          <w:sz w:val="14"/>
          <w:szCs w:val="14"/>
          <w:color w:val="auto"/>
        </w:rPr>
      </w:pPr>
    </w:p>
    <w:p>
      <w:pPr>
        <w:ind w:left="2120" w:right="299" w:hanging="345"/>
        <w:spacing w:after="0" w:line="283"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success, cost and timing of our product candidate development activities and current and future clinical trials and studies, including study design and the enrollment of patients;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the development and commercialization of our product candidates;</w:t>
      </w:r>
    </w:p>
    <w:p>
      <w:pPr>
        <w:spacing w:after="0" w:line="101" w:lineRule="exact"/>
        <w:rPr>
          <w:rFonts w:ascii="Times New Roman" w:cs="Times New Roman" w:eastAsia="Times New Roman" w:hAnsi="Times New Roman"/>
          <w:sz w:val="14"/>
          <w:szCs w:val="14"/>
          <w:color w:val="auto"/>
        </w:rPr>
      </w:pPr>
    </w:p>
    <w:p>
      <w:pPr>
        <w:ind w:left="2120" w:right="679" w:hanging="345"/>
        <w:spacing w:after="0" w:line="222"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ability to utilize the Phase I/II aNK and 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clinical trials data to support the development of our product candidates, including our haNK, taNK, t-haNK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MSC, and M-ceNK</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product candidates;</w:t>
      </w:r>
    </w:p>
    <w:p>
      <w:pPr>
        <w:ind w:left="2120" w:right="699" w:hanging="345"/>
        <w:spacing w:after="0" w:line="259"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development, application, commercialization, marketing, prospects and use generally of our product candidates, including Anktiva, hAd5 and saRNA constructs, and PD-L1 t-haNK and M-ceNK;</w:t>
      </w:r>
    </w:p>
    <w:p>
      <w:pPr>
        <w:spacing w:after="0" w:line="67" w:lineRule="exact"/>
        <w:rPr>
          <w:rFonts w:ascii="Times New Roman" w:cs="Times New Roman" w:eastAsia="Times New Roman" w:hAnsi="Times New Roman"/>
          <w:sz w:val="14"/>
          <w:szCs w:val="14"/>
          <w:color w:val="auto"/>
        </w:rPr>
      </w:pPr>
    </w:p>
    <w:p>
      <w:pPr>
        <w:ind w:left="2120" w:right="479" w:hanging="345"/>
        <w:spacing w:after="0" w:line="267"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or likelihood of regulatory filings or other actions and related regulatory authority responses, including any planned investigational new drug, BLA or New Drug Application filings or pursuit of accelerated regulatory approval pathways or orphan drug status and Breakthrough Therapy designations;</w:t>
      </w:r>
    </w:p>
    <w:p>
      <w:pPr>
        <w:spacing w:after="0" w:line="61" w:lineRule="exact"/>
        <w:rPr>
          <w:rFonts w:ascii="Times New Roman" w:cs="Times New Roman" w:eastAsia="Times New Roman" w:hAnsi="Times New Roman"/>
          <w:sz w:val="14"/>
          <w:szCs w:val="14"/>
          <w:color w:val="auto"/>
        </w:rPr>
      </w:pPr>
    </w:p>
    <w:p>
      <w:pPr>
        <w:ind w:left="2120" w:right="319" w:hanging="345"/>
        <w:spacing w:after="0" w:line="283"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implement an integrated discovery ecosystem and the operation of that planned ecosystem, including being able to regularly add neoepitopes and subsequently formulate new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strategic collaborators to share our vision and effectively work with us to achieve our goals;</w:t>
      </w:r>
    </w:p>
    <w:p>
      <w:pPr>
        <w:spacing w:after="0" w:line="10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and willingness of various third parties to engage in research and development activities involving our product candidates, and our ability to leverage those activities;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additional third-party collaborators;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ease of administration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patient compatibility associated with our product candidates;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potential markets for our product candidates and our ability to serve those markets;</w:t>
      </w:r>
    </w:p>
    <w:p>
      <w:pPr>
        <w:spacing w:after="0" w:line="1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6"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timing of enrollment and submission of our clinical trials, and protocols related to such trials;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an antibody-cytokine fusion protein, a DNA, RNA, or recombinant protein vaccine, or a cell therapy;</w:t>
      </w:r>
    </w:p>
    <w:p>
      <w:pPr>
        <w:spacing w:after="0" w:line="10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beliefs regarding the potential manufacturing and distribution benefits associated with our product candidates, and our third-party CMOs’ abilities to follow current Good Manufacturing Practice standards to scale up the production of our product candidates;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regarding our manufacturing facilities and our belief that our manufacturing is capable of being conducted in-house;</w:t>
      </w:r>
    </w:p>
    <w:p>
      <w:pPr>
        <w:spacing w:after="0" w:line="101" w:lineRule="exact"/>
        <w:rPr>
          <w:rFonts w:ascii="Times New Roman" w:cs="Times New Roman" w:eastAsia="Times New Roman" w:hAnsi="Times New Roman"/>
          <w:sz w:val="14"/>
          <w:szCs w:val="14"/>
          <w:color w:val="auto"/>
        </w:rPr>
      </w:pPr>
    </w:p>
    <w:p>
      <w:pPr>
        <w:ind w:left="2120" w:right="27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in the potential of our antibody-cytokine fusion proteins, DNA, RNA, or recombinant protein vaccines, or cell therapies, and the fact that our business is based upon the success individually and collectively of these platforms;</w:t>
      </w:r>
    </w:p>
    <w:p>
      <w:pPr>
        <w:spacing w:after="0" w:line="51" w:lineRule="exact"/>
        <w:rPr>
          <w:rFonts w:ascii="Times New Roman" w:cs="Times New Roman" w:eastAsia="Times New Roman" w:hAnsi="Times New Roman"/>
          <w:sz w:val="14"/>
          <w:szCs w:val="14"/>
          <w:color w:val="auto"/>
        </w:rPr>
      </w:pPr>
    </w:p>
    <w:p>
      <w:pPr>
        <w:ind w:left="2120" w:right="59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belief regarding the magnitude or duration for additional clinical testing of our antibody-cytokine fusion proteins, DNA, RNA or recombinant protein vaccines, or cell therapies, along with other product candidate families;</w:t>
      </w:r>
    </w:p>
    <w:p>
      <w:pPr>
        <w:spacing w:after="0" w:line="5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we successfully develop and commercialize specific product candidates like our N-803 or PD-L1 t-haNK, our ability to develop and commercialize our other product candidates either alone or in combination with other therapeutic agents;</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obtain and maintain regulatory approval of any of our product candidates, and any related restrictions, limitations and/or warnings in the label of any approved product candidate;</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any approved products;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any approved products;</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personnel;</w:t>
      </w:r>
    </w:p>
    <w:p>
      <w:pPr>
        <w:spacing w:after="0" w:line="101" w:lineRule="exact"/>
        <w:rPr>
          <w:rFonts w:ascii="Times New Roman" w:cs="Times New Roman" w:eastAsia="Times New Roman" w:hAnsi="Times New Roman"/>
          <w:sz w:val="14"/>
          <w:szCs w:val="14"/>
          <w:color w:val="auto"/>
        </w:rPr>
      </w:pPr>
    </w:p>
    <w:p>
      <w:pPr>
        <w:ind w:left="2120" w:right="45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our future revenue, as well as our future operating expenses, capital requirements and needs for additional financing;</w:t>
      </w:r>
    </w:p>
    <w:p>
      <w:pPr>
        <w:spacing w:after="0" w:line="51" w:lineRule="exact"/>
        <w:rPr>
          <w:rFonts w:ascii="Times New Roman" w:cs="Times New Roman" w:eastAsia="Times New Roman" w:hAnsi="Times New Roman"/>
          <w:sz w:val="14"/>
          <w:szCs w:val="14"/>
          <w:color w:val="auto"/>
        </w:rPr>
      </w:pPr>
    </w:p>
    <w:p>
      <w:pPr>
        <w:ind w:left="2120" w:right="89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maintain, protect, and enforce patent protection and other proprietary rights for our product candidates and technologies;</w:t>
      </w:r>
    </w:p>
    <w:p>
      <w:pPr>
        <w:spacing w:after="0" w:line="51" w:lineRule="exact"/>
        <w:rPr>
          <w:rFonts w:ascii="Times New Roman" w:cs="Times New Roman" w:eastAsia="Times New Roman" w:hAnsi="Times New Roman"/>
          <w:sz w:val="14"/>
          <w:szCs w:val="14"/>
          <w:color w:val="auto"/>
        </w:rPr>
      </w:pPr>
    </w:p>
    <w:p>
      <w:pPr>
        <w:ind w:left="2120" w:right="81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of licenses granted to us and our ability to license additional intellectual property relating to our product candidates and technology;</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government shutdown, which could adversely affect the U.S. and global economies, and materially and adversely affect our business and/or our BLA submission;</w:t>
      </w:r>
    </w:p>
    <w:p>
      <w:pPr>
        <w:spacing w:after="0" w:line="51" w:lineRule="exact"/>
        <w:rPr>
          <w:rFonts w:ascii="Times New Roman" w:cs="Times New Roman" w:eastAsia="Times New Roman" w:hAnsi="Times New Roman"/>
          <w:sz w:val="14"/>
          <w:szCs w:val="14"/>
          <w:color w:val="auto"/>
        </w:rPr>
      </w:pPr>
    </w:p>
    <w:p>
      <w:pPr>
        <w:ind w:left="2120" w:right="559" w:hanging="345"/>
        <w:spacing w:after="0" w:line="283" w:lineRule="auto"/>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us, if any, if the contingent value rights held by former Altor BioScience, LLC stockholders become due and payable in accordance with their terms;</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U.S. and foreign countries; and</w:t>
      </w:r>
    </w:p>
    <w:p>
      <w:pPr>
        <w:spacing w:after="0" w:line="10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use of the net proceeds from this offering.</w:t>
      </w:r>
    </w:p>
    <w:p>
      <w:pPr>
        <w:spacing w:after="0" w:line="175" w:lineRule="exact"/>
        <w:rPr>
          <w:sz w:val="20"/>
          <w:szCs w:val="20"/>
          <w:color w:val="auto"/>
        </w:rPr>
      </w:pPr>
    </w:p>
    <w:p>
      <w:pPr>
        <w:ind w:left="1360" w:right="259" w:firstLine="343"/>
        <w:spacing w:after="0" w:line="258"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6"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1360" w:right="339" w:firstLine="343"/>
        <w:spacing w:after="0" w:line="261"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materially differ from the projections.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6"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1360" w:right="399" w:firstLine="343"/>
        <w:spacing w:after="0" w:line="258" w:lineRule="auto"/>
        <w:rPr>
          <w:sz w:val="20"/>
          <w:szCs w:val="20"/>
          <w:color w:val="auto"/>
        </w:rPr>
      </w:pPr>
      <w:r>
        <w:rPr>
          <w:rFonts w:ascii="Times New Roman" w:cs="Times New Roman" w:eastAsia="Times New Roman" w:hAnsi="Times New Roman"/>
          <w:sz w:val="14"/>
          <w:szCs w:val="14"/>
          <w:color w:val="auto"/>
        </w:rPr>
        <w:t>We may issue and sell shares of our common stock having aggregate gross proceeds of up to $300,785,011 from time to time under this prospectus. Because there is no minimum offering amount required as a condition to close this offering, the actual total offering amount, commissions and proceeds to us, if any, are not determinable at this time. The amount of proceeds from this offering will depend upon the number of shares of our common stock sold and the market price at which they are sold. There can be no assurance that we will be able to sell any shares under or fully utilize the sale agreement as a source of financing.</w:t>
      </w:r>
    </w:p>
    <w:p>
      <w:pPr>
        <w:spacing w:after="0" w:line="144" w:lineRule="exact"/>
        <w:rPr>
          <w:sz w:val="20"/>
          <w:szCs w:val="20"/>
          <w:color w:val="auto"/>
        </w:rPr>
      </w:pPr>
    </w:p>
    <w:p>
      <w:pPr>
        <w:ind w:left="1360" w:right="259" w:firstLine="343"/>
        <w:spacing w:after="0" w:line="253" w:lineRule="auto"/>
        <w:rPr>
          <w:sz w:val="20"/>
          <w:szCs w:val="20"/>
          <w:color w:val="auto"/>
        </w:rPr>
      </w:pPr>
      <w:r>
        <w:rPr>
          <w:rFonts w:ascii="Times New Roman" w:cs="Times New Roman" w:eastAsia="Times New Roman" w:hAnsi="Times New Roman"/>
          <w:sz w:val="14"/>
          <w:szCs w:val="14"/>
          <w:color w:val="auto"/>
        </w:rPr>
        <w:t>We intend to use the net proceeds from this offering, together with other available funds, for the progression of our regulatory approval efforts, commercialization activities, clinical development programs, other research and development activities, capital expenditures, and other general corporate purposes. Although we have no current plans, we may also use a portion of the net proceeds to license intellectual property or to make acquisitions or investments. This expected use of our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product candidate development, the status of and results from clinical trials, as well as any collaborations that we may enter into with third parties for our product candidates, and any unforeseen cash needs. As of the date of this prospectus, we cannot specify with certainty all of the particular uses for the net proceeds to us from this offering. As a result, our management will retain broad discretion over the timing and allocation of our net proceeds from this offering, and investors will be relying on the judgment of our management regarding the application of our net proceeds from this offering. The timing and amount of our actual expenditures will be based on many factors, including competitive and technological developments; the progress of our clinical trials; regulatory approval of our product candidates; costs to commercialize our product candidates if approved; the anticipated growth of our business; and a number of other factors, including those listed in the section titled “Risk Factors” and in the documents incorporated by reference herein. Pending these uses, we plan to invest these net proceeds primarily in U.S. government-sponsored securities. The goal with respect to the investment of these net proceeds is capital preservation and liquidity so that such funds are readily available to fund our operations.</w:t>
      </w:r>
    </w:p>
    <w:p>
      <w:pPr>
        <w:spacing w:after="0" w:line="146" w:lineRule="exact"/>
        <w:rPr>
          <w:sz w:val="20"/>
          <w:szCs w:val="20"/>
          <w:color w:val="auto"/>
        </w:rPr>
      </w:pPr>
    </w:p>
    <w:p>
      <w:pPr>
        <w:jc w:val="both"/>
        <w:ind w:left="1360" w:right="279" w:firstLine="343"/>
        <w:spacing w:after="0" w:line="267" w:lineRule="auto"/>
        <w:rPr>
          <w:sz w:val="20"/>
          <w:szCs w:val="20"/>
          <w:color w:val="auto"/>
        </w:rPr>
      </w:pPr>
      <w:r>
        <w:rPr>
          <w:rFonts w:ascii="Times New Roman" w:cs="Times New Roman" w:eastAsia="Times New Roman" w:hAnsi="Times New Roman"/>
          <w:sz w:val="14"/>
          <w:szCs w:val="14"/>
          <w:color w:val="auto"/>
        </w:rPr>
        <w:t>We anticipate that we will be required to raise substantial additional capital to continue to fund the clinical development of our product candidates and commercialize approved products. We expect to seek to raise additional capital through additional public or private financings which may be in the form of equity, debt, warrants, units or convertible securities.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4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77" w:lineRule="exact"/>
        <w:rPr>
          <w:sz w:val="20"/>
          <w:szCs w:val="20"/>
          <w:color w:val="auto"/>
        </w:rPr>
      </w:pPr>
    </w:p>
    <w:p>
      <w:pPr>
        <w:ind w:left="1360" w:right="219" w:firstLine="343"/>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capital stock contained in </w:t>
      </w:r>
      <w:hyperlink r:id="rId80">
        <w:r>
          <w:rPr>
            <w:rFonts w:ascii="Times New Roman" w:cs="Times New Roman" w:eastAsia="Times New Roman" w:hAnsi="Times New Roman"/>
            <w:sz w:val="14"/>
            <w:szCs w:val="14"/>
            <w:u w:val="single" w:color="auto"/>
            <w:color w:val="0000EE"/>
          </w:rPr>
          <w:t>Exhibit 4.7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filed with the SEC on March 19, 2024, is incorporated herein by reference.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6"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7" w:lineRule="exact"/>
        <w:rPr>
          <w:sz w:val="20"/>
          <w:szCs w:val="20"/>
          <w:color w:val="auto"/>
        </w:rPr>
      </w:pPr>
    </w:p>
    <w:p>
      <w:pPr>
        <w:ind w:left="1360" w:right="339" w:firstLine="343"/>
        <w:spacing w:after="0" w:line="283" w:lineRule="auto"/>
        <w:rPr>
          <w:sz w:val="20"/>
          <w:szCs w:val="20"/>
          <w:color w:val="auto"/>
        </w:rPr>
      </w:pPr>
      <w:r>
        <w:rPr>
          <w:rFonts w:ascii="Times New Roman" w:cs="Times New Roman" w:eastAsia="Times New Roman" w:hAnsi="Times New Roman"/>
          <w:sz w:val="14"/>
          <w:szCs w:val="14"/>
          <w:color w:val="auto"/>
        </w:rPr>
        <w:t>If you invest in this offering, your ownership interest will be diluted immediately to the extent of the difference between the public offering price per share and the as adjusted net tangible book value per share of our common stock after giving effect to this offering.</w:t>
      </w:r>
    </w:p>
    <w:p>
      <w:pPr>
        <w:spacing w:after="0" w:line="125" w:lineRule="exact"/>
        <w:rPr>
          <w:sz w:val="20"/>
          <w:szCs w:val="20"/>
          <w:color w:val="auto"/>
        </w:rPr>
      </w:pPr>
    </w:p>
    <w:p>
      <w:pPr>
        <w:ind w:left="1360" w:right="419" w:firstLine="343"/>
        <w:spacing w:after="0" w:line="267" w:lineRule="auto"/>
        <w:rPr>
          <w:sz w:val="20"/>
          <w:szCs w:val="20"/>
          <w:color w:val="auto"/>
        </w:rPr>
      </w:pPr>
      <w:r>
        <w:rPr>
          <w:rFonts w:ascii="Times New Roman" w:cs="Times New Roman" w:eastAsia="Times New Roman" w:hAnsi="Times New Roman"/>
          <w:sz w:val="14"/>
          <w:szCs w:val="14"/>
          <w:color w:val="auto"/>
        </w:rPr>
        <w:t>Our net tangible book value as of December 31, 2023 was $(603.0) million, or $(0.90) per share, based on the total number of shares of our common stock outstanding as of December 31, 2023. Net tangible book value per share is determined by subtracting our total liabilities from the total book value of our tangible assets and dividing the difference by the number of shares of common stock deemed to be outstanding at that date.</w:t>
      </w:r>
    </w:p>
    <w:p>
      <w:pPr>
        <w:spacing w:after="0" w:line="136" w:lineRule="exact"/>
        <w:rPr>
          <w:sz w:val="20"/>
          <w:szCs w:val="20"/>
          <w:color w:val="auto"/>
        </w:rPr>
      </w:pPr>
    </w:p>
    <w:p>
      <w:pPr>
        <w:ind w:left="1360" w:right="379" w:firstLine="343"/>
        <w:spacing w:after="0" w:line="258" w:lineRule="auto"/>
        <w:rPr>
          <w:sz w:val="20"/>
          <w:szCs w:val="20"/>
          <w:color w:val="auto"/>
        </w:rPr>
      </w:pPr>
      <w:r>
        <w:rPr>
          <w:rFonts w:ascii="Times New Roman" w:cs="Times New Roman" w:eastAsia="Times New Roman" w:hAnsi="Times New Roman"/>
          <w:sz w:val="14"/>
          <w:szCs w:val="14"/>
          <w:color w:val="auto"/>
        </w:rPr>
        <w:t>After giving effect to the assumed sale of 58,862,037 shares of common stock in the aggregate amount of $300,785,011 at an assumed public offering price of $5.11 per share, the closing price of our common stock on April 12, 2024, and after deduction of commissions and estimated offering expenses payable by us, our as adjusted net tangible book value as of December 31, 2023 would have been approximately $(309.2) million, or $(0.42) per share. This represents an immediate increase in pro forma as adjusted net tangible book value of $0.48 per share to our existing stockholders and immediate dilution of $5.53 per share to new investors purchasing common stock in this offering.</w:t>
      </w:r>
    </w:p>
    <w:p>
      <w:pPr>
        <w:spacing w:after="0" w:line="144" w:lineRule="exact"/>
        <w:rPr>
          <w:sz w:val="20"/>
          <w:szCs w:val="20"/>
          <w:color w:val="auto"/>
        </w:rPr>
      </w:pPr>
    </w:p>
    <w:tbl>
      <w:tblPr>
        <w:tblLayout w:type="fixed"/>
        <w:tblInd w:w="1700" w:type="dxa"/>
        <w:tblCellMar>
          <w:top w:w="0" w:type="dxa"/>
          <w:left w:w="0" w:type="dxa"/>
          <w:bottom w:w="0" w:type="dxa"/>
          <w:right w:w="0" w:type="dxa"/>
        </w:tblCellMar>
      </w:tblPr>
      <w:tr>
        <w:trPr>
          <w:trHeight w:val="183"/>
        </w:trPr>
        <w:tc>
          <w:tcPr>
            <w:tcW w:w="5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illustrates this dilution on a per share basis to new investors:</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00" w:type="dxa"/>
            <w:vAlign w:val="bottom"/>
            <w:vMerge w:val="continue"/>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public offering price per share</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$ 5.11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4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tangible book value per share as of December 31, 2023</w:t>
            </w:r>
          </w:p>
        </w:tc>
        <w:tc>
          <w:tcPr>
            <w:tcW w:w="116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$(0.90)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00" w:type="dxa"/>
            <w:vAlign w:val="bottom"/>
          </w:tcPr>
          <w:p>
            <w:pPr>
              <w:spacing w:after="0"/>
              <w:rPr>
                <w:sz w:val="13"/>
                <w:szCs w:val="13"/>
                <w:color w:val="auto"/>
              </w:rPr>
            </w:pPr>
          </w:p>
        </w:tc>
        <w:tc>
          <w:tcPr>
            <w:tcW w:w="4900" w:type="dxa"/>
            <w:vAlign w:val="bottom"/>
            <w:shd w:val="clear" w:color="auto" w:fill="CCEEFF"/>
          </w:tcPr>
          <w:p>
            <w:pPr>
              <w:ind w:left="260"/>
              <w:spacing w:after="0" w:line="153" w:lineRule="exact"/>
              <w:rPr>
                <w:sz w:val="20"/>
                <w:szCs w:val="20"/>
                <w:color w:val="auto"/>
              </w:rPr>
            </w:pPr>
            <w:r>
              <w:rPr>
                <w:rFonts w:ascii="Times New Roman" w:cs="Times New Roman" w:eastAsia="Times New Roman" w:hAnsi="Times New Roman"/>
                <w:sz w:val="14"/>
                <w:szCs w:val="14"/>
                <w:color w:val="auto"/>
              </w:rPr>
              <w:t>Increase in net tangible book value per share attributable to new investors</w:t>
            </w:r>
          </w:p>
        </w:tc>
        <w:tc>
          <w:tcPr>
            <w:tcW w:w="3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9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purchasing shares in this offering</w:t>
            </w: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w w:val="97"/>
              </w:rPr>
              <w:t>$ 0.48</w:t>
            </w: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00" w:type="dxa"/>
            <w:vAlign w:val="bottom"/>
            <w:gridSpan w:val="2"/>
          </w:tcPr>
          <w:p>
            <w:pPr>
              <w:ind w:left="680"/>
              <w:spacing w:after="0" w:line="155" w:lineRule="exact"/>
              <w:rPr>
                <w:sz w:val="20"/>
                <w:szCs w:val="20"/>
                <w:color w:val="auto"/>
              </w:rPr>
            </w:pPr>
            <w:r>
              <w:rPr>
                <w:rFonts w:ascii="Times New Roman" w:cs="Times New Roman" w:eastAsia="Times New Roman" w:hAnsi="Times New Roman"/>
                <w:sz w:val="14"/>
                <w:szCs w:val="14"/>
                <w:color w:val="auto"/>
              </w:rPr>
              <w:t>Pro forma as adjusted net tangible book value per share after giving effect to this</w:t>
            </w:r>
          </w:p>
        </w:tc>
        <w:tc>
          <w:tcPr>
            <w:tcW w:w="3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4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offering</w:t>
            </w:r>
          </w:p>
        </w:tc>
        <w:tc>
          <w:tcPr>
            <w:tcW w:w="1160" w:type="dxa"/>
            <w:vAlign w:val="bottom"/>
            <w:gridSpan w:val="3"/>
          </w:tcPr>
          <w:p>
            <w:pPr>
              <w:spacing w:after="0"/>
              <w:rPr>
                <w:sz w:val="15"/>
                <w:szCs w:val="15"/>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(0.42)</w:t>
            </w: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00" w:type="dxa"/>
            <w:vAlign w:val="bottom"/>
            <w:vMerge w:val="continue"/>
          </w:tcPr>
          <w:p>
            <w:pPr>
              <w:spacing w:after="0"/>
              <w:rPr>
                <w:sz w:val="14"/>
                <w:szCs w:val="14"/>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new investors participating in this offering</w:t>
            </w: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360" w:right="439" w:firstLine="343"/>
        <w:spacing w:after="0" w:line="267" w:lineRule="auto"/>
        <w:rPr>
          <w:sz w:val="20"/>
          <w:szCs w:val="20"/>
          <w:color w:val="auto"/>
        </w:rPr>
      </w:pPr>
      <w:r>
        <w:rPr>
          <w:rFonts w:ascii="Times New Roman" w:cs="Times New Roman" w:eastAsia="Times New Roman" w:hAnsi="Times New Roman"/>
          <w:sz w:val="14"/>
          <w:szCs w:val="14"/>
          <w:color w:val="auto"/>
        </w:rPr>
        <w:t>We may also increase or decrease the aggregate dollar amount of shares we are offering from the amount set forth above. The information discussed above is illustrative only and will adjust based on the actual public offering price, the actual number of shares that we offer in this offering, and other terms of this offering determined at the time of each offer and sale.</w:t>
      </w:r>
    </w:p>
    <w:p>
      <w:pPr>
        <w:spacing w:after="0" w:line="13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The number of shares of common stock to be outstanding after this offering is based on 670,867,344 shares of common stock outstanding as of</w:t>
      </w:r>
    </w:p>
    <w:p>
      <w:pPr>
        <w:spacing w:after="0" w:line="2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4"/>
          <w:szCs w:val="14"/>
          <w:color w:val="auto"/>
        </w:rPr>
        <w:t>December 31, 2023 and excludes the following:</w:t>
      </w:r>
    </w:p>
    <w:p>
      <w:pPr>
        <w:spacing w:after="0" w:line="87" w:lineRule="exact"/>
        <w:rPr>
          <w:sz w:val="20"/>
          <w:szCs w:val="20"/>
          <w:color w:val="auto"/>
        </w:rPr>
      </w:pPr>
    </w:p>
    <w:p>
      <w:pPr>
        <w:ind w:left="2120" w:right="77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 shares issued to GlobeImmune, Inc., our consolidated subsidiary, which are treated as treasury stock for purposes of U.S. generally accepted accounting principles;</w:t>
      </w:r>
    </w:p>
    <w:p>
      <w:pPr>
        <w:spacing w:after="0" w:line="51" w:lineRule="exact"/>
        <w:rPr>
          <w:rFonts w:ascii="Times New Roman" w:cs="Times New Roman" w:eastAsia="Times New Roman" w:hAnsi="Times New Roman"/>
          <w:sz w:val="14"/>
          <w:szCs w:val="14"/>
          <w:color w:val="auto"/>
        </w:rPr>
      </w:pPr>
    </w:p>
    <w:p>
      <w:pPr>
        <w:ind w:left="2120" w:right="89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9,820,435 shares of our common stock issuable upon exercise of options to purchase common stock that were outstanding as of December 31, 2023;</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7,503,979 shares of our common stock issuable upon the vesting of restricted stock units that were outstanding as of December 31, 2023;</w:t>
      </w:r>
    </w:p>
    <w:p>
      <w:pPr>
        <w:spacing w:after="0" w:line="101" w:lineRule="exact"/>
        <w:rPr>
          <w:rFonts w:ascii="Times New Roman" w:cs="Times New Roman" w:eastAsia="Times New Roman" w:hAnsi="Times New Roman"/>
          <w:sz w:val="14"/>
          <w:szCs w:val="14"/>
          <w:color w:val="auto"/>
        </w:rPr>
      </w:pPr>
    </w:p>
    <w:p>
      <w:pPr>
        <w:ind w:left="2120" w:right="23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1,638,000 shares of our common stock subject to an outstanding warrant that will become exercisable if certain performance conditions are satisfied;</w:t>
      </w:r>
    </w:p>
    <w:p>
      <w:pPr>
        <w:spacing w:after="0" w:line="51" w:lineRule="exact"/>
        <w:rPr>
          <w:rFonts w:ascii="Times New Roman" w:cs="Times New Roman" w:eastAsia="Times New Roman" w:hAnsi="Times New Roman"/>
          <w:sz w:val="14"/>
          <w:szCs w:val="14"/>
          <w:color w:val="auto"/>
        </w:rPr>
      </w:pPr>
    </w:p>
    <w:p>
      <w:pPr>
        <w:ind w:left="2120" w:right="359" w:hanging="345"/>
        <w:spacing w:after="0" w:line="283" w:lineRule="auto"/>
        <w:tabs>
          <w:tab w:leader="none" w:pos="21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13,068,020 shares of our common stock reserved for future issuance under our 2015 Plan (there are no shares of common stock available for future issuance under the 2014 Plan);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6"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ind w:left="2120" w:right="499" w:hanging="345"/>
        <w:spacing w:after="0" w:line="296" w:lineRule="auto"/>
        <w:tabs>
          <w:tab w:leader="none" w:pos="21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our common stock issuable to the former stockholders of Altor, including Dr. Soon-Shiong and certain affiliates, in satisfaction of an aggregate of approximately $300.6 million in CVRs, which such stockholders may choose to receive in shares of our common stock, upon the first calendar year prior to December 31, 2026 in which worldwide net sales of N-803 exceed $1.0 billion;</w:t>
      </w:r>
    </w:p>
    <w:p>
      <w:pPr>
        <w:spacing w:after="0" w:line="46" w:lineRule="exact"/>
        <w:rPr>
          <w:rFonts w:ascii="Times New Roman" w:cs="Times New Roman" w:eastAsia="Times New Roman" w:hAnsi="Times New Roman"/>
          <w:sz w:val="13"/>
          <w:szCs w:val="13"/>
          <w:color w:val="auto"/>
        </w:rPr>
      </w:pPr>
    </w:p>
    <w:p>
      <w:pPr>
        <w:ind w:left="2120" w:right="379" w:hanging="345"/>
        <w:spacing w:after="0" w:line="258" w:lineRule="auto"/>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conversion of a $380.0 million Tranche 2 of a promissory note due December 31, 2025 bearing interest at 3-month Term SOFR plus 7.5% per annum, issued to Nant Capital, LLC, an affiliate of Dr. Soon-Shiong, for unpaid principal and interest at a conversion price of $8.2690 per share of common stock (subject to appropriate adjustment from time to time for any stock dividend, stock split, combination of shares, reorganization, recapitalization, reclassification or other similar event), which is convertible at the holder’s option;</w:t>
      </w:r>
    </w:p>
    <w:p>
      <w:pPr>
        <w:spacing w:after="0" w:line="70" w:lineRule="exact"/>
        <w:rPr>
          <w:rFonts w:ascii="Times New Roman" w:cs="Times New Roman" w:eastAsia="Times New Roman" w:hAnsi="Times New Roman"/>
          <w:sz w:val="14"/>
          <w:szCs w:val="14"/>
          <w:color w:val="auto"/>
        </w:rPr>
      </w:pPr>
    </w:p>
    <w:p>
      <w:pPr>
        <w:ind w:left="2120" w:right="339" w:hanging="345"/>
        <w:spacing w:after="0" w:line="261" w:lineRule="auto"/>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conversion of a $200.0 million September 2023 promissory note due September 11, 2026 bearing interest at 1-month Term SOFR plus 8.0% per annum, issued to Nant Capital, LLC , at a conversion price of $1.9350 per share of common stock (subject to appropriate adjustment from time to time for any stock dividend, stock split, combination of shares, reorganization, recapitalization, reclassification or other similar event), which is convertible at the holder’s option;</w:t>
      </w:r>
    </w:p>
    <w:p>
      <w:pPr>
        <w:spacing w:after="0" w:line="67" w:lineRule="exact"/>
        <w:rPr>
          <w:rFonts w:ascii="Times New Roman" w:cs="Times New Roman" w:eastAsia="Times New Roman" w:hAnsi="Times New Roman"/>
          <w:sz w:val="14"/>
          <w:szCs w:val="14"/>
          <w:color w:val="auto"/>
        </w:rPr>
      </w:pPr>
    </w:p>
    <w:p>
      <w:pPr>
        <w:ind w:left="2120" w:right="339" w:hanging="345"/>
        <w:spacing w:after="0" w:line="258" w:lineRule="auto"/>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conversion of a $30.0 million March 2023 promissory note due December 31, 2025 bearing interest at 3-month Term SOFR plus 8.0% per annum, issued to Nant Capital, LLC, for unpaid principal and interest at a conversion price of $2.28 per share of common stock (subject to appropriate adjustment from time to time for any stock dividend, stock split, combination of shares, reorganization, recapitalization, reclassification or other similar event), which is convertible at the holder’s option;</w:t>
      </w:r>
    </w:p>
    <w:p>
      <w:pPr>
        <w:spacing w:after="0" w:line="70"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9,090,909 shares of our common stock issuable upon the exercise of the warrants included in our December 2022 registered direct offering at an exercise price of $6.60 per share;</w:t>
      </w:r>
    </w:p>
    <w:p>
      <w:pPr>
        <w:spacing w:after="0" w:line="51" w:lineRule="exact"/>
        <w:rPr>
          <w:rFonts w:ascii="Times New Roman" w:cs="Times New Roman" w:eastAsia="Times New Roman" w:hAnsi="Times New Roman"/>
          <w:sz w:val="14"/>
          <w:szCs w:val="14"/>
          <w:color w:val="auto"/>
        </w:rPr>
      </w:pPr>
    </w:p>
    <w:p>
      <w:pPr>
        <w:ind w:left="2120" w:right="259" w:hanging="345"/>
        <w:spacing w:after="0" w:line="283" w:lineRule="auto"/>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14,072,615 shares of our common stock issuable upon the exercise of the warrants included in our February 2023 registered direct offering at an exercise price of $3.2946 per share;</w:t>
      </w:r>
    </w:p>
    <w:p>
      <w:pPr>
        <w:spacing w:after="0" w:line="51" w:lineRule="exact"/>
        <w:rPr>
          <w:rFonts w:ascii="Times New Roman" w:cs="Times New Roman" w:eastAsia="Times New Roman" w:hAnsi="Times New Roman"/>
          <w:sz w:val="14"/>
          <w:szCs w:val="14"/>
          <w:color w:val="auto"/>
        </w:rPr>
      </w:pPr>
    </w:p>
    <w:p>
      <w:pPr>
        <w:ind w:left="2120" w:right="219" w:hanging="345"/>
        <w:spacing w:after="0" w:line="283" w:lineRule="auto"/>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14,569,296 shares of our common stock issuable upon the exercise of the warrants included in our July 2023 registered direct offering at an exercise price of $3.2946 per share; and</w:t>
      </w:r>
    </w:p>
    <w:p>
      <w:pPr>
        <w:spacing w:after="0" w:line="51" w:lineRule="exact"/>
        <w:rPr>
          <w:rFonts w:ascii="Times New Roman" w:cs="Times New Roman" w:eastAsia="Times New Roman" w:hAnsi="Times New Roman"/>
          <w:sz w:val="14"/>
          <w:szCs w:val="14"/>
          <w:color w:val="auto"/>
        </w:rPr>
      </w:pPr>
    </w:p>
    <w:p>
      <w:pPr>
        <w:ind w:left="2120" w:right="239" w:hanging="345"/>
        <w:spacing w:after="0" w:line="261" w:lineRule="auto"/>
        <w:tabs>
          <w:tab w:leader="none" w:pos="212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shares of common stock that may be issued upon the exercise of the $10.0 million option held by Oberland, for which the price per share shall be determined by the 30-day trailing volume weighted-average price of our common stock, calculated from the date of exercise, and which option is exercisable by Oberland until the earliest of (i) December 29, 2028, (ii) a change of control of the company, or (iii) a sale of substantially all of the company’s assets.</w:t>
      </w:r>
    </w:p>
    <w:p>
      <w:pPr>
        <w:spacing w:after="0" w:line="141"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In addition, unless we specifically state otherwise, all information in this prospectus assumes no exercise of outstanding stock options or warrants subsequent to December 31, 2023.</w:t>
      </w:r>
    </w:p>
    <w:p>
      <w:pPr>
        <w:spacing w:after="0" w:line="125" w:lineRule="exact"/>
        <w:rPr>
          <w:sz w:val="20"/>
          <w:szCs w:val="20"/>
          <w:color w:val="auto"/>
        </w:rPr>
      </w:pPr>
    </w:p>
    <w:p>
      <w:pPr>
        <w:ind w:left="1360" w:right="239" w:firstLine="343"/>
        <w:spacing w:after="0" w:line="283" w:lineRule="auto"/>
        <w:rPr>
          <w:sz w:val="20"/>
          <w:szCs w:val="20"/>
          <w:color w:val="auto"/>
        </w:rPr>
      </w:pPr>
      <w:r>
        <w:rPr>
          <w:rFonts w:ascii="Times New Roman" w:cs="Times New Roman" w:eastAsia="Times New Roman" w:hAnsi="Times New Roman"/>
          <w:sz w:val="14"/>
          <w:szCs w:val="14"/>
          <w:color w:val="auto"/>
        </w:rPr>
        <w:t>To the extent that options are exercised, new options are issued under our equity incentive plans, or we issue additional shares of common stock or securities convertible or exchangeable for our common stock in the future, there will be further dilution to investors participating in this offering.</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6"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77" w:lineRule="exact"/>
        <w:rPr>
          <w:sz w:val="20"/>
          <w:szCs w:val="20"/>
          <w:color w:val="auto"/>
        </w:rPr>
      </w:pPr>
    </w:p>
    <w:p>
      <w:pPr>
        <w:ind w:left="1360" w:right="299" w:firstLine="343"/>
        <w:spacing w:after="0" w:line="283" w:lineRule="auto"/>
        <w:rPr>
          <w:sz w:val="20"/>
          <w:szCs w:val="20"/>
          <w:color w:val="auto"/>
        </w:rPr>
      </w:pPr>
      <w:r>
        <w:rPr>
          <w:rFonts w:ascii="Times New Roman" w:cs="Times New Roman" w:eastAsia="Times New Roman" w:hAnsi="Times New Roman"/>
          <w:sz w:val="14"/>
          <w:szCs w:val="14"/>
          <w:color w:val="auto"/>
        </w:rPr>
        <w:t>We have entered into a sale agreement with Jefferies, under which we may offer and sell up to $500,000,000 of shares of our common stock from time to time through Jefferies acting as our sales agent. To date, we have sold $199,214,989 of such shares under the sale agreement.</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Sales, if any, of shares of our common stock under the sale agreement may be made by any method permitted by law, including without limitation</w:t>
      </w:r>
    </w:p>
    <w:p>
      <w:pPr>
        <w:spacing w:after="0" w:line="22" w:lineRule="exact"/>
        <w:rPr>
          <w:sz w:val="20"/>
          <w:szCs w:val="20"/>
          <w:color w:val="auto"/>
        </w:rPr>
      </w:pPr>
    </w:p>
    <w:p>
      <w:pPr>
        <w:ind w:left="1360" w:right="479" w:hanging="5"/>
        <w:spacing w:after="0" w:line="250" w:lineRule="auto"/>
        <w:tabs>
          <w:tab w:leader="none" w:pos="1527"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means of ordinary brokers’ transactions (whether or not solicited), (ii) to or through a market maker, (iii) directly on or through any national securities exchange or facility thereof, a trading facility of a national securities association, an alternative trading system, or any other market venue,</w:t>
      </w:r>
    </w:p>
    <w:p>
      <w:pPr>
        <w:spacing w:after="0" w:line="1" w:lineRule="exact"/>
        <w:rPr>
          <w:rFonts w:ascii="Times New Roman" w:cs="Times New Roman" w:eastAsia="Times New Roman" w:hAnsi="Times New Roman"/>
          <w:sz w:val="14"/>
          <w:szCs w:val="14"/>
          <w:color w:val="auto"/>
        </w:rPr>
      </w:pPr>
    </w:p>
    <w:p>
      <w:pPr>
        <w:ind w:left="1360" w:right="459" w:hanging="5"/>
        <w:spacing w:after="0" w:line="261" w:lineRule="auto"/>
        <w:tabs>
          <w:tab w:leader="none" w:pos="1597"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over-the-counter market, (v) in privately negotiated transactions with our consent, (vi) block transactions or (vii) through a combination of any such method.</w:t>
      </w:r>
    </w:p>
    <w:p>
      <w:pPr>
        <w:spacing w:after="0" w:line="140"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Each time we wish to issue and sell shares of our common stock under the sale agreement, we will notify the sales agent of the number of shares to be issued, the dates on which such sales are anticipated to be made, any limitation on the number of shares to be sold in any one day and any minimum price below which sales may not be made. Once we have so instructed the sales agent, unless the sales agent declines to accept the terms of such notice, the sales agent has agreed to use its commercially reasonable efforts consistent with its normal trading and sales practices to sell such shares up to the amount specified on such terms. The obligations of the sales agent under the sale agreement to sell shares of our common stock are subject to a number of conditions that we must meet. We or the sales agent may suspend the offering of shares of our common stock by notifying the other party.</w:t>
      </w:r>
    </w:p>
    <w:p>
      <w:pPr>
        <w:spacing w:after="0" w:line="143" w:lineRule="exact"/>
        <w:rPr>
          <w:sz w:val="20"/>
          <w:szCs w:val="20"/>
          <w:color w:val="auto"/>
        </w:rPr>
      </w:pPr>
    </w:p>
    <w:p>
      <w:pPr>
        <w:ind w:left="1360" w:right="219" w:firstLine="343"/>
        <w:spacing w:after="0" w:line="267" w:lineRule="auto"/>
        <w:rPr>
          <w:sz w:val="20"/>
          <w:szCs w:val="20"/>
          <w:color w:val="auto"/>
        </w:rPr>
      </w:pPr>
      <w:r>
        <w:rPr>
          <w:rFonts w:ascii="Times New Roman" w:cs="Times New Roman" w:eastAsia="Times New Roman" w:hAnsi="Times New Roman"/>
          <w:sz w:val="14"/>
          <w:szCs w:val="14"/>
          <w:color w:val="auto"/>
        </w:rPr>
        <w:t>The sale agreement also provides that we may also in the future enter into one or more terms agreements with the sales agent from time to time, on terms mutually satisfactory to us and the sales agent, to the extent we determine to sell shares of our common stock under the sale agreement directly to the sales agent as principal.</w:t>
      </w:r>
    </w:p>
    <w:p>
      <w:pPr>
        <w:spacing w:after="0" w:line="136" w:lineRule="exact"/>
        <w:rPr>
          <w:sz w:val="20"/>
          <w:szCs w:val="20"/>
          <w:color w:val="auto"/>
        </w:rPr>
      </w:pPr>
    </w:p>
    <w:p>
      <w:pPr>
        <w:ind w:left="1360" w:right="239" w:firstLine="343"/>
        <w:spacing w:after="0" w:line="257" w:lineRule="auto"/>
        <w:rPr>
          <w:sz w:val="20"/>
          <w:szCs w:val="20"/>
          <w:color w:val="auto"/>
        </w:rPr>
      </w:pPr>
      <w:r>
        <w:rPr>
          <w:rFonts w:ascii="Times New Roman" w:cs="Times New Roman" w:eastAsia="Times New Roman" w:hAnsi="Times New Roman"/>
          <w:sz w:val="14"/>
          <w:szCs w:val="14"/>
          <w:color w:val="auto"/>
        </w:rPr>
        <w:t>The settlement of sales of shares between the sales agent and us is generally anticipated to occur on the second trading day following the date on which the sale was made. Sales of shares of our common stock as contemplated in this prospectus will be settled through the facilities of The Depository Trust Company or by such other means as we and the sales agent may agree upon. Pursuant to recent amendments to Rule 15c6-1 of the Exchange Act, settlement for any securities offered under this prospectus on or after May 28, 2024, may occur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43" w:lineRule="exact"/>
        <w:rPr>
          <w:sz w:val="20"/>
          <w:szCs w:val="20"/>
          <w:color w:val="auto"/>
        </w:rPr>
      </w:pPr>
    </w:p>
    <w:p>
      <w:pPr>
        <w:ind w:left="1360" w:right="319" w:firstLine="343"/>
        <w:spacing w:after="0" w:line="261" w:lineRule="auto"/>
        <w:rPr>
          <w:sz w:val="20"/>
          <w:szCs w:val="20"/>
          <w:color w:val="auto"/>
        </w:rPr>
      </w:pPr>
      <w:r>
        <w:rPr>
          <w:rFonts w:ascii="Times New Roman" w:cs="Times New Roman" w:eastAsia="Times New Roman" w:hAnsi="Times New Roman"/>
          <w:sz w:val="14"/>
          <w:szCs w:val="14"/>
          <w:color w:val="auto"/>
        </w:rPr>
        <w:t>We will pay the sales agent a commission rate of up to 3.0% of the aggregate gross proceeds we receive from each sale of shares of our common stock. Because there is no minimum offering amount required as a condition to close this offering, the actual total public offering amount, commissions and proceeds to us, if any, are not determinable at this time. In addition, we have agreed to reimburse the sales agent for certain specified expenses, including the fees and disbursements of its legal counsel, under certain circumstances.</w:t>
      </w:r>
    </w:p>
    <w:p>
      <w:pPr>
        <w:spacing w:after="0" w:line="141" w:lineRule="exact"/>
        <w:rPr>
          <w:sz w:val="20"/>
          <w:szCs w:val="20"/>
          <w:color w:val="auto"/>
        </w:rPr>
      </w:pPr>
    </w:p>
    <w:p>
      <w:pPr>
        <w:ind w:left="1360" w:right="279" w:firstLine="343"/>
        <w:spacing w:after="0" w:line="258" w:lineRule="auto"/>
        <w:rPr>
          <w:sz w:val="20"/>
          <w:szCs w:val="20"/>
          <w:color w:val="auto"/>
        </w:rPr>
      </w:pPr>
      <w:r>
        <w:rPr>
          <w:rFonts w:ascii="Times New Roman" w:cs="Times New Roman" w:eastAsia="Times New Roman" w:hAnsi="Times New Roman"/>
          <w:sz w:val="14"/>
          <w:szCs w:val="14"/>
          <w:color w:val="auto"/>
        </w:rPr>
        <w:t>We estimate that the total expenses for the offering, excluding any commissions or expense reimbursement payable to the sales agent under the terms of the sale agreement, will be approximately $160,000. The remaining sale proceeds, after deducting any other transaction fees, will equal our net proceeds from the sale of such shares. The sales agent will provide written confirmation to us before the open on The Nasdaq Global Select Market on the day following each day on which shares of our common stock are sold under the sale agreement. Each confirmation will include the number of shares sold on that day, the aggregate gross proceeds of such sales and the proceeds to us.</w:t>
      </w:r>
    </w:p>
    <w:p>
      <w:pPr>
        <w:spacing w:after="0" w:line="144" w:lineRule="exact"/>
        <w:rPr>
          <w:sz w:val="20"/>
          <w:szCs w:val="20"/>
          <w:color w:val="auto"/>
        </w:rPr>
      </w:pPr>
    </w:p>
    <w:p>
      <w:pPr>
        <w:ind w:left="1360" w:right="259" w:firstLine="343"/>
        <w:spacing w:after="0" w:line="261" w:lineRule="auto"/>
        <w:rPr>
          <w:sz w:val="20"/>
          <w:szCs w:val="20"/>
          <w:color w:val="auto"/>
        </w:rPr>
      </w:pPr>
      <w:r>
        <w:rPr>
          <w:rFonts w:ascii="Times New Roman" w:cs="Times New Roman" w:eastAsia="Times New Roman" w:hAnsi="Times New Roman"/>
          <w:sz w:val="14"/>
          <w:szCs w:val="14"/>
          <w:color w:val="auto"/>
        </w:rPr>
        <w:t>In connection with the sale of shares of our common stock on our behalf, the sales agent may be deemed to be an “underwriter” within the meaning of the Securities Act, and the compensation of the sales agent may be deemed to be underwriting commissions or discounts. We have agreed to indemnify the sales agent against certain civil liabilities, including liabilities under the Securities Act. We have also agreed to contribute to payments the sales agent may be required to make in respect of such liabilities.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6"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51" w:lineRule="exact"/>
        <w:rPr>
          <w:sz w:val="20"/>
          <w:szCs w:val="20"/>
          <w:color w:val="auto"/>
        </w:rPr>
      </w:pPr>
    </w:p>
    <w:p>
      <w:pPr>
        <w:jc w:val="both"/>
        <w:ind w:left="1360" w:right="299" w:firstLine="343"/>
        <w:spacing w:after="0" w:line="267" w:lineRule="auto"/>
        <w:rPr>
          <w:sz w:val="20"/>
          <w:szCs w:val="20"/>
          <w:color w:val="auto"/>
        </w:rPr>
      </w:pPr>
      <w:r>
        <w:rPr>
          <w:rFonts w:ascii="Times New Roman" w:cs="Times New Roman" w:eastAsia="Times New Roman" w:hAnsi="Times New Roman"/>
          <w:sz w:val="14"/>
          <w:szCs w:val="14"/>
          <w:color w:val="auto"/>
        </w:rPr>
        <w:t>The offering of shares of our common stock pursuant to the sale agreement will terminate upon the earlier of (i) the sale of all shares of common stock subject to the sale agreement and (ii) the termination of the sale agreement as permitted therein. The sales agent may terminate the sale agreement at any time upon prior notice. We may terminate the sale agreement at any time upon prior notice.</w:t>
      </w:r>
    </w:p>
    <w:p>
      <w:pPr>
        <w:spacing w:after="0" w:line="136" w:lineRule="exact"/>
        <w:rPr>
          <w:sz w:val="20"/>
          <w:szCs w:val="20"/>
          <w:color w:val="auto"/>
        </w:rPr>
      </w:pPr>
    </w:p>
    <w:p>
      <w:pPr>
        <w:jc w:val="both"/>
        <w:ind w:left="1360" w:right="319" w:firstLine="343"/>
        <w:spacing w:after="0" w:line="267" w:lineRule="auto"/>
        <w:rPr>
          <w:sz w:val="20"/>
          <w:szCs w:val="20"/>
          <w:color w:val="auto"/>
        </w:rPr>
      </w:pPr>
      <w:r>
        <w:rPr>
          <w:rFonts w:ascii="Times New Roman" w:cs="Times New Roman" w:eastAsia="Times New Roman" w:hAnsi="Times New Roman"/>
          <w:sz w:val="14"/>
          <w:szCs w:val="14"/>
          <w:color w:val="auto"/>
        </w:rPr>
        <w:t>This summary of the material provisions of the sale agreement does not purport to be a complete statement of its terms and conditions. A copy of the sale agreement is filed as an exhibit to a Current Report on Form 8-K filed under the Securities Exchange Act of 1934, as amended (the “Exchange Act”) and incorporated by reference in this prospectus.</w:t>
      </w:r>
    </w:p>
    <w:p>
      <w:pPr>
        <w:spacing w:after="0" w:line="136" w:lineRule="exact"/>
        <w:rPr>
          <w:sz w:val="20"/>
          <w:szCs w:val="20"/>
          <w:color w:val="auto"/>
        </w:rPr>
      </w:pPr>
    </w:p>
    <w:p>
      <w:pPr>
        <w:ind w:left="1360" w:right="239" w:firstLine="343"/>
        <w:spacing w:after="0" w:line="261" w:lineRule="auto"/>
        <w:rPr>
          <w:sz w:val="20"/>
          <w:szCs w:val="20"/>
          <w:color w:val="auto"/>
        </w:rPr>
      </w:pPr>
      <w:r>
        <w:rPr>
          <w:rFonts w:ascii="Times New Roman" w:cs="Times New Roman" w:eastAsia="Times New Roman" w:hAnsi="Times New Roman"/>
          <w:sz w:val="14"/>
          <w:szCs w:val="14"/>
          <w:color w:val="auto"/>
        </w:rPr>
        <w:t>The sales agent and its affiliates may in the future provide various investment banking, commercial banking, financial advisory and other financial services for us and our affiliates, for which services it may in the future receive customary fees. In the course of its business, the sales agent may actively trade our securities for its own account or for the accounts of customers, and, accordingly, the sales agent may at any time hold long or short positions in such securities.</w:t>
      </w:r>
    </w:p>
    <w:p>
      <w:pPr>
        <w:spacing w:after="0" w:line="141" w:lineRule="exact"/>
        <w:rPr>
          <w:sz w:val="20"/>
          <w:szCs w:val="20"/>
          <w:color w:val="auto"/>
        </w:rPr>
      </w:pPr>
    </w:p>
    <w:p>
      <w:pPr>
        <w:ind w:left="1360" w:right="499" w:firstLine="343"/>
        <w:spacing w:after="0" w:line="283" w:lineRule="auto"/>
        <w:rPr>
          <w:sz w:val="20"/>
          <w:szCs w:val="20"/>
          <w:color w:val="auto"/>
        </w:rPr>
      </w:pPr>
      <w:r>
        <w:rPr>
          <w:rFonts w:ascii="Times New Roman" w:cs="Times New Roman" w:eastAsia="Times New Roman" w:hAnsi="Times New Roman"/>
          <w:sz w:val="14"/>
          <w:szCs w:val="14"/>
          <w:color w:val="auto"/>
        </w:rPr>
        <w:t>This prospectus in electronic format may be made available on a website maintained by the sales agent, and the sales agent may distribute this prospectus electronically.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6"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4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ind w:left="1360" w:right="579" w:firstLine="343"/>
        <w:spacing w:after="0" w:line="283" w:lineRule="auto"/>
        <w:rPr>
          <w:sz w:val="20"/>
          <w:szCs w:val="20"/>
          <w:color w:val="auto"/>
        </w:rPr>
      </w:pPr>
      <w:r>
        <w:rPr>
          <w:rFonts w:ascii="Times New Roman" w:cs="Times New Roman" w:eastAsia="Times New Roman" w:hAnsi="Times New Roman"/>
          <w:sz w:val="14"/>
          <w:szCs w:val="14"/>
          <w:color w:val="auto"/>
        </w:rPr>
        <w:t>The validity of the securities offered hereby will be passed upon for us by Wilson Sonsini Goodrich &amp; Rosati, Professional Corporation, San Diego, California. Goodwin Procter LLP, Redwood City, California is representing the sales agent in connection with the offering.</w:t>
      </w:r>
    </w:p>
    <w:p>
      <w:pPr>
        <w:spacing w:after="0" w:line="2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1360" w:right="219" w:firstLine="343"/>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ImmunityBio, Inc. appearing in ImmunityBio,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30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1360" w:right="459" w:firstLine="343"/>
        <w:spacing w:after="0" w:line="267"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information with the SEC. Our SEC filings are available to the public over the Internet at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Copies of certain information filed by us with the SEC are also available on our website at </w:t>
      </w:r>
      <w:r>
        <w:rPr>
          <w:rFonts w:ascii="Times New Roman" w:cs="Times New Roman" w:eastAsia="Times New Roman" w:hAnsi="Times New Roman"/>
          <w:sz w:val="14"/>
          <w:szCs w:val="14"/>
          <w:i w:val="1"/>
          <w:iCs w:val="1"/>
          <w:color w:val="auto"/>
        </w:rPr>
        <w:t>www.immunitybio.com</w:t>
      </w:r>
      <w:r>
        <w:rPr>
          <w:rFonts w:ascii="Times New Roman" w:cs="Times New Roman" w:eastAsia="Times New Roman" w:hAnsi="Times New Roman"/>
          <w:sz w:val="14"/>
          <w:szCs w:val="14"/>
          <w:color w:val="auto"/>
        </w:rPr>
        <w:t>. Information accessible on or through our website is not a part of this prospectus.</w:t>
      </w:r>
    </w:p>
    <w:p>
      <w:pPr>
        <w:spacing w:after="0" w:line="136" w:lineRule="exact"/>
        <w:rPr>
          <w:sz w:val="20"/>
          <w:szCs w:val="20"/>
          <w:color w:val="auto"/>
        </w:rPr>
      </w:pPr>
    </w:p>
    <w:p>
      <w:pPr>
        <w:ind w:left="1360" w:right="259" w:firstLine="343"/>
        <w:spacing w:after="0" w:line="257"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documents establishing the terms of the offered securities are filed as exhibits to the registration statement of which this prospectus forms a part or under cover of a Current Report on Form 8-K and incorporated in this prospectus by reference. Statements in this prospectus about these documents are summaries and each statement is qualified in all respects by reference to the document to which it refers. You should read the actual documents for a more complete description of the relevant matters.</w:t>
      </w:r>
    </w:p>
    <w:p>
      <w:pPr>
        <w:spacing w:after="0" w:line="30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77" w:lineRule="exact"/>
        <w:rPr>
          <w:sz w:val="20"/>
          <w:szCs w:val="20"/>
          <w:color w:val="auto"/>
        </w:rPr>
      </w:pPr>
    </w:p>
    <w:p>
      <w:pPr>
        <w:ind w:left="1360" w:right="299" w:firstLine="343"/>
        <w:spacing w:after="0" w:line="254" w:lineRule="auto"/>
        <w:rPr>
          <w:sz w:val="20"/>
          <w:szCs w:val="20"/>
          <w:color w:val="auto"/>
        </w:rPr>
      </w:pPr>
      <w:r>
        <w:rPr>
          <w:rFonts w:ascii="Times New Roman" w:cs="Times New Roman" w:eastAsia="Times New Roman" w:hAnsi="Times New Roman"/>
          <w:sz w:val="14"/>
          <w:szCs w:val="14"/>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forms a part is terminated or completed:</w:t>
      </w:r>
    </w:p>
    <w:p>
      <w:pPr>
        <w:spacing w:after="0" w:line="73" w:lineRule="exact"/>
        <w:rPr>
          <w:sz w:val="20"/>
          <w:szCs w:val="20"/>
          <w:color w:val="auto"/>
        </w:rPr>
      </w:pPr>
    </w:p>
    <w:p>
      <w:pPr>
        <w:ind w:left="2120" w:hanging="345"/>
        <w:spacing w:after="0"/>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Form 10-K for the year ended December 31, 2023, filed with the SEC on </w:t>
      </w:r>
      <w:hyperlink r:id="rId80">
        <w:r>
          <w:rPr>
            <w:rFonts w:ascii="Times New Roman" w:cs="Times New Roman" w:eastAsia="Times New Roman" w:hAnsi="Times New Roman"/>
            <w:sz w:val="14"/>
            <w:szCs w:val="14"/>
            <w:u w:val="single" w:color="auto"/>
            <w:color w:val="0000EE"/>
          </w:rPr>
          <w:t>March 19, 2024</w:t>
        </w:r>
      </w:hyperlink>
      <w:r>
        <w:rPr>
          <w:rFonts w:ascii="Times New Roman" w:cs="Times New Roman" w:eastAsia="Times New Roman" w:hAnsi="Times New Roman"/>
          <w:sz w:val="14"/>
          <w:szCs w:val="14"/>
          <w:color w:val="auto"/>
        </w:rPr>
        <w:t>;</w:t>
      </w:r>
    </w:p>
    <w:p>
      <w:pPr>
        <w:spacing w:after="0" w:line="101" w:lineRule="exact"/>
        <w:rPr>
          <w:rFonts w:ascii="Times New Roman" w:cs="Times New Roman" w:eastAsia="Times New Roman" w:hAnsi="Times New Roman"/>
          <w:sz w:val="14"/>
          <w:szCs w:val="14"/>
          <w:color w:val="auto"/>
        </w:rPr>
      </w:pPr>
    </w:p>
    <w:p>
      <w:pPr>
        <w:ind w:left="2120" w:right="1039" w:hanging="345"/>
        <w:spacing w:after="0" w:line="283" w:lineRule="auto"/>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incorporated by reference into our Annual Report on Form 10-K for the year ended December 31, 2022 from our Definitive Proxy Statement on Schedule 14A, filed with the SEC on </w:t>
      </w:r>
      <w:hyperlink r:id="rId99">
        <w:r>
          <w:rPr>
            <w:rFonts w:ascii="Times New Roman" w:cs="Times New Roman" w:eastAsia="Times New Roman" w:hAnsi="Times New Roman"/>
            <w:sz w:val="14"/>
            <w:szCs w:val="14"/>
            <w:u w:val="single" w:color="auto"/>
            <w:color w:val="0000EE"/>
          </w:rPr>
          <w:t>April 28, 2023</w:t>
        </w:r>
      </w:hyperlink>
      <w:r>
        <w:rPr>
          <w:rFonts w:ascii="Times New Roman" w:cs="Times New Roman" w:eastAsia="Times New Roman" w:hAnsi="Times New Roman"/>
          <w:sz w:val="14"/>
          <w:szCs w:val="14"/>
          <w:color w:val="auto"/>
        </w:rPr>
        <w:t>;</w:t>
      </w:r>
    </w:p>
    <w:p>
      <w:pPr>
        <w:spacing w:after="0" w:line="51" w:lineRule="exact"/>
        <w:rPr>
          <w:rFonts w:ascii="Times New Roman" w:cs="Times New Roman" w:eastAsia="Times New Roman" w:hAnsi="Times New Roman"/>
          <w:sz w:val="14"/>
          <w:szCs w:val="14"/>
          <w:color w:val="auto"/>
        </w:rPr>
      </w:pPr>
    </w:p>
    <w:p>
      <w:pPr>
        <w:ind w:left="2120" w:hanging="345"/>
        <w:spacing w:after="0"/>
        <w:tabs>
          <w:tab w:leader="none" w:pos="212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Form 8-K filed with the SEC on </w:t>
      </w:r>
      <w:hyperlink r:id="rId142">
        <w:r>
          <w:rPr>
            <w:rFonts w:ascii="Times New Roman" w:cs="Times New Roman" w:eastAsia="Times New Roman" w:hAnsi="Times New Roman"/>
            <w:sz w:val="14"/>
            <w:szCs w:val="14"/>
            <w:u w:val="single" w:color="auto"/>
            <w:color w:val="0000EE"/>
          </w:rPr>
          <w:t>January 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102">
        <w:r>
          <w:rPr>
            <w:rFonts w:ascii="Times New Roman" w:cs="Times New Roman" w:eastAsia="Times New Roman" w:hAnsi="Times New Roman"/>
            <w:sz w:val="14"/>
            <w:szCs w:val="14"/>
            <w:u w:val="single" w:color="auto"/>
            <w:color w:val="0000EE"/>
          </w:rPr>
          <w:t>February 26, 2024</w:t>
        </w:r>
      </w:hyperlink>
      <w:r>
        <w:rPr>
          <w:rFonts w:ascii="Times New Roman" w:cs="Times New Roman" w:eastAsia="Times New Roman" w:hAnsi="Times New Roman"/>
          <w:sz w:val="14"/>
          <w:szCs w:val="14"/>
          <w:color w:val="auto"/>
        </w:rPr>
        <w:t>; and</w:t>
      </w:r>
    </w:p>
    <w:p>
      <w:pPr>
        <w:spacing w:after="0" w:line="123"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6"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Table of Contents</w:t>
      </w:r>
    </w:p>
    <w:p>
      <w:pPr>
        <w:spacing w:after="0" w:line="251" w:lineRule="exact"/>
        <w:rPr>
          <w:sz w:val="20"/>
          <w:szCs w:val="20"/>
          <w:color w:val="auto"/>
        </w:rPr>
      </w:pPr>
    </w:p>
    <w:p>
      <w:pPr>
        <w:ind w:left="2120" w:right="319" w:hanging="345"/>
        <w:spacing w:after="0" w:line="283" w:lineRule="auto"/>
        <w:tabs>
          <w:tab w:leader="none" w:pos="21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w:t>
      </w:r>
      <w:hyperlink r:id="rId80">
        <w:r>
          <w:rPr>
            <w:rFonts w:ascii="Times New Roman" w:cs="Times New Roman" w:eastAsia="Times New Roman" w:hAnsi="Times New Roman"/>
            <w:sz w:val="14"/>
            <w:szCs w:val="14"/>
            <w:u w:val="single" w:color="auto"/>
            <w:color w:val="0000EE"/>
          </w:rPr>
          <w:t>Exhibit 4.7</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year ended December 31, 2023, filed with the SEC on March 19, 2024, including any amendment or report filed for the purpose of updating such description.</w:t>
      </w:r>
    </w:p>
    <w:p>
      <w:pPr>
        <w:spacing w:after="0" w:line="1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and telephone number:</w:t>
      </w:r>
    </w:p>
    <w:p>
      <w:pPr>
        <w:spacing w:after="0" w:line="1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ImmunityBio, Inc.</w:t>
      </w:r>
    </w:p>
    <w:p>
      <w:pPr>
        <w:spacing w:after="0" w:line="2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3530 John Hopkins Court</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San Diego, CA 92121</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(844) 696-5235</w:t>
      </w:r>
    </w:p>
    <w:p>
      <w:pPr>
        <w:spacing w:after="0" w:line="159" w:lineRule="exact"/>
        <w:rPr>
          <w:sz w:val="20"/>
          <w:szCs w:val="20"/>
          <w:color w:val="auto"/>
        </w:rPr>
      </w:pPr>
    </w:p>
    <w:p>
      <w:pPr>
        <w:ind w:left="1360" w:right="299"/>
        <w:spacing w:after="0" w:line="262" w:lineRule="auto"/>
        <w:rPr>
          <w:sz w:val="20"/>
          <w:szCs w:val="20"/>
          <w:color w:val="auto"/>
        </w:rPr>
      </w:pPr>
      <w:r>
        <w:rPr>
          <w:rFonts w:ascii="Times New Roman" w:cs="Times New Roman" w:eastAsia="Times New Roman" w:hAnsi="Times New Roman"/>
          <w:sz w:val="14"/>
          <w:szCs w:val="14"/>
          <w:b w:val="1"/>
          <w:bCs w:val="1"/>
          <w:color w:val="auto"/>
        </w:rPr>
        <w:t>You may also access the documents incorporated by reference in this prospectus through our website at www.immunitybio.com. Except for the specific incorporated documents listed above, no information available on or through our website shall be deemed to be incorporated in this prospectus or the registration statement of which it forms a part. Inclusion of our website address in this prospectus is an inactive textual reference only.</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6"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2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7201535" cy="3238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196215</wp:posOffset>
            </wp:positionV>
            <wp:extent cx="544703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5447030" cy="1333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236220</wp:posOffset>
            </wp:positionV>
            <wp:extent cx="544703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6">
                      <a:extLst>
                        <a:ext uri="{28A0092B-C50C-407E-A947-70E740481C1C}"/>
                      </a:extLst>
                    </a:blip>
                    <a:srcRect/>
                    <a:stretch>
                      <a:fillRect/>
                    </a:stretch>
                  </pic:blipFill>
                  <pic:spPr bwMode="auto">
                    <a:xfrm>
                      <a:off x="0" y="0"/>
                      <a:ext cx="5447030" cy="698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29,629,632 Shares of Common Stock</w:t>
      </w:r>
    </w:p>
    <w:p>
      <w:pPr>
        <w:spacing w:after="0" w:line="16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9"/>
          <w:szCs w:val="19"/>
          <w:b w:val="1"/>
          <w:bCs w:val="1"/>
          <w:color w:val="auto"/>
        </w:rPr>
        <w:t>Warrants to Purchase up to 29,629,632 Shares of Common Stock</w:t>
      </w:r>
    </w:p>
    <w:p>
      <w:pPr>
        <w:spacing w:after="0" w:line="18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16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20"/>
          <w:szCs w:val="20"/>
          <w:b w:val="1"/>
          <w:bCs w:val="1"/>
          <w:color w:val="auto"/>
        </w:rPr>
        <w:t>the Shares of Common Stock underlying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1797050</wp:posOffset>
            </wp:positionV>
            <wp:extent cx="114173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7">
                      <a:extLst>
                        <a:ext uri="{28A0092B-C50C-407E-A947-70E740481C1C}"/>
                      </a:extLst>
                    </a:blip>
                    <a:srcRect/>
                    <a:stretch>
                      <a:fillRect/>
                    </a:stretch>
                  </pic:blipFill>
                  <pic:spPr bwMode="auto">
                    <a:xfrm>
                      <a:off x="0" y="0"/>
                      <a:ext cx="1141730" cy="698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261620</wp:posOffset>
            </wp:positionV>
            <wp:extent cx="1809115" cy="494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8">
                      <a:extLst>
                        <a:ext uri="{28A0092B-C50C-407E-A947-70E740481C1C}"/>
                      </a:extLst>
                    </a:blip>
                    <a:srcRect/>
                    <a:stretch>
                      <a:fillRect/>
                    </a:stretch>
                  </pic:blipFill>
                  <pic:spPr bwMode="auto">
                    <a:xfrm>
                      <a:off x="0" y="0"/>
                      <a:ext cx="1809115" cy="494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185420</wp:posOffset>
            </wp:positionV>
            <wp:extent cx="114173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9">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Piper Sandler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color w:val="auto"/>
        </w:rPr>
        <w:t>July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387985</wp:posOffset>
            </wp:positionV>
            <wp:extent cx="544703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0">
                      <a:extLst>
                        <a:ext uri="{28A0092B-C50C-407E-A947-70E740481C1C}"/>
                      </a:extLst>
                    </a:blip>
                    <a:srcRect/>
                    <a:stretch>
                      <a:fillRect/>
                    </a:stretch>
                  </pic:blipFill>
                  <pic:spPr bwMode="auto">
                    <a:xfrm>
                      <a:off x="0" y="0"/>
                      <a:ext cx="5447030" cy="6985"/>
                    </a:xfrm>
                    <a:prstGeom prst="rect">
                      <a:avLst/>
                    </a:prstGeom>
                    <a:noFill/>
                  </pic:spPr>
                </pic:pic>
              </a:graphicData>
            </a:graphic>
          </wp:anchor>
        </w:drawing>
        <w:drawing>
          <wp:anchor simplePos="0" relativeHeight="251657728" behindDoc="1" locked="0" layoutInCell="0" allowOverlap="1">
            <wp:simplePos x="0" y="0"/>
            <wp:positionH relativeFrom="column">
              <wp:posOffset>863600</wp:posOffset>
            </wp:positionH>
            <wp:positionV relativeFrom="paragraph">
              <wp:posOffset>441325</wp:posOffset>
            </wp:positionV>
            <wp:extent cx="5447030"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1">
                      <a:extLst>
                        <a:ext uri="{28A0092B-C50C-407E-A947-70E740481C1C}"/>
                      </a:extLst>
                    </a:blip>
                    <a:srcRect/>
                    <a:stretch>
                      <a:fillRect/>
                    </a:stretch>
                  </pic:blipFill>
                  <pic:spPr bwMode="auto">
                    <a:xfrm>
                      <a:off x="0" y="0"/>
                      <a:ext cx="5447030" cy="13335"/>
                    </a:xfrm>
                    <a:prstGeom prst="rect">
                      <a:avLst/>
                    </a:prstGeom>
                    <a:noFill/>
                  </pic:spPr>
                </pic:pic>
              </a:graphicData>
            </a:graphic>
          </wp:anchor>
        </w:drawing>
      </w:r>
    </w:p>
    <w:p>
      <w:pPr>
        <w:sectPr>
          <w:pgSz w:w="11900" w:h="16838" w:orient="portrait"/>
          <w:cols w:equalWidth="0" w:num="1">
            <w:col w:w="10159"/>
          </w:cols>
          <w:pgMar w:left="300" w:top="386" w:right="1440" w:bottom="1440" w:gutter="0" w:footer="0" w:header="0"/>
          <w:type w:val="continuous"/>
        </w:sectPr>
      </w:pPr>
    </w:p>
    <w:bookmarkStart w:id="94" w:name="page95"/>
    <w:bookmarkEnd w:id="94"/>
    <w:p>
      <w:pPr>
        <w:ind w:left="3464"/>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24"/>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196"/>
        <w:spacing w:after="0"/>
        <w:rPr>
          <w:sz w:val="20"/>
          <w:szCs w:val="20"/>
          <w:color w:val="auto"/>
        </w:rPr>
      </w:pPr>
      <w:r>
        <w:rPr>
          <w:rFonts w:ascii="Arial" w:cs="Arial" w:eastAsia="Arial" w:hAnsi="Arial"/>
          <w:sz w:val="28"/>
          <w:szCs w:val="28"/>
          <w:b w:val="1"/>
          <w:bCs w:val="1"/>
          <w:color w:val="auto"/>
        </w:rPr>
        <w:t>ImmunityBio, Inc.</w:t>
      </w:r>
    </w:p>
    <w:p>
      <w:pPr>
        <w:spacing w:after="0" w:line="128" w:lineRule="exact"/>
        <w:rPr>
          <w:sz w:val="20"/>
          <w:szCs w:val="20"/>
          <w:color w:val="auto"/>
        </w:rPr>
      </w:pPr>
    </w:p>
    <w:p>
      <w:pPr>
        <w:jc w:val="center"/>
        <w:ind w:right="56"/>
        <w:spacing w:after="0"/>
        <w:rPr>
          <w:sz w:val="20"/>
          <w:szCs w:val="20"/>
          <w:color w:val="auto"/>
        </w:rPr>
      </w:pPr>
      <w:r>
        <w:rPr>
          <w:rFonts w:ascii="Arial" w:cs="Arial" w:eastAsia="Arial" w:hAnsi="Arial"/>
          <w:sz w:val="16"/>
          <w:szCs w:val="16"/>
          <w:b w:val="1"/>
          <w:bCs w:val="1"/>
          <w:color w:val="auto"/>
        </w:rPr>
        <w:t>Table 1: Newly Registered and Carry Forward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33655</wp:posOffset>
            </wp:positionV>
            <wp:extent cx="7214235" cy="48926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2">
                      <a:extLst>
                        <a:ext uri="{28A0092B-C50C-407E-A947-70E740481C1C}"/>
                      </a:extLst>
                    </a:blip>
                    <a:srcRect/>
                    <a:stretch>
                      <a:fillRect/>
                    </a:stretch>
                  </pic:blipFill>
                  <pic:spPr bwMode="auto">
                    <a:xfrm>
                      <a:off x="0" y="0"/>
                      <a:ext cx="7214235" cy="4892675"/>
                    </a:xfrm>
                    <a:prstGeom prst="rect">
                      <a:avLst/>
                    </a:prstGeom>
                    <a:noFill/>
                  </pic:spPr>
                </pic:pic>
              </a:graphicData>
            </a:graphic>
          </wp:anchor>
        </w:drawing>
      </w:r>
    </w:p>
    <w:p>
      <w:pPr>
        <w:sectPr>
          <w:pgSz w:w="11900" w:h="16838" w:orient="portrait"/>
          <w:cols w:equalWidth="0" w:num="1">
            <w:col w:w="11284"/>
          </w:cols>
          <w:pgMar w:left="336" w:top="142" w:right="279" w:bottom="1440" w:gutter="0" w:footer="0" w:header="0"/>
        </w:sectPr>
      </w:pPr>
    </w:p>
    <w:p>
      <w:pPr>
        <w:spacing w:after="0" w:line="89" w:lineRule="exact"/>
        <w:rPr>
          <w:sz w:val="20"/>
          <w:szCs w:val="20"/>
          <w:color w:val="auto"/>
        </w:rPr>
      </w:pPr>
    </w:p>
    <w:tbl>
      <w:tblPr>
        <w:tblLayout w:type="fixed"/>
        <w:tblInd w:w="4" w:type="dxa"/>
        <w:tblCellMar>
          <w:top w:w="0" w:type="dxa"/>
          <w:left w:w="0" w:type="dxa"/>
          <w:bottom w:w="0" w:type="dxa"/>
          <w:right w:w="0" w:type="dxa"/>
        </w:tblCellMar>
      </w:tblPr>
      <w:tr>
        <w:trPr>
          <w:trHeight w:val="652"/>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24"/>
                <w:szCs w:val="24"/>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1200" w:type="dxa"/>
            <w:vAlign w:val="bottom"/>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9ADAF6"/>
          </w:tcPr>
          <w:p>
            <w:pPr>
              <w:jc w:val="right"/>
              <w:ind w:right="16"/>
              <w:spacing w:after="0" w:line="189"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168"/>
        </w:trPr>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40"/>
              <w:spacing w:after="0" w:line="168"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4"/>
                <w:szCs w:val="14"/>
                <w:color w:val="auto"/>
              </w:rPr>
            </w:pPr>
          </w:p>
        </w:tc>
        <w:tc>
          <w:tcPr>
            <w:tcW w:w="8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4"/>
                <w:szCs w:val="14"/>
                <w:color w:val="auto"/>
              </w:rPr>
            </w:pPr>
          </w:p>
        </w:tc>
        <w:tc>
          <w:tcPr>
            <w:tcW w:w="1020" w:type="dxa"/>
            <w:vAlign w:val="bottom"/>
            <w:shd w:val="clear" w:color="auto" w:fill="9ADAF6"/>
          </w:tcPr>
          <w:p>
            <w:pPr>
              <w:jc w:val="right"/>
              <w:spacing w:after="0" w:line="168"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right"/>
              <w:ind w:right="276"/>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0" w:type="dxa"/>
            <w:vAlign w:val="bottom"/>
          </w:tcPr>
          <w:p>
            <w:pPr>
              <w:spacing w:after="0"/>
              <w:rPr>
                <w:sz w:val="1"/>
                <w:szCs w:val="1"/>
                <w:color w:val="auto"/>
              </w:rPr>
            </w:pPr>
          </w:p>
        </w:tc>
      </w:tr>
      <w:tr>
        <w:trPr>
          <w:trHeight w:val="189"/>
        </w:trPr>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0" w:type="dxa"/>
            <w:vAlign w:val="bottom"/>
          </w:tcPr>
          <w:p>
            <w:pPr>
              <w:spacing w:after="0"/>
              <w:rPr>
                <w:sz w:val="1"/>
                <w:szCs w:val="1"/>
                <w:color w:val="auto"/>
              </w:rPr>
            </w:pPr>
          </w:p>
        </w:tc>
      </w:tr>
      <w:tr>
        <w:trPr>
          <w:trHeight w:val="62"/>
        </w:trPr>
        <w:tc>
          <w:tcPr>
            <w:tcW w:w="8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464"/>
        </w:trPr>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ind w:left="26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29,629,632</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$ 2.70</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$ 12,248.01</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rPr>
              <w:t>80,000,007.00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ind w:left="20"/>
              <w:spacing w:after="0"/>
              <w:rPr>
                <w:sz w:val="20"/>
                <w:szCs w:val="20"/>
                <w:color w:val="auto"/>
              </w:rPr>
            </w:pPr>
            <w:r>
              <w:rPr>
                <w:rFonts w:ascii="Arial" w:cs="Arial" w:eastAsia="Arial" w:hAnsi="Arial"/>
                <w:sz w:val="17"/>
                <w:szCs w:val="17"/>
                <w:color w:val="auto"/>
                <w:w w:val="98"/>
              </w:rPr>
              <w:t>Warrants</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rPr>
              <w:t>for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line="189"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auto"/>
              </w:rPr>
              <w:t>2 Equity</w:t>
            </w:r>
          </w:p>
        </w:tc>
        <w:tc>
          <w:tcPr>
            <w:tcW w:w="20" w:type="dxa"/>
            <w:vAlign w:val="bottom"/>
          </w:tcPr>
          <w:p>
            <w:pPr>
              <w:spacing w:after="0"/>
              <w:rPr>
                <w:sz w:val="16"/>
                <w:szCs w:val="16"/>
                <w:color w:val="auto"/>
              </w:rPr>
            </w:pPr>
          </w:p>
        </w:tc>
        <w:tc>
          <w:tcPr>
            <w:tcW w:w="720" w:type="dxa"/>
            <w:vAlign w:val="bottom"/>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w w:val="96"/>
              </w:rPr>
              <w:t>457(r)</w:t>
            </w:r>
          </w:p>
        </w:tc>
        <w:tc>
          <w:tcPr>
            <w:tcW w:w="920" w:type="dxa"/>
            <w:vAlign w:val="bottom"/>
            <w:gridSpan w:val="2"/>
            <w:vMerge w:val="restart"/>
          </w:tcPr>
          <w:p>
            <w:pPr>
              <w:jc w:val="center"/>
              <w:spacing w:after="0"/>
              <w:rPr>
                <w:sz w:val="20"/>
                <w:szCs w:val="20"/>
                <w:color w:val="auto"/>
              </w:rPr>
            </w:pPr>
            <w:r>
              <w:rPr>
                <w:rFonts w:ascii="Arial" w:cs="Arial" w:eastAsia="Arial" w:hAnsi="Arial"/>
                <w:sz w:val="17"/>
                <w:szCs w:val="17"/>
                <w:color w:val="auto"/>
                <w:w w:val="98"/>
              </w:rPr>
              <w:t>29,629,632</w:t>
            </w:r>
          </w:p>
        </w:tc>
        <w:tc>
          <w:tcPr>
            <w:tcW w:w="820" w:type="dxa"/>
            <w:vAlign w:val="bottom"/>
            <w:gridSpan w:val="2"/>
            <w:vMerge w:val="restart"/>
          </w:tcPr>
          <w:p>
            <w:pPr>
              <w:jc w:val="right"/>
              <w:spacing w:after="0"/>
              <w:rPr>
                <w:sz w:val="20"/>
                <w:szCs w:val="20"/>
                <w:color w:val="auto"/>
              </w:rPr>
            </w:pPr>
            <w:r>
              <w:rPr>
                <w:rFonts w:ascii="Arial" w:cs="Arial" w:eastAsia="Arial" w:hAnsi="Arial"/>
                <w:sz w:val="17"/>
                <w:szCs w:val="17"/>
                <w:color w:val="auto"/>
              </w:rPr>
              <w:t>$ 3.24</w:t>
            </w:r>
          </w:p>
        </w:tc>
        <w:tc>
          <w:tcPr>
            <w:tcW w:w="1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9"/>
              </w:rPr>
              <w:t>0.0001531</w:t>
            </w:r>
          </w:p>
        </w:tc>
        <w:tc>
          <w:tcPr>
            <w:tcW w:w="1040" w:type="dxa"/>
            <w:vAlign w:val="bottom"/>
            <w:gridSpan w:val="2"/>
            <w:vMerge w:val="restart"/>
          </w:tcPr>
          <w:p>
            <w:pPr>
              <w:jc w:val="right"/>
              <w:spacing w:after="0"/>
              <w:rPr>
                <w:sz w:val="20"/>
                <w:szCs w:val="20"/>
                <w:color w:val="auto"/>
              </w:rPr>
            </w:pPr>
            <w:r>
              <w:rPr>
                <w:rFonts w:ascii="Arial" w:cs="Arial" w:eastAsia="Arial" w:hAnsi="Arial"/>
                <w:sz w:val="17"/>
                <w:szCs w:val="17"/>
                <w:color w:val="auto"/>
              </w:rPr>
              <w:t>$ 14,697.61</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00" w:type="dxa"/>
            <w:vAlign w:val="bottom"/>
          </w:tcPr>
          <w:p>
            <w:pPr>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7"/>
                <w:szCs w:val="17"/>
                <w:color w:val="auto"/>
              </w:rPr>
              <w:t>$0.001</w:t>
            </w:r>
          </w:p>
        </w:tc>
        <w:tc>
          <w:tcPr>
            <w:tcW w:w="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96,000,008.00</w:t>
            </w:r>
          </w:p>
        </w:tc>
        <w:tc>
          <w:tcPr>
            <w:tcW w:w="840" w:type="dxa"/>
            <w:vAlign w:val="bottom"/>
            <w:gridSpan w:val="2"/>
            <w:vMerge w:val="continue"/>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84"/>
        <w:spacing w:after="0" w:line="232" w:lineRule="auto"/>
        <w:rPr>
          <w:sz w:val="20"/>
          <w:szCs w:val="20"/>
          <w:color w:val="auto"/>
        </w:rPr>
      </w:pPr>
      <w:r>
        <w:rPr>
          <w:rFonts w:ascii="Arial" w:cs="Arial" w:eastAsia="Arial" w:hAnsi="Arial"/>
          <w:sz w:val="17"/>
          <w:szCs w:val="17"/>
          <w:color w:val="auto"/>
        </w:rPr>
        <w:t>parvalue</w:t>
      </w:r>
    </w:p>
    <w:p>
      <w:pPr>
        <w:ind w:left="1684"/>
        <w:spacing w:after="0" w:line="232" w:lineRule="auto"/>
        <w:rPr>
          <w:sz w:val="20"/>
          <w:szCs w:val="20"/>
          <w:color w:val="auto"/>
        </w:rPr>
      </w:pPr>
      <w:r>
        <w:rPr>
          <w:rFonts w:ascii="Arial" w:cs="Arial" w:eastAsia="Arial" w:hAnsi="Arial"/>
          <w:sz w:val="17"/>
          <w:szCs w:val="17"/>
          <w:color w:val="auto"/>
        </w:rPr>
        <w:t>per</w:t>
      </w:r>
    </w:p>
    <w:p>
      <w:pPr>
        <w:spacing w:after="0" w:line="1" w:lineRule="exact"/>
        <w:rPr>
          <w:sz w:val="20"/>
          <w:szCs w:val="20"/>
          <w:color w:val="auto"/>
        </w:rPr>
      </w:pPr>
    </w:p>
    <w:p>
      <w:pPr>
        <w:ind w:left="1684"/>
        <w:spacing w:after="0"/>
        <w:rPr>
          <w:sz w:val="20"/>
          <w:szCs w:val="20"/>
          <w:color w:val="auto"/>
        </w:rPr>
      </w:pPr>
      <w:r>
        <w:rPr>
          <w:rFonts w:ascii="Arial" w:cs="Arial" w:eastAsia="Arial" w:hAnsi="Arial"/>
          <w:sz w:val="17"/>
          <w:szCs w:val="17"/>
          <w:color w:val="auto"/>
        </w:rPr>
        <w:t>share</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7"/>
          <w:szCs w:val="17"/>
          <w:color w:val="auto"/>
        </w:rPr>
        <w:t>Fees</w:t>
      </w:r>
    </w:p>
    <w:p>
      <w:pPr>
        <w:spacing w:after="0" w:line="3" w:lineRule="exact"/>
        <w:rPr>
          <w:sz w:val="20"/>
          <w:szCs w:val="20"/>
          <w:color w:val="auto"/>
        </w:rPr>
      </w:pPr>
    </w:p>
    <w:p>
      <w:pPr>
        <w:ind w:left="4"/>
        <w:spacing w:after="0"/>
        <w:rPr>
          <w:sz w:val="20"/>
          <w:szCs w:val="20"/>
          <w:color w:val="auto"/>
        </w:rPr>
      </w:pPr>
      <w:r>
        <w:rPr>
          <w:rFonts w:ascii="Arial" w:cs="Arial" w:eastAsia="Arial" w:hAnsi="Arial"/>
          <w:sz w:val="17"/>
          <w:szCs w:val="17"/>
          <w:color w:val="auto"/>
        </w:rPr>
        <w:t>Previously</w:t>
      </w:r>
    </w:p>
    <w:p>
      <w:pPr>
        <w:ind w:left="4"/>
        <w:spacing w:after="0"/>
        <w:rPr>
          <w:sz w:val="20"/>
          <w:szCs w:val="20"/>
          <w:color w:val="auto"/>
        </w:rPr>
      </w:pPr>
      <w:r>
        <w:rPr>
          <w:rFonts w:ascii="Arial" w:cs="Arial" w:eastAsia="Arial" w:hAnsi="Arial"/>
          <w:sz w:val="17"/>
          <w:szCs w:val="17"/>
          <w:color w:val="auto"/>
        </w:rPr>
        <w:t>Paid</w:t>
      </w:r>
    </w:p>
    <w:p>
      <w:pPr>
        <w:spacing w:after="0" w:line="20" w:lineRule="exact"/>
        <w:rPr>
          <w:sz w:val="20"/>
          <w:szCs w:val="20"/>
          <w:color w:val="auto"/>
        </w:rPr>
      </w:pPr>
    </w:p>
    <w:p>
      <w:pPr>
        <w:ind w:left="4644"/>
        <w:spacing w:after="0"/>
        <w:rPr>
          <w:sz w:val="20"/>
          <w:szCs w:val="20"/>
          <w:color w:val="auto"/>
        </w:rPr>
      </w:pPr>
      <w:r>
        <w:rPr>
          <w:rFonts w:ascii="Arial" w:cs="Arial" w:eastAsia="Arial" w:hAnsi="Arial"/>
          <w:sz w:val="17"/>
          <w:szCs w:val="17"/>
          <w:b w:val="1"/>
          <w:bCs w:val="1"/>
          <w:color w:val="auto"/>
        </w:rPr>
        <w:t>Carry Forward Securities</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7"/>
          <w:szCs w:val="17"/>
          <w:color w:val="auto"/>
        </w:rPr>
        <w:t>Carry</w:t>
      </w:r>
    </w:p>
    <w:p>
      <w:pPr>
        <w:spacing w:after="0" w:line="3" w:lineRule="exact"/>
        <w:rPr>
          <w:sz w:val="20"/>
          <w:szCs w:val="20"/>
          <w:color w:val="auto"/>
        </w:rPr>
      </w:pPr>
    </w:p>
    <w:p>
      <w:pPr>
        <w:ind w:left="4"/>
        <w:spacing w:after="0"/>
        <w:rPr>
          <w:sz w:val="20"/>
          <w:szCs w:val="20"/>
          <w:color w:val="auto"/>
        </w:rPr>
      </w:pPr>
      <w:r>
        <w:rPr>
          <w:rFonts w:ascii="Arial" w:cs="Arial" w:eastAsia="Arial" w:hAnsi="Arial"/>
          <w:sz w:val="17"/>
          <w:szCs w:val="17"/>
          <w:color w:val="auto"/>
        </w:rPr>
        <w:t>Forward</w:t>
      </w:r>
    </w:p>
    <w:p>
      <w:pPr>
        <w:ind w:left="4"/>
        <w:spacing w:after="0"/>
        <w:rPr>
          <w:sz w:val="20"/>
          <w:szCs w:val="20"/>
          <w:color w:val="auto"/>
        </w:rPr>
      </w:pPr>
      <w:r>
        <w:rPr>
          <w:rFonts w:ascii="Arial" w:cs="Arial" w:eastAsia="Arial" w:hAnsi="Arial"/>
          <w:sz w:val="17"/>
          <w:szCs w:val="17"/>
          <w:color w:val="auto"/>
        </w:rPr>
        <w:t>Securities</w:t>
      </w:r>
    </w:p>
    <w:p>
      <w:pPr>
        <w:spacing w:after="0" w:line="14" w:lineRule="exact"/>
        <w:rPr>
          <w:sz w:val="20"/>
          <w:szCs w:val="20"/>
          <w:color w:val="auto"/>
        </w:rPr>
      </w:pPr>
    </w:p>
    <w:tbl>
      <w:tblPr>
        <w:tblLayout w:type="fixed"/>
        <w:tblInd w:w="2484" w:type="dxa"/>
        <w:tblCellMar>
          <w:top w:w="0" w:type="dxa"/>
          <w:left w:w="0" w:type="dxa"/>
          <w:bottom w:w="0" w:type="dxa"/>
          <w:right w:w="0" w:type="dxa"/>
        </w:tblCellMar>
      </w:tblPr>
      <w:tr>
        <w:trPr>
          <w:trHeight w:val="195"/>
        </w:trPr>
        <w:tc>
          <w:tcPr>
            <w:tcW w:w="2180" w:type="dxa"/>
            <w:vAlign w:val="bottom"/>
          </w:tcPr>
          <w:p>
            <w:pPr>
              <w:spacing w:after="0"/>
              <w:rPr>
                <w:sz w:val="20"/>
                <w:szCs w:val="20"/>
                <w:color w:val="auto"/>
              </w:rPr>
            </w:pPr>
            <w:r>
              <w:rPr>
                <w:rFonts w:ascii="Arial" w:cs="Arial" w:eastAsia="Arial" w:hAnsi="Arial"/>
                <w:sz w:val="17"/>
                <w:szCs w:val="17"/>
                <w:color w:val="auto"/>
              </w:rPr>
              <w:t>Total Offering Amounts:</w:t>
            </w:r>
          </w:p>
        </w:tc>
        <w:tc>
          <w:tcPr>
            <w:tcW w:w="2100" w:type="dxa"/>
            <w:vAlign w:val="bottom"/>
          </w:tcPr>
          <w:p>
            <w:pPr>
              <w:jc w:val="right"/>
              <w:ind w:right="396"/>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$ 26,945.62</w:t>
            </w:r>
          </w:p>
        </w:tc>
      </w:tr>
      <w:tr>
        <w:trPr>
          <w:trHeight w:val="222"/>
        </w:trPr>
        <w:tc>
          <w:tcPr>
            <w:tcW w:w="2180" w:type="dxa"/>
            <w:vAlign w:val="bottom"/>
          </w:tcPr>
          <w:p>
            <w:pPr>
              <w:spacing w:after="0"/>
              <w:rPr>
                <w:sz w:val="19"/>
                <w:szCs w:val="19"/>
                <w:color w:val="auto"/>
              </w:rPr>
            </w:pPr>
          </w:p>
        </w:tc>
        <w:tc>
          <w:tcPr>
            <w:tcW w:w="2100" w:type="dxa"/>
            <w:vAlign w:val="bottom"/>
          </w:tcPr>
          <w:p>
            <w:pPr>
              <w:jc w:val="right"/>
              <w:ind w:right="396"/>
              <w:spacing w:after="0"/>
              <w:rPr>
                <w:sz w:val="20"/>
                <w:szCs w:val="20"/>
                <w:color w:val="auto"/>
              </w:rPr>
            </w:pPr>
            <w:r>
              <w:rPr>
                <w:rFonts w:ascii="Arial" w:cs="Arial" w:eastAsia="Arial" w:hAnsi="Arial"/>
                <w:sz w:val="17"/>
                <w:szCs w:val="17"/>
                <w:color w:val="auto"/>
              </w:rPr>
              <w:t>176,000,015.00</w:t>
            </w:r>
          </w:p>
        </w:tc>
        <w:tc>
          <w:tcPr>
            <w:tcW w:w="1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7"/>
          <w:szCs w:val="17"/>
          <w:b w:val="1"/>
          <w:bCs w:val="1"/>
          <w:color w:val="auto"/>
        </w:rPr>
        <w:t>Filing Fee</w:t>
      </w:r>
    </w:p>
    <w:p>
      <w:pPr>
        <w:spacing w:after="0" w:line="3"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Previously</w:t>
      </w:r>
    </w:p>
    <w:p>
      <w:pPr>
        <w:ind w:left="20" w:firstLine="112"/>
        <w:spacing w:after="0" w:line="219" w:lineRule="auto"/>
        <w:rPr>
          <w:sz w:val="20"/>
          <w:szCs w:val="20"/>
          <w:color w:val="auto"/>
        </w:rPr>
      </w:pPr>
      <w:r>
        <w:rPr>
          <w:rFonts w:ascii="Arial" w:cs="Arial" w:eastAsia="Arial" w:hAnsi="Arial"/>
          <w:sz w:val="23"/>
          <w:szCs w:val="23"/>
          <w:b w:val="1"/>
          <w:bCs w:val="1"/>
          <w:color w:val="auto"/>
          <w:vertAlign w:val="subscript"/>
        </w:rPr>
        <w:t>Carry</w:t>
      </w:r>
      <w:r>
        <w:rPr>
          <w:rFonts w:ascii="Arial" w:cs="Arial" w:eastAsia="Arial" w:hAnsi="Arial"/>
          <w:sz w:val="13"/>
          <w:szCs w:val="13"/>
          <w:b w:val="1"/>
          <w:bCs w:val="1"/>
          <w:color w:val="auto"/>
        </w:rPr>
        <w:t xml:space="preserve"> Paid in </w:t>
      </w:r>
      <w:r>
        <w:rPr>
          <w:rFonts w:ascii="Arial" w:cs="Arial" w:eastAsia="Arial" w:hAnsi="Arial"/>
          <w:sz w:val="23"/>
          <w:szCs w:val="23"/>
          <w:b w:val="1"/>
          <w:bCs w:val="1"/>
          <w:color w:val="auto"/>
          <w:vertAlign w:val="subscript"/>
        </w:rPr>
        <w:t>Forward</w:t>
      </w:r>
      <w:r>
        <w:rPr>
          <w:rFonts w:ascii="Arial" w:cs="Arial" w:eastAsia="Arial" w:hAnsi="Arial"/>
          <w:sz w:val="13"/>
          <w:szCs w:val="13"/>
          <w:b w:val="1"/>
          <w:bCs w:val="1"/>
          <w:color w:val="auto"/>
        </w:rPr>
        <w:t xml:space="preserve"> Connection</w:t>
      </w:r>
    </w:p>
    <w:p>
      <w:pPr>
        <w:spacing w:after="0" w:line="1" w:lineRule="exact"/>
        <w:rPr>
          <w:sz w:val="20"/>
          <w:szCs w:val="20"/>
          <w:color w:val="auto"/>
        </w:rPr>
      </w:pPr>
    </w:p>
    <w:p>
      <w:pPr>
        <w:ind w:right="180" w:firstLine="131"/>
        <w:spacing w:after="0" w:line="188" w:lineRule="auto"/>
        <w:rPr>
          <w:sz w:val="20"/>
          <w:szCs w:val="20"/>
          <w:color w:val="auto"/>
        </w:rPr>
      </w:pPr>
      <w:r>
        <w:rPr>
          <w:rFonts w:ascii="Arial" w:cs="Arial" w:eastAsia="Arial" w:hAnsi="Arial"/>
          <w:sz w:val="13"/>
          <w:szCs w:val="13"/>
          <w:b w:val="1"/>
          <w:bCs w:val="1"/>
          <w:color w:val="auto"/>
        </w:rPr>
        <w:t xml:space="preserve">Initial </w:t>
      </w:r>
      <w:r>
        <w:rPr>
          <w:rFonts w:ascii="Arial" w:cs="Arial" w:eastAsia="Arial" w:hAnsi="Arial"/>
          <w:sz w:val="21"/>
          <w:szCs w:val="21"/>
          <w:b w:val="1"/>
          <w:bCs w:val="1"/>
          <w:color w:val="auto"/>
          <w:vertAlign w:val="superscript"/>
        </w:rPr>
        <w:t>with</w:t>
      </w:r>
      <w:r>
        <w:rPr>
          <w:rFonts w:ascii="Arial" w:cs="Arial" w:eastAsia="Arial" w:hAnsi="Arial"/>
          <w:sz w:val="13"/>
          <w:szCs w:val="13"/>
          <w:b w:val="1"/>
          <w:bCs w:val="1"/>
          <w:color w:val="auto"/>
        </w:rPr>
        <w:t xml:space="preserve"> Effective </w:t>
      </w:r>
      <w:r>
        <w:rPr>
          <w:rFonts w:ascii="Arial" w:cs="Arial" w:eastAsia="Arial" w:hAnsi="Arial"/>
          <w:sz w:val="21"/>
          <w:szCs w:val="21"/>
          <w:b w:val="1"/>
          <w:bCs w:val="1"/>
          <w:color w:val="auto"/>
          <w:vertAlign w:val="superscript"/>
        </w:rPr>
        <w:t>Unsold</w:t>
      </w:r>
    </w:p>
    <w:p>
      <w:pPr>
        <w:ind w:left="800" w:right="60" w:hanging="837"/>
        <w:spacing w:after="0" w:line="246" w:lineRule="auto"/>
        <w:tabs>
          <w:tab w:leader="none" w:pos="780" w:val="left"/>
        </w:tabs>
        <w:rPr>
          <w:sz w:val="20"/>
          <w:szCs w:val="20"/>
          <w:color w:val="auto"/>
        </w:rPr>
      </w:pPr>
      <w:r>
        <w:rPr>
          <w:rFonts w:ascii="Arial" w:cs="Arial" w:eastAsia="Arial" w:hAnsi="Arial"/>
          <w:sz w:val="33"/>
          <w:szCs w:val="33"/>
          <w:b w:val="1"/>
          <w:bCs w:val="1"/>
          <w:color w:val="auto"/>
          <w:vertAlign w:val="subscript"/>
        </w:rPr>
        <w:t>Date</w:t>
      </w:r>
      <w:r>
        <w:rPr>
          <w:sz w:val="20"/>
          <w:szCs w:val="20"/>
          <w:color w:val="auto"/>
        </w:rPr>
        <w:tab/>
      </w:r>
      <w:r>
        <w:rPr>
          <w:rFonts w:ascii="Arial" w:cs="Arial" w:eastAsia="Arial" w:hAnsi="Arial"/>
          <w:sz w:val="16"/>
          <w:szCs w:val="16"/>
          <w:b w:val="1"/>
          <w:bCs w:val="1"/>
          <w:color w:val="auto"/>
        </w:rPr>
        <w:t>Securities to be</w:t>
      </w:r>
    </w:p>
    <w:p>
      <w:pPr>
        <w:ind w:left="900"/>
        <w:spacing w:after="0" w:line="233" w:lineRule="auto"/>
        <w:rPr>
          <w:sz w:val="20"/>
          <w:szCs w:val="20"/>
          <w:color w:val="auto"/>
        </w:rPr>
      </w:pPr>
      <w:r>
        <w:rPr>
          <w:rFonts w:ascii="Arial" w:cs="Arial" w:eastAsia="Arial" w:hAnsi="Arial"/>
          <w:sz w:val="17"/>
          <w:szCs w:val="17"/>
          <w:b w:val="1"/>
          <w:bCs w:val="1"/>
          <w:color w:val="auto"/>
        </w:rPr>
        <w:t>Carried</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b w:val="1"/>
          <w:bCs w:val="1"/>
          <w:color w:val="auto"/>
        </w:rPr>
        <w:t>Forward</w:t>
      </w:r>
    </w:p>
    <w:p>
      <w:pPr>
        <w:spacing w:after="0" w:line="5044" w:lineRule="exact"/>
        <w:rPr>
          <w:sz w:val="20"/>
          <w:szCs w:val="20"/>
          <w:color w:val="auto"/>
        </w:rPr>
      </w:pPr>
    </w:p>
    <w:p>
      <w:pPr>
        <w:sectPr>
          <w:pgSz w:w="11900" w:h="16838" w:orient="portrait"/>
          <w:cols w:equalWidth="0" w:num="2">
            <w:col w:w="9584" w:space="40"/>
            <w:col w:w="1660"/>
          </w:cols>
          <w:pgMar w:left="336" w:top="142" w:right="279" w:bottom="1440" w:gutter="0" w:footer="0" w:header="0"/>
          <w:type w:val="continuous"/>
        </w:sectPr>
      </w:pPr>
    </w:p>
    <w:tbl>
      <w:tblPr>
        <w:tblLayout w:type="fixed"/>
        <w:tblInd w:w="2204" w:type="dxa"/>
        <w:tblCellMar>
          <w:top w:w="0" w:type="dxa"/>
          <w:left w:w="0" w:type="dxa"/>
          <w:bottom w:w="0" w:type="dxa"/>
          <w:right w:w="0" w:type="dxa"/>
        </w:tblCellMar>
      </w:tblPr>
      <w:tr>
        <w:trPr>
          <w:trHeight w:val="222"/>
        </w:trPr>
        <w:tc>
          <w:tcPr>
            <w:tcW w:w="3540" w:type="dxa"/>
            <w:vAlign w:val="bottom"/>
          </w:tcPr>
          <w:p>
            <w:pPr>
              <w:jc w:val="right"/>
              <w:ind w:right="1416"/>
              <w:spacing w:after="0"/>
              <w:rPr>
                <w:sz w:val="20"/>
                <w:szCs w:val="20"/>
                <w:color w:val="auto"/>
              </w:rPr>
            </w:pPr>
            <w:r>
              <w:rPr>
                <w:rFonts w:ascii="Arial" w:cs="Arial" w:eastAsia="Arial" w:hAnsi="Arial"/>
                <w:sz w:val="17"/>
                <w:szCs w:val="17"/>
                <w:color w:val="auto"/>
                <w:w w:val="97"/>
              </w:rPr>
              <w:t>Total Fees Previously Paid:</w:t>
            </w:r>
          </w:p>
        </w:tc>
        <w:tc>
          <w:tcPr>
            <w:tcW w:w="240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40" w:type="dxa"/>
            <w:vAlign w:val="bottom"/>
          </w:tcPr>
          <w:p>
            <w:pPr>
              <w:jc w:val="right"/>
              <w:ind w:right="1416"/>
              <w:spacing w:after="0"/>
              <w:rPr>
                <w:sz w:val="20"/>
                <w:szCs w:val="20"/>
                <w:color w:val="auto"/>
              </w:rPr>
            </w:pPr>
            <w:r>
              <w:rPr>
                <w:rFonts w:ascii="Arial" w:cs="Arial" w:eastAsia="Arial" w:hAnsi="Arial"/>
                <w:sz w:val="17"/>
                <w:szCs w:val="17"/>
                <w:color w:val="auto"/>
              </w:rPr>
              <w:t>Total Fee Offsets:</w:t>
            </w:r>
          </w:p>
        </w:tc>
        <w:tc>
          <w:tcPr>
            <w:tcW w:w="2400" w:type="dxa"/>
            <w:vAlign w:val="bottom"/>
          </w:tcPr>
          <w:p>
            <w:pPr>
              <w:jc w:val="right"/>
              <w:spacing w:after="0"/>
              <w:rPr>
                <w:sz w:val="20"/>
                <w:szCs w:val="20"/>
                <w:color w:val="auto"/>
              </w:rPr>
            </w:pPr>
            <w:r>
              <w:rPr>
                <w:rFonts w:ascii="Arial" w:cs="Arial" w:eastAsia="Arial" w:hAnsi="Arial"/>
                <w:sz w:val="17"/>
                <w:szCs w:val="17"/>
                <w:color w:val="auto"/>
              </w:rPr>
              <w:t>$ 0.00</w:t>
            </w:r>
          </w:p>
        </w:tc>
      </w:tr>
      <w:tr>
        <w:trPr>
          <w:trHeight w:val="231"/>
        </w:trPr>
        <w:tc>
          <w:tcPr>
            <w:tcW w:w="3540" w:type="dxa"/>
            <w:vAlign w:val="bottom"/>
          </w:tcPr>
          <w:p>
            <w:pPr>
              <w:jc w:val="right"/>
              <w:ind w:right="1416"/>
              <w:spacing w:after="0"/>
              <w:rPr>
                <w:sz w:val="20"/>
                <w:szCs w:val="20"/>
                <w:color w:val="auto"/>
              </w:rPr>
            </w:pPr>
            <w:r>
              <w:rPr>
                <w:rFonts w:ascii="Arial" w:cs="Arial" w:eastAsia="Arial" w:hAnsi="Arial"/>
                <w:sz w:val="17"/>
                <w:szCs w:val="17"/>
                <w:color w:val="auto"/>
              </w:rPr>
              <w:t>Net Fee Due:</w:t>
            </w:r>
          </w:p>
        </w:tc>
        <w:tc>
          <w:tcPr>
            <w:tcW w:w="2400" w:type="dxa"/>
            <w:vAlign w:val="bottom"/>
          </w:tcPr>
          <w:p>
            <w:pPr>
              <w:jc w:val="right"/>
              <w:spacing w:after="0"/>
              <w:rPr>
                <w:sz w:val="20"/>
                <w:szCs w:val="20"/>
                <w:color w:val="auto"/>
              </w:rPr>
            </w:pPr>
            <w:r>
              <w:rPr>
                <w:rFonts w:ascii="Arial" w:cs="Arial" w:eastAsia="Arial" w:hAnsi="Arial"/>
                <w:sz w:val="17"/>
                <w:szCs w:val="17"/>
                <w:color w:val="auto"/>
              </w:rPr>
              <w:t>$ 26,945.62</w:t>
            </w:r>
          </w:p>
        </w:tc>
      </w:tr>
    </w:tbl>
    <w:p>
      <w:pPr>
        <w:spacing w:after="0" w:line="25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184" w:right="220" w:hanging="184"/>
        <w:spacing w:after="0" w:line="227" w:lineRule="auto"/>
        <w:tabs>
          <w:tab w:leader="none" w:pos="184" w:val="left"/>
        </w:tabs>
        <w:numPr>
          <w:ilvl w:val="0"/>
          <w:numId w:val="61"/>
        </w:numPr>
        <w:rPr>
          <w:rFonts w:ascii="Arial" w:cs="Arial" w:eastAsia="Arial" w:hAnsi="Arial"/>
          <w:sz w:val="21"/>
          <w:szCs w:val="21"/>
          <w:color w:val="auto"/>
          <w:vertAlign w:val="superscript"/>
        </w:rPr>
      </w:pPr>
      <w:r>
        <w:rPr>
          <w:rFonts w:ascii="Arial" w:cs="Arial" w:eastAsia="Arial" w:hAnsi="Arial"/>
          <w:sz w:val="17"/>
          <w:szCs w:val="17"/>
          <w:color w:val="auto"/>
        </w:rPr>
        <w:t>1. Payment of the registration fee at the time of filing of the registrant's Registration Statement on Form S-3ASR (File No. 333-278770) on April 17, 2024 (the "Registration Statement") was deferred pursuant to Rules 456(b) and 457(r) under the Securities Act of 1933, as amended and is paid herewith. This "Calculation of Filing Fee" table shall be deemed to update the table in Item 14 of the Registration Statement on Form 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61595</wp:posOffset>
            </wp:positionV>
            <wp:extent cx="7047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p>
      <w:pPr>
        <w:spacing w:after="0" w:line="204" w:lineRule="exact"/>
        <w:rPr>
          <w:sz w:val="20"/>
          <w:szCs w:val="20"/>
          <w:color w:val="auto"/>
        </w:rPr>
      </w:pPr>
    </w:p>
    <w:p>
      <w:pPr>
        <w:ind w:left="184" w:hanging="184"/>
        <w:spacing w:after="0"/>
        <w:tabs>
          <w:tab w:leader="none" w:pos="184" w:val="left"/>
        </w:tabs>
        <w:numPr>
          <w:ilvl w:val="0"/>
          <w:numId w:val="62"/>
        </w:numPr>
        <w:rPr>
          <w:rFonts w:ascii="Arial" w:cs="Arial" w:eastAsia="Arial" w:hAnsi="Arial"/>
          <w:sz w:val="21"/>
          <w:szCs w:val="21"/>
          <w:color w:val="auto"/>
          <w:vertAlign w:val="superscript"/>
        </w:rPr>
      </w:pPr>
      <w:r>
        <w:rPr>
          <w:rFonts w:ascii="Arial" w:cs="Arial" w:eastAsia="Arial" w:hAnsi="Arial"/>
          <w:sz w:val="17"/>
          <w:szCs w:val="17"/>
          <w:color w:val="auto"/>
        </w:rPr>
        <w:t>See Offering Note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100965</wp:posOffset>
            </wp:positionH>
            <wp:positionV relativeFrom="paragraph">
              <wp:posOffset>59690</wp:posOffset>
            </wp:positionV>
            <wp:extent cx="7047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4">
                      <a:extLst>
                        <a:ext uri="{28A0092B-C50C-407E-A947-70E740481C1C}"/>
                      </a:extLst>
                    </a:blip>
                    <a:srcRect/>
                    <a:stretch>
                      <a:fillRect/>
                    </a:stretch>
                  </pic:blipFill>
                  <pic:spPr bwMode="auto">
                    <a:xfrm>
                      <a:off x="0" y="0"/>
                      <a:ext cx="7047865" cy="38735"/>
                    </a:xfrm>
                    <a:prstGeom prst="rect">
                      <a:avLst/>
                    </a:prstGeom>
                    <a:noFill/>
                  </pic:spPr>
                </pic:pic>
              </a:graphicData>
            </a:graphic>
          </wp:anchor>
        </w:drawing>
      </w:r>
    </w:p>
    <w:sectPr>
      <w:pgSz w:w="11900" w:h="16838" w:orient="portrait"/>
      <w:cols w:equalWidth="0" w:num="1">
        <w:col w:w="11284"/>
      </w:cols>
      <w:pgMar w:left="336" w:top="142"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decimal"/>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1)"/>
      <w:numFmt w:val="decimal"/>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1)"/>
      <w:numFmt w:val="lowerLetter"/>
      <w:start w:val="5"/>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lowerRoman"/>
      <w:start w:val="1"/>
    </w:lvl>
  </w:abstractNum>
  <w:abstractNum w:abstractNumId="57">
    <w:nsid w:val="741226BB"/>
    <w:multiLevelType w:val="hybridMultilevel"/>
    <w:lvl w:ilvl="0">
      <w:lvlJc w:val="left"/>
      <w:lvlText w:val="(%1)"/>
      <w:numFmt w:val="lowerRoman"/>
      <w:start w:val="4"/>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bullet"/>
      <w:start w:val="1"/>
    </w:lvl>
  </w:abstractNum>
  <w:abstractNum w:abstractNumId="61">
    <w:nsid w:val="61574095"/>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3"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jpe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100"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jpe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jpe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45" Type="http://schemas.openxmlformats.org/officeDocument/2006/relationships/image" Target="media/image125.png"/><Relationship Id="rId146" Type="http://schemas.openxmlformats.org/officeDocument/2006/relationships/image" Target="media/image126.png"/><Relationship Id="rId147" Type="http://schemas.openxmlformats.org/officeDocument/2006/relationships/image" Target="media/image127.png"/><Relationship Id="rId148" Type="http://schemas.openxmlformats.org/officeDocument/2006/relationships/image" Target="media/image128.jpeg"/><Relationship Id="rId149" Type="http://schemas.openxmlformats.org/officeDocument/2006/relationships/image" Target="media/image129.png"/><Relationship Id="rId150" Type="http://schemas.openxmlformats.org/officeDocument/2006/relationships/image" Target="media/image130.png"/><Relationship Id="rId151" Type="http://schemas.openxmlformats.org/officeDocument/2006/relationships/image" Target="media/image131.png"/><Relationship Id="rId152" Type="http://schemas.openxmlformats.org/officeDocument/2006/relationships/image" Target="media/image132.png"/><Relationship Id="rId153" Type="http://schemas.openxmlformats.org/officeDocument/2006/relationships/image" Target="media/image133.png"/><Relationship Id="rId154" Type="http://schemas.openxmlformats.org/officeDocument/2006/relationships/image" Target="media/image134.png"/><Relationship Id="rId38" Type="http://schemas.openxmlformats.org/officeDocument/2006/relationships/hyperlink" Target="http://www.sec.gov/Archives/edgar/data/1326110/000132611022000011/ibrx-20211231x10kexhibit47.htm" TargetMode="External"/><Relationship Id="rId39" Type="http://schemas.openxmlformats.org/officeDocument/2006/relationships/hyperlink" Target="http://www.sec.gov/ix?doc=/Archives/edgar/data/0001326110/000132611024000037/ibrx-20231231.htm" TargetMode="External"/><Relationship Id="rId52" Type="http://schemas.openxmlformats.org/officeDocument/2006/relationships/hyperlink" Target="http://www.sec.gov/ix?doc=/Archives/edgar/data/0001326110/000132611025000033/ibrx-20241231.htm" TargetMode="External"/><Relationship Id="rId54" Type="http://schemas.openxmlformats.org/officeDocument/2006/relationships/hyperlink" Target="http://www.sec.gov/ix?doc=/Archives/edgar/data/1326110/000132611025000071/ibrx-20250331.htm" TargetMode="External"/><Relationship Id="rId55" Type="http://schemas.openxmlformats.org/officeDocument/2006/relationships/hyperlink" Target="http://www.sec.gov/ix?doc=/Archives/edgar/data/1326110/000132611025000054/ibrx-20250429.htm" TargetMode="External"/><Relationship Id="rId56" Type="http://schemas.openxmlformats.org/officeDocument/2006/relationships/hyperlink" Target="http://www.sec.gov/Archives/edgar/data/1326110/000132611024000037/ibrx-20231231x10kexhibit47.htm" TargetMode="External"/><Relationship Id="rId57" Type="http://schemas.openxmlformats.org/officeDocument/2006/relationships/hyperlink" Target="http://www.sec.gov/ix?doc=/Archives/edgar/data/1326110/000132611025000084/ibrx-20250618.htm" TargetMode="External"/><Relationship Id="rId58" Type="http://schemas.openxmlformats.org/officeDocument/2006/relationships/hyperlink" Target="http://www.sec.gov/ix?doc=/Archives/edgar/data/1326110/000119312525164789/d20571d8k.htm" TargetMode="External"/><Relationship Id="rId80" Type="http://schemas.openxmlformats.org/officeDocument/2006/relationships/hyperlink" Target="http://www.sec.gov/ix?doc=/Archives/edgar/data/1326110/000132611024000037/ibrx-20231231.htm" TargetMode="External"/><Relationship Id="rId99" Type="http://schemas.openxmlformats.org/officeDocument/2006/relationships/hyperlink" Target="http://www.sec.gov/ix?doc=/Archives/edgar/data/1326110/000132611023000050/ibrx-20230427.htm" TargetMode="External"/><Relationship Id="rId101" Type="http://schemas.openxmlformats.org/officeDocument/2006/relationships/hyperlink" Target="http://www.sec.gov/ix?doc=/Archives/edgar/data/1326110/000132611024000003/ibrx-20231229.htm" TargetMode="External"/><Relationship Id="rId102" Type="http://schemas.openxmlformats.org/officeDocument/2006/relationships/hyperlink" Target="http://www.sec.gov/ix?doc=/Archives/edgar/data/1326110/000119312524044886/d785996d8k.htm" TargetMode="External"/><Relationship Id="rId142" Type="http://schemas.openxmlformats.org/officeDocument/2006/relationships/hyperlink" Target="http://www.sec.gov/Archives/edgar/data/1326110/000132611024000003/0001326110-24-000003-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2025-07-28T10:24:17Z</dcterms:created>
  <dcterms:modified xsi:type="dcterms:W3CDTF">2025-07-28T10:24:17Z</dcterms:modified>
</cp:coreProperties>
</file>