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116205</wp:posOffset>
            </wp:positionV>
            <wp:extent cx="2606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001-37507</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B4486"/>
        </w:rPr>
        <w:t>IMMUNITYBIO,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43-1979754</w:t>
            </w:r>
          </w:p>
        </w:tc>
      </w:tr>
      <w:tr>
        <w:trPr>
          <w:trHeight w:val="17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3530 John Hopkins Court</w:t>
            </w:r>
          </w:p>
        </w:tc>
        <w:tc>
          <w:tcPr>
            <w:tcW w:w="3060" w:type="dxa"/>
            <w:vAlign w:val="bottom"/>
          </w:tcPr>
          <w:p>
            <w:pPr>
              <w:spacing w:after="0"/>
              <w:rPr>
                <w:sz w:val="21"/>
                <w:szCs w:val="21"/>
                <w:color w:val="auto"/>
              </w:rPr>
            </w:pPr>
          </w:p>
        </w:tc>
      </w:tr>
      <w:tr>
        <w:trPr>
          <w:trHeight w:val="212"/>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6"/>
                <w:szCs w:val="16"/>
                <w:b w:val="1"/>
                <w:bCs w:val="1"/>
                <w:color w:val="auto"/>
              </w:rPr>
              <w:t>San Diego, California</w:t>
            </w:r>
          </w:p>
        </w:tc>
        <w:tc>
          <w:tcPr>
            <w:tcW w:w="3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226"/>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696-5235</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18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IBRX</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99"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36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8"/>
        </w:trPr>
        <w:tc>
          <w:tcPr>
            <w:tcW w:w="2160" w:type="dxa"/>
            <w:vAlign w:val="bottom"/>
          </w:tcPr>
          <w:p>
            <w:pPr>
              <w:spacing w:after="0"/>
              <w:rPr>
                <w:sz w:val="3"/>
                <w:szCs w:val="3"/>
                <w:color w:val="auto"/>
              </w:rPr>
            </w:pPr>
          </w:p>
        </w:tc>
        <w:tc>
          <w:tcPr>
            <w:tcW w:w="3020" w:type="dxa"/>
            <w:vAlign w:val="bottom"/>
            <w:vMerge w:val="continue"/>
          </w:tcPr>
          <w:p>
            <w:pPr>
              <w:spacing w:after="0"/>
              <w:rPr>
                <w:sz w:val="3"/>
                <w:szCs w:val="3"/>
                <w:color w:val="auto"/>
              </w:rPr>
            </w:pPr>
          </w:p>
        </w:tc>
        <w:tc>
          <w:tcPr>
            <w:tcW w:w="4640" w:type="dxa"/>
            <w:vAlign w:val="bottom"/>
          </w:tcPr>
          <w:p>
            <w:pPr>
              <w:spacing w:after="0"/>
              <w:rPr>
                <w:sz w:val="3"/>
                <w:szCs w:val="3"/>
                <w:color w:val="auto"/>
              </w:rPr>
            </w:pPr>
          </w:p>
        </w:tc>
        <w:tc>
          <w:tcPr>
            <w:tcW w:w="880" w:type="dxa"/>
            <w:vAlign w:val="bottom"/>
            <w:vMerge w:val="restart"/>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line="20" w:lineRule="exact"/>
              <w:rPr>
                <w:sz w:val="1"/>
                <w:szCs w:val="1"/>
                <w:color w:val="auto"/>
              </w:rPr>
            </w:pP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The number of shares of the Registrant’s common stock outstanding as of May 8, 2025 was 882,620,409 (excluding 163,800 shares held by a majority owned subsidiary of ours which are treated as treasury shares for accounting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1151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33655</wp:posOffset>
            </wp:positionV>
            <wp:extent cx="951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76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9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8"/>
              </w:rPr>
              <w:t>As of March 31, 2025 and December 31,</w:t>
            </w:r>
          </w:p>
        </w:tc>
        <w:tc>
          <w:tcPr>
            <w:tcW w:w="74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8"/>
                <w:szCs w:val="18"/>
                <w:color w:val="0000FF"/>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FF"/>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w:t>
            </w:r>
          </w:p>
        </w:tc>
        <w:tc>
          <w:tcPr>
            <w:tcW w:w="4120" w:type="dxa"/>
            <w:vAlign w:val="bottom"/>
            <w:tcBorders>
              <w:bottom w:val="single" w:sz="8" w:color="CCEEFF"/>
            </w:tcBorders>
            <w:gridSpan w:val="10"/>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0000FF"/>
            </w:tcBorders>
            <w:gridSpan w:val="1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For the three months ended March 31, 2025 and 2024</w:t>
            </w:r>
          </w:p>
        </w:tc>
        <w:tc>
          <w:tcPr>
            <w:tcW w:w="3920" w:type="dxa"/>
            <w:vAlign w:val="bottom"/>
            <w:tcBorders>
              <w:bottom w:val="single" w:sz="8" w:color="CCEEFF"/>
            </w:tcBorders>
            <w:gridSpan w:val="7"/>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38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For the three months ended March 31, 2025 and 2024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400" w:type="dxa"/>
            <w:vAlign w:val="bottom"/>
            <w:tcBorders>
              <w:top w:val="single" w:sz="8" w:color="0000FF"/>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For the three months ended March 31, 2025 and 2024</w:t>
            </w:r>
          </w:p>
        </w:tc>
        <w:tc>
          <w:tcPr>
            <w:tcW w:w="2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7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7"/>
              </w:rPr>
              <w:t>For the three months ended March 31, 2025 and 202</w:t>
            </w:r>
          </w:p>
        </w:tc>
        <w:tc>
          <w:tcPr>
            <w:tcW w:w="460" w:type="dxa"/>
            <w:vAlign w:val="bottom"/>
            <w:gridSpan w:val="3"/>
          </w:tcPr>
          <w:p>
            <w:pPr>
              <w:jc w:val="right"/>
              <w:ind w:right="300"/>
              <w:spacing w:after="0" w:line="182"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1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2"/>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3620" w:type="dxa"/>
            <w:vAlign w:val="bottom"/>
            <w:tcBorders>
              <w:top w:val="single" w:sz="8" w:color="CCEEFF"/>
            </w:tcBorders>
            <w:gridSpan w:val="6"/>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2"/>
        </w:trPr>
        <w:tc>
          <w:tcPr>
            <w:tcW w:w="9440" w:type="dxa"/>
            <w:vAlign w:val="bottom"/>
            <w:gridSpan w:val="26"/>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7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0" w:type="dxa"/>
            <w:vAlign w:val="bottom"/>
            <w:tcBorders>
              <w:top w:val="single" w:sz="8" w:color="CCEEFF"/>
            </w:tcBorders>
            <w:gridSpan w:val="13"/>
          </w:tcPr>
          <w:p>
            <w:pPr>
              <w:spacing w:after="0"/>
              <w:rPr>
                <w:sz w:val="17"/>
                <w:szCs w:val="17"/>
                <w:color w:val="auto"/>
              </w:rPr>
            </w:pPr>
          </w:p>
        </w:tc>
        <w:tc>
          <w:tcPr>
            <w:tcW w:w="176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600" w:type="dxa"/>
            <w:vAlign w:val="bottom"/>
            <w:tcBorders>
              <w:bottom w:val="single" w:sz="8" w:color="CCEEFF"/>
            </w:tcBorders>
            <w:gridSpan w:val="18"/>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required otherwise, the terms “ImmunityBio,” “the company,” “we,” “us,” and “our” in this Quarterly Report refer to ImmunityBio, Inc., a Delaware corporation, and, where appropriate, its subsidiaries. We have also used several other terms in this Quarterly Report, the unaudited condensed consolidated financial statements and accompanying notes included herein, most of which are defined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 Plan</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ImmunityBio, Inc. 2015 Equity Incentive Plan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3M IPC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3M Innovative Properties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3PL Agent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agent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AAHI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 to Advanced Health Institute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Affordable Care Act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Altor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Altor BioScience, LLC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 Invents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Leahy-Smith America Invents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Amyris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Amyris, Inc.</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ANKTIVA</w:t>
            </w:r>
            <w:r>
              <w:rPr>
                <w:rFonts w:ascii="Times New Roman" w:cs="Times New Roman" w:eastAsia="Times New Roman" w:hAnsi="Times New Roman"/>
                <w:sz w:val="20"/>
                <w:szCs w:val="20"/>
                <w:color w:val="auto"/>
                <w:vertAlign w:val="superscript"/>
              </w:rPr>
              <w:t>®</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Proprietary name for N-803 (formerly ALT-803), our novel IL-15 receptor superagonist</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complex (nogapendekin alfa inbakicept-pmln) currently approved for use in the</w:t>
            </w:r>
          </w:p>
        </w:tc>
      </w:tr>
      <w:tr>
        <w:trPr>
          <w:trHeight w:val="180"/>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United States with BCG for the treatment of adult patients with BCG-unresponsive</w:t>
            </w:r>
          </w:p>
        </w:tc>
      </w:tr>
      <w:tr>
        <w:trPr>
          <w:trHeight w:val="176"/>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 xml:space="preserve">non-muscle invasive bladder cancer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with or without papillary tumors,</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currently in clinical development for other indications.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2024</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product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ANKTIVA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Athenex</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Athenex,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“at-the-market” sales agreement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ATRA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Taxpayer Relief Act of 2012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BCG</w:t>
            </w:r>
          </w:p>
        </w:tc>
        <w:tc>
          <w:tcPr>
            <w:tcW w:w="8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Bacillus Calmette-Guérin (TICE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BCG approved for use in the U.S.)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Beike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Shenzhen Beike Biotechnology Co. Ltd.</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 License Application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BPCIA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Biologics Price Competition and Innovation Act of 2009</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Brink Biologics, Inc.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Cambridge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Cambridge Equities, LP</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CBER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 for Biologics Evaluation and Research of the FDA</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Consumer Privacy Act of 2018</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CDER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 for Drug Evaluation and Research of the FDA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cGMP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Good Manufacturing Practice</w:t>
            </w: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China</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when used in connection with the RIPA, People’s Republic of China, Hong Kong and</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any territories controlled by the People’s Republic of China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carcinoma </w:t>
            </w:r>
            <w:r>
              <w:rPr>
                <w:rFonts w:ascii="Times New Roman" w:cs="Times New Roman" w:eastAsia="Times New Roman" w:hAnsi="Times New Roman"/>
                <w:sz w:val="18"/>
                <w:szCs w:val="18"/>
                <w:i w:val="1"/>
                <w:iCs w:val="1"/>
                <w:color w:val="auto"/>
              </w:rPr>
              <w:t>in situ</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Immuno-Oncology Clinic, Inc.</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Date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29, 2023</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Chemistry, Manufacturing and Controls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manufacturing organization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CPI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checkpoint inhibitor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CPRA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Privacy Rights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 response letter</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value right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DGCL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General Corporation Law</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Duley Road</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Duley Road, LLC</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Dunkirk Facility</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 leasehold interest in a cGMP ISO Class 5 pharmaceutical manufacturing space in</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western New York</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Expanded Access Program</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Medicines Agency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Exyte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Exyte U.S.,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False Claims Act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FCPA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Foreign Corrupt Practices Act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 (or the Agency)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In First Out inventory method</w:t>
            </w:r>
          </w:p>
        </w:tc>
      </w:tr>
      <w:tr>
        <w:trPr>
          <w:trHeight w:val="175"/>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FSMC</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Fort Schuyler Management Corporation, a not-for-profit corporation affiliated with the</w:t>
            </w:r>
          </w:p>
        </w:tc>
      </w:tr>
      <w:tr>
        <w:trPr>
          <w:trHeight w:val="239"/>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freedom-to-operate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FVO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option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GBM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glioblastoma multiforme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GCP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 Clinical Practice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GDPR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Data Protection Regulation</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GlobeImmune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GlobeImmune,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GLP</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Laboratory Practice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GMP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 Manufacturing Practice</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hAd5</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 adenovirus serotype 5</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Hatch-Waxman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Drug Price Competition and Patent Term Restoration Act of 1984</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HCPCS</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Healthcare Common Procedure Coding System, a set of standardized codes used in the U.S.</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describe specific medical procedures, services, equipment, medications, and supplies.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HCW</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HCW Biologics,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HIPAA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 Portability and Accountability Act of 1996</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HITECH</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Information Technology for Economic and Clinical Health Act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 immunodeficiency virus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IgDraSol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IgDraSol, Inc., a subsidiary of the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IL-15</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novel interleukin 15</w:t>
            </w:r>
          </w:p>
        </w:tc>
      </w:tr>
      <w:tr>
        <w:trPr>
          <w:trHeight w:val="904"/>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iii</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investigational new drug</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Infinity</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Infinity SA LLC, as purchaser agent for affiliates of Oberland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J-code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part of the HCPCS used to designate non-oral medications and other medical devices</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LMIC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and middle-income countries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M-ceNK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memory-like cytokine-enhanced NK</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Authorization Application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mAbs</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 antibodies</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MHC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 histocompatability complex</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MHRA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Medicines and Healthcare products Regulatory Agency</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NantBio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NantBio,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 LLC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NantCell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NantCell, Inc., a subsidiary of the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NANTibody</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Immunotherapy NANTibody, LLC, a subsidiary of the company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NantKwest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NantKwest,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NantMobile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NantMobile, LLC</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NantWorks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NantWorks, LLC, a related-party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NCSC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NantCancerStemCell, LLC</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named executive officer</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NK</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killer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NMIBC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non-muscle invasive bladder cancer</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non-small cell lung cancer</w:t>
            </w:r>
          </w:p>
        </w:tc>
      </w:tr>
      <w:tr>
        <w:trPr>
          <w:trHeight w:val="175"/>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Oberland Capital Management LLC and its affiliates (including Purchasers as</w:t>
            </w:r>
          </w:p>
        </w:tc>
      </w:tr>
      <w:tr>
        <w:trPr>
          <w:trHeight w:val="239"/>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in the RIPA)</w:t>
            </w: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Oncology Center of Excellence of the FDA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OFAC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Department’s Office of Foreign Assets Control</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PD-L1</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programmed death receptor ligand</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Protected Health Information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premarket approval</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QMSR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Quality Management System Regulation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QSR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System Regulation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Quarterly Report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three months ended March 31, 2025</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QUILT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QUantum Integrative Lifelong Trial</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rBCG</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recombinant BCG</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direct offering</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Evaluation and Mitigation Strategy</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iv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34"/>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Interest Payments</w:t>
            </w:r>
          </w:p>
        </w:tc>
        <w:tc>
          <w:tcPr>
            <w:tcW w:w="8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respect to each calendar quarter during the revenue interest period, the amount payable</w:t>
            </w:r>
          </w:p>
        </w:tc>
      </w:tr>
      <w:tr>
        <w:trPr>
          <w:trHeight w:val="184"/>
        </w:trPr>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by the company to Oberland equal to the net sales in the covered territory for such calendar</w:t>
            </w:r>
          </w:p>
        </w:tc>
      </w:tr>
      <w:tr>
        <w:trPr>
          <w:trHeight w:val="180"/>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quarter multiplied by the applicable percentage, subject to the terms and conditions set forth</w:t>
            </w:r>
          </w:p>
        </w:tc>
      </w:tr>
      <w:tr>
        <w:trPr>
          <w:trHeight w:val="176"/>
        </w:trPr>
        <w:tc>
          <w:tcPr>
            <w:tcW w:w="2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in the RIPA; provided that, with respect to any calendar quarter, that the total revenue interest</w:t>
            </w:r>
          </w:p>
        </w:tc>
      </w:tr>
      <w:tr>
        <w:trPr>
          <w:trHeight w:val="243"/>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will not exceed the cap amount applicable at such time</w:t>
            </w:r>
          </w:p>
        </w:tc>
      </w:tr>
      <w:tr>
        <w:trPr>
          <w:trHeight w:val="176"/>
        </w:trPr>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Interests</w:t>
            </w:r>
          </w:p>
        </w:tc>
        <w:tc>
          <w:tcPr>
            <w:tcW w:w="8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all of the company’s right, title and interest in and to that portion of the accounts and payment</w:t>
            </w:r>
          </w:p>
        </w:tc>
      </w:tr>
      <w:tr>
        <w:trPr>
          <w:trHeight w:val="184"/>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intangibles arising out of sales and licenses of the included products and the product assets</w:t>
            </w:r>
          </w:p>
        </w:tc>
      </w:tr>
      <w:tr>
        <w:trPr>
          <w:trHeight w:val="180"/>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equal to the Revenue Interest Payments for each calendar quarter (or portion thereof) during</w:t>
            </w:r>
          </w:p>
        </w:tc>
      </w:tr>
      <w:tr>
        <w:trPr>
          <w:trHeight w:val="230"/>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revenue interest period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Purchase Agreement</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Riptide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Riptide Bioscience, Inc.</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RMAT</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regenerative medicine advanced therapy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RTF</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refusal to file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Simple Agreement for Future Equity</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SARS-CoV-2</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novel strain of the coronavirus (COVID-19)</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sBLA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Biologics License Application</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404 of the Sarbanes-Oxley Act of 2002</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Serum Institute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Serum Institute of India</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Sorrento</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Sorrento Therapeutics, Inc.</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SPOA</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and Option Agreement</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TCJA</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Secured Overnight Financing Rate</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Test Date</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used in connection with the RIPA, December 31, 2029</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TF Platform</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tissue factor-based fusion discovery platform</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TGF-β</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transforming growth factor beta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t-haNK</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targeted high-affinity NK</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TLR</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toll-like receptor</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TriAd</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Triple Antigen (CEA, MUC1, Brachyury)</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GDPR</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Data Protection Act of 2018</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Patent and Trademark Office</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VBC Holdings</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VBC Holdings, LLC, a subsidiary of the company</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VivaBioCell</w:t>
            </w:r>
          </w:p>
        </w:tc>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VivaBioCell, S.p.A., a wholly-owned subsidiary of VBC Holdings</w:t>
            </w:r>
          </w:p>
        </w:tc>
      </w:tr>
      <w:tr>
        <w:trPr>
          <w:trHeight w:val="90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v</w:t>
            </w:r>
          </w:p>
        </w:tc>
      </w:tr>
      <w:tr>
        <w:trPr>
          <w:trHeight w:val="115"/>
        </w:trPr>
        <w:tc>
          <w:tcPr>
            <w:tcW w:w="2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14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7"/>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10"/>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143,428</w:t>
            </w:r>
          </w:p>
        </w:tc>
      </w:tr>
      <w:tr>
        <w:trPr>
          <w:trHeight w:val="210"/>
        </w:trPr>
        <w:tc>
          <w:tcPr>
            <w:tcW w:w="810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r>
      <w:tr>
        <w:trPr>
          <w:trHeight w:val="210"/>
        </w:trPr>
        <w:tc>
          <w:tcPr>
            <w:tcW w:w="810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from related parties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0"/>
        </w:trPr>
        <w:tc>
          <w:tcPr>
            <w:tcW w:w="810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20,872</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04"/>
        </w:trPr>
        <w:tc>
          <w:tcPr>
            <w:tcW w:w="8100" w:type="dxa"/>
            <w:vAlign w:val="bottom"/>
            <w:gridSpan w:val="9"/>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109,163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184,586</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137,094</w:t>
            </w:r>
          </w:p>
        </w:tc>
      </w:tr>
      <w:tr>
        <w:trPr>
          <w:trHeight w:val="210"/>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15,933</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r>
      <w:tr>
        <w:trPr>
          <w:trHeight w:val="210"/>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17,407</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 – related parties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w:t>
            </w:r>
          </w:p>
        </w:tc>
      </w:tr>
      <w:tr>
        <w:trPr>
          <w:trHeight w:val="210"/>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3"/>
        </w:trPr>
        <w:tc>
          <w:tcPr>
            <w:tcW w:w="8100" w:type="dxa"/>
            <w:vAlign w:val="bottom"/>
            <w:gridSpan w:val="9"/>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303,759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382,933</w:t>
            </w: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81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0"/>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r>
      <w:tr>
        <w:trPr>
          <w:trHeight w:val="210"/>
        </w:trPr>
        <w:tc>
          <w:tcPr>
            <w:tcW w:w="810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40,580</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0"/>
        </w:trPr>
        <w:tc>
          <w:tcPr>
            <w:tcW w:w="810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 related parties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4"/>
        </w:trPr>
        <w:tc>
          <w:tcPr>
            <w:tcW w:w="8100" w:type="dxa"/>
            <w:vAlign w:val="bottom"/>
            <w:gridSpan w:val="9"/>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54,944</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100" w:type="dxa"/>
            <w:vAlign w:val="bottom"/>
            <w:gridSpan w:val="9"/>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Related-party convertible note payable, at fair value (</w:t>
            </w:r>
            <w:r>
              <w:rPr>
                <w:rFonts w:ascii="Times New Roman" w:cs="Times New Roman" w:eastAsia="Times New Roman" w:hAnsi="Times New Roman"/>
                <w:sz w:val="16"/>
                <w:szCs w:val="16"/>
                <w:color w:val="0000FF"/>
              </w:rPr>
              <w:t>Note 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485,717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461,877</w:t>
            </w:r>
          </w:p>
        </w:tc>
      </w:tr>
      <w:tr>
        <w:trPr>
          <w:trHeight w:val="175"/>
        </w:trPr>
        <w:tc>
          <w:tcPr>
            <w:tcW w:w="3480" w:type="dxa"/>
            <w:vAlign w:val="bottom"/>
            <w:tcBorders>
              <w:top w:val="single" w:sz="8" w:color="CCEEFF"/>
            </w:tcBorders>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Revenue interest liability (</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440" w:type="dxa"/>
            <w:vAlign w:val="bottom"/>
            <w:tcBorders>
              <w:top w:val="single" w:sz="8" w:color="0000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33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296,287</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284,404</w:t>
            </w: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w:t>
            </w:r>
          </w:p>
        </w:tc>
      </w:tr>
      <w:tr>
        <w:trPr>
          <w:trHeight w:val="213"/>
        </w:trPr>
        <w:tc>
          <w:tcPr>
            <w:tcW w:w="81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 – related parties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16,959</w:t>
            </w:r>
          </w:p>
        </w:tc>
      </w:tr>
      <w:tr>
        <w:trPr>
          <w:trHeight w:val="199"/>
        </w:trPr>
        <w:tc>
          <w:tcPr>
            <w:tcW w:w="8100" w:type="dxa"/>
            <w:vAlign w:val="bottom"/>
            <w:gridSpan w:val="9"/>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Derivative liabilities (</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20,542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26,120</w:t>
            </w:r>
          </w:p>
        </w:tc>
      </w:tr>
      <w:tr>
        <w:trPr>
          <w:trHeight w:val="240"/>
        </w:trPr>
        <w:tc>
          <w:tcPr>
            <w:tcW w:w="1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520" w:type="dxa"/>
            <w:vAlign w:val="bottom"/>
            <w:tcBorders>
              <w:top w:val="single" w:sz="8" w:color="0000FF"/>
            </w:tcBorders>
            <w:gridSpan w:val="2"/>
          </w:tcPr>
          <w:p>
            <w:pPr>
              <w:spacing w:after="0"/>
              <w:rPr>
                <w:sz w:val="20"/>
                <w:szCs w:val="20"/>
                <w:color w:val="auto"/>
              </w:rPr>
            </w:pPr>
          </w:p>
        </w:tc>
        <w:tc>
          <w:tcPr>
            <w:tcW w:w="6140" w:type="dxa"/>
            <w:vAlign w:val="bottom"/>
            <w:tcBorders>
              <w:top w:val="single" w:sz="8" w:color="CCEEFF"/>
            </w:tcBorders>
            <w:gridSpan w:val="6"/>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8,575</w:t>
            </w:r>
          </w:p>
        </w:tc>
      </w:tr>
      <w:tr>
        <w:trPr>
          <w:trHeight w:val="246"/>
        </w:trPr>
        <w:tc>
          <w:tcPr>
            <w:tcW w:w="81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4"/>
        </w:trPr>
        <w:tc>
          <w:tcPr>
            <w:tcW w:w="8100" w:type="dxa"/>
            <w:vAlign w:val="bottom"/>
            <w:gridSpan w:val="9"/>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894,241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871,062</w:t>
            </w:r>
          </w:p>
        </w:tc>
      </w:tr>
      <w:tr>
        <w:trPr>
          <w:trHeight w:val="33"/>
        </w:trPr>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2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5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0"/>
        </w:trPr>
        <w:tc>
          <w:tcPr>
            <w:tcW w:w="810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4"/>
                <w:szCs w:val="14"/>
                <w:color w:val="0000FF"/>
              </w:rPr>
              <w:t>Note 11</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2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460" w:type="dxa"/>
            <w:vAlign w:val="bottom"/>
            <w:tcBorders>
              <w:top w:val="single" w:sz="8" w:color="0000FF"/>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9"/>
        </w:trPr>
        <w:tc>
          <w:tcPr>
            <w:tcW w:w="8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1,350,000,000 shares authorized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as of March 31, 2025 and December 31, 2024; 853,556,193 and</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6"/>
        </w:trPr>
        <w:tc>
          <w:tcPr>
            <w:tcW w:w="8100" w:type="dxa"/>
            <w:vAlign w:val="bottom"/>
            <w:gridSpan w:val="3"/>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852,904,340 shares issued and outstanding as of March 31, 2025 and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9"/>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December 31, 2024, respectively; excluding treasury stock, 163,800 shares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8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outstanding as of March 31, 2025 and December 31, 2024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2,893,422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2,884,867</w:t>
            </w:r>
          </w:p>
        </w:tc>
      </w:tr>
      <w:tr>
        <w:trPr>
          <w:trHeight w:val="3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(3,504,894)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(3,375,248)</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33"/>
        </w:trPr>
        <w:tc>
          <w:tcPr>
            <w:tcW w:w="2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ImmunityBio stockholders’ deficit</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(489,098)</w:t>
            </w:r>
          </w:p>
        </w:tc>
      </w:tr>
      <w:tr>
        <w:trPr>
          <w:trHeight w:val="21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33"/>
        </w:trPr>
        <w:tc>
          <w:tcPr>
            <w:tcW w:w="2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(488,129)</w:t>
            </w:r>
          </w:p>
        </w:tc>
      </w:tr>
      <w:tr>
        <w:trPr>
          <w:trHeight w:val="234"/>
        </w:trPr>
        <w:tc>
          <w:tcPr>
            <w:tcW w:w="810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303,759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382,933</w:t>
            </w:r>
          </w:p>
        </w:tc>
      </w:tr>
      <w:tr>
        <w:trPr>
          <w:trHeight w:val="23"/>
        </w:trPr>
        <w:tc>
          <w:tcPr>
            <w:tcW w:w="2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13335</wp:posOffset>
            </wp:positionV>
            <wp:extent cx="1971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jc w:val="both"/>
        <w:ind w:left="87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33655</wp:posOffset>
            </wp:positionV>
            <wp:extent cx="19716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Product revenue, net</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Total revenue</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Cost of sales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Research and development – related parties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 – related parties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Total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Loss from operations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0"/>
        </w:trPr>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436"/>
        </w:trPr>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51,322</w:t>
            </w:r>
          </w:p>
        </w:tc>
      </w:tr>
      <w:tr>
        <w:trPr>
          <w:trHeight w:val="243"/>
        </w:trPr>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243"/>
        </w:trPr>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w:t>
            </w:r>
          </w:p>
        </w:tc>
      </w:tr>
      <w:tr>
        <w:trPr>
          <w:trHeight w:val="243"/>
        </w:trPr>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33"/>
        </w:trPr>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95,236</w:t>
            </w:r>
          </w:p>
        </w:tc>
      </w:tr>
      <w:tr>
        <w:trPr>
          <w:trHeight w:val="33"/>
        </w:trPr>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(95,196)</w:t>
            </w:r>
          </w:p>
        </w:tc>
      </w:tr>
      <w:tr>
        <w:trPr>
          <w:trHeight w:val="33"/>
        </w:trPr>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3" w:lineRule="exact"/>
        <w:rPr>
          <w:sz w:val="20"/>
          <w:szCs w:val="20"/>
          <w:color w:val="auto"/>
        </w:rPr>
      </w:pPr>
    </w:p>
    <w:p>
      <w:pPr>
        <w:sectPr>
          <w:pgSz w:w="11900" w:h="16838" w:orient="portrait"/>
          <w:cols w:equalWidth="0" w:num="2">
            <w:col w:w="7400" w:space="720"/>
            <w:col w:w="3100"/>
          </w:cols>
          <w:pgMar w:left="320" w:top="445" w:right="35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related to revenue interest liability</w:t>
            </w: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4"/>
        </w:trPr>
        <w:tc>
          <w:tcPr>
            <w:tcW w:w="8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expense, net</w:t>
            </w: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(65,471)</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noncontrolling interests</w:t>
            </w:r>
          </w:p>
        </w:tc>
        <w:tc>
          <w:tcPr>
            <w:tcW w:w="4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(134,130)</w:t>
            </w:r>
          </w:p>
        </w:tc>
        <w:tc>
          <w:tcPr>
            <w:tcW w:w="0" w:type="dxa"/>
            <w:vAlign w:val="bottom"/>
          </w:tcPr>
          <w:p>
            <w:pPr>
              <w:spacing w:after="0"/>
              <w:rPr>
                <w:sz w:val="1"/>
                <w:szCs w:val="1"/>
                <w:color w:val="auto"/>
              </w:rPr>
            </w:pPr>
          </w:p>
        </w:tc>
      </w:tr>
      <w:tr>
        <w:trPr>
          <w:trHeight w:val="21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(134,130)</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net of tax</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ImmunityBio common stockholders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(134,109)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ImmunityBio common share – basic</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ImmunityBio common share – diluted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computing net loss per share – basic</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672,831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in computing net loss per share – diluted</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853,162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672,831</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(134,130)</w:t>
            </w: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income taxes: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related-party convertible note related to instrument-specific credit risk</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unrealized losses on available-for-sale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Reclassification of net realized losses on available-for-sale securities included in net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8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4"/>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(110,908)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(134,147)</w:t>
            </w:r>
          </w:p>
        </w:tc>
      </w:tr>
      <w:tr>
        <w:trPr>
          <w:trHeight w:val="33"/>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attributable to ImmunityBio common stockholders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(110,888)</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(134,126)</w:t>
            </w:r>
          </w:p>
        </w:tc>
      </w:tr>
      <w:tr>
        <w:trPr>
          <w:trHeight w:val="23"/>
        </w:trPr>
        <w:tc>
          <w:tcPr>
            <w:tcW w:w="8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40" w:type="dxa"/>
            <w:vAlign w:val="bottom"/>
            <w:gridSpan w:val="3"/>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852,904,340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$2,884,867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$(3,375,248)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(488,129)</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110,020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 (RSUs)</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901,713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18,758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853,556,193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2,893,422</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(3,504,894)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19,956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(591,431)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670,867,344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$2,374,620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(585,937)</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8,266</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0" w:type="dxa"/>
            <w:vAlign w:val="bottom"/>
          </w:tcPr>
          <w:p>
            <w:pPr>
              <w:spacing w:after="0"/>
              <w:rPr>
                <w:sz w:val="1"/>
                <w:szCs w:val="1"/>
                <w:color w:val="auto"/>
              </w:rPr>
            </w:pPr>
          </w:p>
        </w:tc>
      </w:tr>
      <w:tr>
        <w:trPr>
          <w:trHeight w:val="24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2,969,156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(1,117,737)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4,284,648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24,701</w:t>
            </w:r>
          </w:p>
        </w:tc>
        <w:tc>
          <w:tcPr>
            <w:tcW w:w="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w:t>
            </w:r>
          </w:p>
        </w:tc>
        <w:tc>
          <w:tcPr>
            <w:tcW w:w="0" w:type="dxa"/>
            <w:vAlign w:val="bottom"/>
          </w:tcPr>
          <w:p>
            <w:pPr>
              <w:spacing w:after="0"/>
              <w:rPr>
                <w:sz w:val="1"/>
                <w:szCs w:val="1"/>
                <w:color w:val="auto"/>
              </w:rPr>
            </w:pPr>
          </w:p>
        </w:tc>
      </w:tr>
      <w:tr>
        <w:trPr>
          <w:trHeight w:val="235"/>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677,003,411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2,403,720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(3,095,793)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(690,983)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(129,666)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related-party convertible note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interest expense related to revenue interest liability</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lease expense related to operating lease right-of-use assets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 related to operating lease right-of-use assets – related parties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interest items,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Accretion of discounts on marketable debt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losses (gains) on equity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related-party notes discounts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0"/>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 related parties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to and due from related parties, net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 related parties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04"/>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(106,982)</w:t>
            </w:r>
          </w:p>
        </w:tc>
      </w:tr>
      <w:tr>
        <w:trPr>
          <w:trHeight w:val="3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marketable debt securities, available-for-sale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13,021</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marketable debt securities, available-for-sale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(48,363)</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marketable debt securities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04"/>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(35,622)</w:t>
            </w:r>
          </w:p>
        </w:tc>
      </w:tr>
      <w:tr>
        <w:trPr>
          <w:trHeight w:val="3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warrants</w:t>
            </w:r>
          </w:p>
        </w:tc>
        <w:tc>
          <w:tcPr>
            <w:tcW w:w="9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14,116</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9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revenue interest liability</w:t>
            </w:r>
          </w:p>
        </w:tc>
        <w:tc>
          <w:tcPr>
            <w:tcW w:w="9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8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10,225</w:t>
            </w:r>
          </w:p>
        </w:tc>
      </w:tr>
      <w:tr>
        <w:trPr>
          <w:trHeight w:val="204"/>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(132,418)</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143,912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265,787</w:t>
            </w:r>
          </w:p>
        </w:tc>
      </w:tr>
      <w:tr>
        <w:trPr>
          <w:trHeight w:val="33"/>
        </w:trPr>
        <w:tc>
          <w:tcPr>
            <w:tcW w:w="8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 end of period:</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133,035</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4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133,369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23,912</w:t>
            </w:r>
          </w:p>
        </w:tc>
      </w:tr>
      <w:tr>
        <w:trPr>
          <w:trHeight w:val="25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7"/>
        </w:trPr>
        <w:tc>
          <w:tcPr>
            <w:tcW w:w="8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81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due to related parties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33"/>
        </w:trPr>
        <w:tc>
          <w:tcPr>
            <w:tcW w:w="8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(losses) gains on marketable debt securities, net</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unaudited condensed consolidated financial statements, the terms “ImmunityBio,” “the company,” “we,” “us,” and “our” refer to ImmunityBio, Inc.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 immune response with the goal of creating durable and safe protection against disease. Designated an FDA Breakthrough Therapy, ANKTIVA is the first FDA-approved immunotherapy for non-muscle invasive bladder cancer CIS that activates natural killer cells, T cells, and memory T cells for a long duration response. The company is applying our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19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Our platforms and their associated product and product candidates are designed to attack cancer and infectious pathogens by activating both the innate immune system, including NK cells, dendritic cells, and macrophages, as well as the adaptive immune system comprising B and T cells, 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CPIs, by turning immunologically cold, MHC-deficient tumors hot and/or reducing the need for standard high-dose chemotherapy in cancer by employing a coordinated approach to establish “immunological memory” that confers long-term benefit for the patient.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proprietary platforms for the development of biologic products and product candidates include: (i) cytokine fusion proteins, (ii) vaccine vectors, and (iii) cell therapies. Specifically, our core clinical focus is on bladder and lung cancers with additional clinical efforts in prostate and colorectal cancers, hematologic malignancies and GBM, which are among the most frequent and lethal cancer types, and where there are high failure rates for existing standards of care or no available effective treatment.</w:t>
      </w:r>
    </w:p>
    <w:p>
      <w:pPr>
        <w:spacing w:after="0" w:line="180" w:lineRule="exact"/>
        <w:rPr>
          <w:sz w:val="20"/>
          <w:szCs w:val="20"/>
          <w:color w:val="auto"/>
        </w:rPr>
      </w:pPr>
    </w:p>
    <w:p>
      <w:pPr>
        <w:jc w:val="both"/>
        <w:ind w:right="200" w:firstLine="648"/>
        <w:spacing w:after="0" w:line="312" w:lineRule="auto"/>
        <w:rPr>
          <w:sz w:val="20"/>
          <w:szCs w:val="20"/>
          <w:color w:val="auto"/>
        </w:rPr>
      </w:pPr>
      <w:r>
        <w:rPr>
          <w:rFonts w:ascii="Times New Roman" w:cs="Times New Roman" w:eastAsia="Times New Roman" w:hAnsi="Times New Roman"/>
          <w:sz w:val="17"/>
          <w:szCs w:val="17"/>
          <w:color w:val="auto"/>
        </w:rPr>
        <w:t>ANKTIVA was approved by the FDA in 2024 for use in the United States with BCG for the treatment of adult patients with BCG-unresponsive non-muscle invasive bladder cancer with CIS with or without papillary tumors. We began commercial distribution of our approved product in May 2024.</w:t>
      </w:r>
    </w:p>
    <w:p>
      <w:pPr>
        <w:spacing w:after="0" w:line="2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pursuant to the rules and regulations of the SEC. The unaudited condensed consolidated financial statements reflect all adjustments which are, in the opinion of management, necessary for a fair presentation of our financial position and results of operations. Certain items in the prior year’s consolidated financial statements have been reclassified to conform to the current presentation. These reclassifications had no effect on the reported results of operations. The unaudited condensed consolidated financial statements do not include all information and notes required by U.S. GAAP for annual reports and therefore should be read in conjunction with our consolidated financial statements and the notes thereto contained in our Annual Report filed with the SEC on March 3, 2025. These interim financials are not necessarily indicative of results expected for the full fiscal year.</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include the accounts of the company, its wholly-owned subsidiaries, and a VIE for which the company is the primary beneficiary. Any material intercompany transactions and balances have been eliminated upon consolidation. For consolidated entities in which we have less than 100% ownership, we record </w:t>
      </w:r>
      <w:r>
        <w:rPr>
          <w:rFonts w:ascii="Times New Roman" w:cs="Times New Roman" w:eastAsia="Times New Roman" w:hAnsi="Times New Roman"/>
          <w:sz w:val="18"/>
          <w:szCs w:val="18"/>
          <w:i w:val="1"/>
          <w:iCs w:val="1"/>
          <w:color w:val="auto"/>
        </w:rPr>
        <w:t>net loss attributable to noncontrolling interests, net of tax,</w:t>
      </w:r>
      <w:r>
        <w:rPr>
          <w:rFonts w:ascii="Times New Roman" w:cs="Times New Roman" w:eastAsia="Times New Roman" w:hAnsi="Times New Roman"/>
          <w:sz w:val="18"/>
          <w:szCs w:val="18"/>
          <w:color w:val="auto"/>
        </w:rPr>
        <w:t xml:space="preserve"> on the condensed consolidated statement of operations equal to the percentage of the ownership interest retained in such entities by the respective noncontrolling parties.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whether we are the primary beneficiary of a VIE at the inception of the arrangement and at each reporting date. This assessment is based on our power to direct the activities of the VIE that most significantly impact the VIE’s economic performance and our obligation to absorb losses or the right to receive benefits from the VIE that could potentially be significant to the VIE.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entity is within the scope of the variable interest model and meets the definition of a VIE, we consider whether we must consolidate the VIE or provide additional disclosures regarding our involvement with the VIE. If we determine that we are the primary beneficiary of the VIE, we will consolidate the VIE. This analysis is performed at the initial investment in the entity or upon any reconsideration event.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entities we hold as an equity investment that are not consolidated under the VIE model, we consider whether our investment constitutes a controlling financial interest in the entity and therefore should be considered for consolidation under the voting interest model.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an accumulated deficit of $3.5 billion. We also had negative cash flows from operations of $85.9 million during the three months ended March 31, 2025. The company will need to obtain additional financing to fund our future operations, including the commercialization of our approved product and the development and commercialization of our other product candidates.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the uncertainty of our ability to continue as a going concern. 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and our potential ability to borrow from affiliated entities will be sufficient to fund our operations through at least the next 12 months following the issuance date of the condensed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funds from the future sales of our approved product, which we expect to take time to establish, we may also seek to sell additional equity, through one or more follow-on offerings, or in separate financings, or obtain incremental subordinated debt in compliance with our existing revenue interest liability. However, we may not be able to secure such external financing in a timely manner or on favorable terms. Without significant sales of our approved product or additional funds, we may choose to delay or reduce our operating or investment expenditures. Further, because of the risk and uncertainties associated with the commercialization of our approved product and our other product candidates, we may need additional funds to meet our needs sooner than planned.</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amounts of revenues and expenses during the reporting period. On an ongoing basis, we evaluate our estimates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and anticipated future events, and accordingly, actual results may ultimately differ materially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After FDA approval in April 2024, the company began recognizing revenue from the sale of ANKTIVA in accordance with ASC 606. The provisions of ASC 606 require the following steps to determine revenue recognition: (i) identification of contract with the customers; (ii) identification of performance obligations; (iii) measurement of the transaction price, including the constraint on variable consideration; (iv) allocation of the transaction price to the performance obligations based on estimated selling prices; and (v) recognition of revenue when (or as) we satisfy each performance obligation. At contract inception, we assess the goods or services promised within each contract, determine whether each promised good or service is distinct and identify those that are performance obligations. We recognize as revenue the amount of the transaction price that is allocated to the respective performance obligation when (or as) the performance obligation is satisfied.</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entered into a third-party logistics agreement to engage a 3PL Agent to distribute the company’s products to its customers. The 3PL Agent provides services to the company that include storage, shipping and distribution, processing product returns, as well as customer service, order to cash, and logistics support. The company’s customers are currently limited to pharmaceutical specialty distributors and specialty pharmacy. The company primarily sells ANKTIVA to specialty distributors through a drop-ship arrangement under which orders from various healthcare institutions such as hospitals, medical facilities, physician practices, pharmacies and government agencies are processed through and controlled by specialty distributors. Under the drop-ship arrangement, the 3PL Agent ships the product to various health care institutions without the specialty distributor ever taking physical possession of the product. The company recognizes product revenue when ANKTIVA is delivered to the end user as instructed and controlled by specialty distributors.</w:t>
      </w:r>
    </w:p>
    <w:p>
      <w:pPr>
        <w:spacing w:after="0" w:line="1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sells ANKTIVA directly to a specialty pharmacy who then subsequently distributes ANKTIVA to physicians, clinics, and certain medical centers, hospitals or other healthcare institutions. The company recognizes product revenue when ANKTIVA is delivered to the specialty pharmacy location.</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Product revenue is recorded with each sale at wholesale acquisition cost, net of: (a) consideration payable to customers; and (b) variable consideration. The company pays fees to the specialty distributors for certain administrative services associated with the distribution of the product wherein the terms of which are also detailed in its contracts. Such fees are not for a distinct good or service and, accordingly, are recorded as a reduction of revenue, as well as a reduction of accounts receivable (trade discounts) or as a component of accrued expenses (distributor fees). The variable consideration components include, but are not limited to, prompt payment discounts, product returns, chargebacks, rebates, and co-payment assistance, which are collectively referred to as “Gross-to-Net Adjustments.” In accordance with ASC 606, the company must make judgments to determine the estimates for certain variable considerations. 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company utilizes the expected value method when estimating the amount of variable consideration to include in the transaction price with respect to each of the foregoing variable consideration components. Where appropriate, these estimates are based on factors such as industry and forecasted customer buying and payment patterns, our experience, current contractual and statutory requirements, and specific known market events and trends.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Variable consideration is reassessed each reporting period, and adjustments are recorded on a cumulative catch-up basis, which affects product revenue and net income in the period of adjustment. The actual amounts of variable consideration ultimately received may differ from our estimates. If actual results in future periods vary from our estimates, we adjust these estimates accordingly. As we gain more experience, estimates will be more heavily based on the expected utilization from historical data we have accumulated since the ANKTIVA product launch.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sell our proprietary GMP-in-a-Box bioreactors and related consumables to affiliated companies and third parties. The arrangements typically include delivery of bioreactors, consumables, and providing installation service and perpetual software licenses for using the equipment. We recognize revenue when customers obtain control and can benefit from the promised goods or services, generally upon installation of the bioreactors,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Grant revenue is typically paid for reimbursable costs incurred over the duration of the associated research project or clinical trial and is recognized either when expenses reimbursable under the grants have been incurred and payments under the grants become contractually due or when cash is received, depending on the certainty of payment and other factors specific to each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Third Parties</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nonexclusive license agreements with a limited number of pharmaceutical and biotechnology companies that grant them the right to use our cell lines and intellectual property for non-clinical use. These agreements generally include upfront fees and annual research license fees for such use, as well as commercial license fees for sales of the licensee products developed or manufactured using our intellectual property and cell lines.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our license agreements with customers, we typically promise to provide a license to use certain cell lines and related patents, the related know-how, and future research and development data that affect the license. We have concluded that these promises represent a single performance obligation due to the highly interrelated nature of the promises. We provide the cell lines and know-how immediately upon entering into the contracts. Research and development data are provided throughout the term of the contract when and if available. A performance obligation is a promise in a contract to transfer a distinct good or service to the customer. A contract’s transaction price is allocated to each distinct performance obligation based on relative standalone selling price and recognized as revenue when, or as, the performance obligation is satisfied.</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license agreements may include non-refundable upfront payments, event-based milestone payments, sales-based royalty payments, or some combination of these. The event-based milestone payments represent variable consideration, and we use the most likely amount method to estimate this variable consideration. Given the high degree of uncertainty around the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recognize revenue from sales-based royalty payments when or as sales occur. On a quarterly basis, we re-evaluate our estimate of milestone variable consideration to determine whether any amount should be included in the transaction price and recorded in revenue prospectively.</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Cost of sales consists primarily of third-party manufacturing costs, distribution, and overhead costs related to sales of approved product subsequent to receiving regulatory approval. Cost of sales may also include costs related to excess or obsolete inventory adjustment charges, abnormal costs, unabsorbed manufacturing and overhead costs, and manufacturing variances. All costs associated with the production of ANKTIVA prior to receiving regulatory approval were expensed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is recorded net of allowances for prompt payment discounts, product returns, chargebacks, and credit losses. The company estimates an allowance for credit losses by considering factors such as credit quality, the age of the accounts receivable balances, and current economic conditions that may affect a customer’s ability to pay. As of March 31, 2025, the credit profile for the company’s counterparty was deemed to be in good standing, and as such an allowance for credit losses was not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it is probable that a liability has been incurred, and the amount of the related loss can be reasonably estimated. We accrue for the best estimate of a loss within a range; however, if no estimate in the range is better than any other, then we accrue the minimum amount in the range. If we determine that a material loss is reasonably possible, we disclose the possible loss or range of loss, or that the amount of loss cannot be estimated at this time. We evaluate, on a quarterly basis, developments in legal proceedings and other matters that could cause a change in the potential amount of the liability recorded or the range of potential losses disclosed. Moreover, we record gain contingencies only when they are realizable, and the amount is known. Additionally, we record our rights to insurance recoveries, limited to the extent of incurred or probable losses, as a receivable when such recoveries have been agreed to with our third-party insurers and when receipt is deemed probable. This includes instances when our third-party insurers have agreed to pay, on our behalf, certain legal defense costs and settlement amounts directly to applicable law firms and a settlement fund.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Major Customers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heavily on the limited number of customers to market and distribute ANKTIVA to various healthcare institutions or end users through the drop-ship arrangement. During the three months ended March 31, 2025, approximately 99% of our total gross revenue was from our top four customers. The largest two customers accounted for 31% of our total revenue each, while the third and fourth largest accounted for 21% and 16%, respectively. As of March 31, 2025, our accounts receivable, net are mainly from sales of ANKTIVA, and the majority are from specialty distributors.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dependency on a few key customers exposes us to several risks, including the potential for disruptions in our distribution network, changes in customers’ business strategies, or financial difficulties faced by these customers. Any significant disruption or change in our relationship with these customers could materially and adversely affect our ability to effectively reach other potential end users and maintain our market position. Additionally, we maintain regular communication and strong relationships with our existing customers to ensure alignment with our business objectives.</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While we believe our relationships with these customers are strong and mutually beneficial, there can be no assurance that we will be able to maintain these relationships or that we will be able to replace them with new specialty distributors if necessary.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risk consist principally of cash and cash equivalents, marketable securities, accounts receivable and a convertible note receivable.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attempt to minimize credit risk associated with our cash and cash equivalents by periodically evaluating the credit quality of our primary financial institutions. Our investment portfolio is maintained in accordance with our investment policy. While we maintain cash deposits in FDIC insured financial institutions in excess of federally insured limits, we do not believe that we are exposed to significant credit risk due to the financial position of the depository institutions in which those deposits are held. We have not experienced any losses on such accounts.</w:t>
      </w:r>
    </w:p>
    <w:p>
      <w:pPr>
        <w:spacing w:after="0" w:line="18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also monitor the creditworthiness of the borrower of the convertible note receivable. We believe that any concentration of credit risk in its convertible note receivable was mitigated in part by our ability to convert, if necessary, at the qualifying financing event or upon a payment default into shares of the senior class of equity securities of the borrower.</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Product candidates developed by us will require approvals or clearances from the FDA or international regulatory agencies prior to commercial sales. There can be no assurance that any of our product candidates will receive any of the required approvals or clearances. If we were to be denied approval or clearance or any such approval or clearance was to be delayed, it would have a material adverse impact on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equivalents include highly liquid investments with an original maturity of three months or less from the date of purchase.</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includes a certificate of deposit held as a substitute letter of credit for certain of our leased properties. This certificate of deposit is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 as landlords are the beneficiaries of the account and we are not able to access the funds during the terms of the leases.</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is included on the condensed consolidated statements of cash flows as of March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and Other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typically invested our cash in a variety of financial instruments, including investment-grade short- to intermediate-term corporate debt securities, government-sponsored securities and European bonds;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 Marketable debt securities with remaining maturities of 12 months or less are classified as short-term and marketable securities with remaining maturities greater than 12 months are classified as long-term. All marketable debt securities are reported at fair value and any unrealized gains and losses are reported as a component of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the condensed consolidated statement of stockholders’ deficit, with the exception of unrealized losses believed to be other-than-temporary, which are recorded in </w:t>
      </w:r>
      <w:r>
        <w:rPr>
          <w:rFonts w:ascii="Times New Roman" w:cs="Times New Roman" w:eastAsia="Times New Roman" w:hAnsi="Times New Roman"/>
          <w:sz w:val="18"/>
          <w:szCs w:val="18"/>
          <w:i w:val="1"/>
          <w:iCs w:val="1"/>
          <w:color w:val="auto"/>
        </w:rPr>
        <w:t>interest and investment income (loss), net</w:t>
      </w:r>
      <w:r>
        <w:rPr>
          <w:rFonts w:ascii="Times New Roman" w:cs="Times New Roman" w:eastAsia="Times New Roman" w:hAnsi="Times New Roman"/>
          <w:sz w:val="18"/>
          <w:szCs w:val="18"/>
          <w:color w:val="auto"/>
        </w:rPr>
        <w:t xml:space="preserve">, on the condensed consolidated statement of operations. Realized gains and losses from sales of securities and the amounts, net of tax, reclassified out of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if any, are determined on a specific identification basis.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Investments in mutual funds and equity securities, other than equity method investments, are recorded at fair market value, if fair value is readily determinable and any unrealized gains and losses are included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on the condensed consolidated statement of operations. Realized gains and losses from the sale of the securities are determined on a specific identification basis and the amounts are included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on the condensed consolidated statement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Evaluating Investments for Other-than-Temporary Impairments</w:t>
      </w:r>
    </w:p>
    <w:p>
      <w:pPr>
        <w:spacing w:after="0" w:line="1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periodically evaluate whether declines in fair values of our investments below their book value are other-than-temporary. This evaluation consists of several qualitative and quantitative factors regarding the severity and duration of the unrealized loss, as well as our ability and intent to hold the investment until a forecasted recovery occurs. Additionally, we assess whether we have plans to sell the security or whether it is more likely than not we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our investments, duration and severity of the decline in value, and our strategy and intentions for holding the investment. Our other-than-temporary impairments are further discussed in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121"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investee and other relevant factors such as the presence of a collaborative or other business relationship. Under the equity method of accounting, we record our share of the income or loss of the investee in </w:t>
      </w:r>
      <w:r>
        <w:rPr>
          <w:rFonts w:ascii="Times New Roman" w:cs="Times New Roman" w:eastAsia="Times New Roman" w:hAnsi="Times New Roman"/>
          <w:sz w:val="18"/>
          <w:szCs w:val="18"/>
          <w:i w:val="1"/>
          <w:iCs w:val="1"/>
          <w:color w:val="auto"/>
        </w:rPr>
        <w:t>loss on equity method investment</w:t>
      </w:r>
      <w:r>
        <w:rPr>
          <w:rFonts w:ascii="Times New Roman" w:cs="Times New Roman" w:eastAsia="Times New Roman" w:hAnsi="Times New Roman"/>
          <w:sz w:val="18"/>
          <w:szCs w:val="18"/>
          <w:color w:val="auto"/>
        </w:rPr>
        <w:t>, on the condensed consolidated statement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Property, plant and equipment are stated at historical cost less accumulated depreciation. Historical cost includes expenditures that are directly attributable to the acquisition of the items. All repairs and maintenance are charged to operating expenses during the financial period in which they are incurred. Depreciation of property, plant and equipment is calculated using the straight-line method over the estimated useful lives of the assets,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68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39 years</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8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8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5 to 7 years</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68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68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The lesser of the lease term or life of the asset</w:t>
            </w:r>
          </w:p>
        </w:tc>
      </w:tr>
    </w:tbl>
    <w:p>
      <w:pPr>
        <w:spacing w:after="0" w:line="28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Upon disposal of property, plant and equipment, the cost and related accumulated depreciation are removed from the condensed consolidated financial statements and the net amount, less any proceeds, is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review impairment of property, plant and equipment for impairment whenever events or changes in circumstances indicate that the carrying amount of an asset may not be recoverable. Recoverability is measured by a comparison of the carrying amount to the future net cash flows that the assets are expected to generate. If such assets are considered to be impaired, the impairment to be recognized is measured by the amount by which the carrying amount of the assets exceeds the projected undiscounted future cash flows arising from the assets using a discount rate determined by management to be commensurate with the risk inherent to our current business model.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Business Combinations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In an asset acquisition, upfront payments allocated to in-process research and development projects at the acquisition date are expensed unless there is an alternative future use. In addition, product development milestones are expensed upon achievement. Any contingent consideration, such as payments upon achievement of various developmental, regulatory, and commercial milestones, generally is not recognized at the acquisition date.</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which requires that assets acquired and liabilities assumed generally be recorded at their fair values as of the acquisition date. Excess of consideration over the fair value of net assets acquired is recorded as goodwill. Estimating fair value requires us to make significant judgments and assumptions. We perform impairment testing of goodwill annually or more frequently if events or changes in circumstances indicate that it is more likely than not that the asset is impaired. Acquisition costs related to a business combination are expensed as incurred.</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Contingent consideration incurred in connection with a business combination is recorded at fair value on the acquisition date and re-measured at its revised fair value each subsequent reporting period until the related contingencies are resolved. The resulting changes in fair value are recorded as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and comprehensive loss. Changes in fair value reflect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assumptions regarding probabilities of successful achievement of related milestones, the timing in which the milestones are expected to be achieved, and the discount rate used to estimate the fair value of the obligation.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Control Transactions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Transactions between us and entities where Dr. Soon-Shiong and his affiliates are the controlling stockholders are accounted for as common control transactions whereby the net assets acquired or transferred are accounted at their carrying value. Any difference between the carrying value and consideration recognized is treated as a capital transaction. Cash consideration up to the carrying value of the net assets acquired or transferred is presented as an investing activity on the condensed consolidated statement of cash flows. Cash consideration in excess of the carrying value of the net assets acquired or transferred is presented as a financing activity on the condensed consolidated statement of cash flows.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acquired in a business combination are initially recognized at their fair value on the acquisition date. Acquired indefinite-lived assets, such as IPR&amp;D acquired in a business combination, are not amortized until they become definite-lived assets, upon the successful completion of the associated research and development effort. At that time, we evaluate whether the recorded amounts are impaired and make any necessary adjustments and then determine the useful life of the asset and begin amortization. If the associated research and development effort is abandoned, the related IPR&amp;D assets is written-off and an impairment charge recorded. IPR&amp;D acquired in an asset acquisition is expensed immediately.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Acquired definite-lived intangible assets are amortized using the straight-line method over their respective estimated useful lives. The amortization of these intangible assets is included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on the condensed consolidated statement of operations. Indefinite-lived intangible assets are tested for impairment at least annually or more frequently if indicators of potential impairment exist.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19"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Patent costs, including related legal costs, are expensed as incurred and recorded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on the condensed consolidated statement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implementation costs under a cloud computing arrangement that is a service contract in line with its policy for internal-use software. Costs incurred during the application development stage related to the implementation of the hosting arrangement are capitalized and 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 Amortization of capitalized implementation costs is recognized on a straight-line basis over the shorter of the estimated useful life or the terms of the underlying hosting arrangement when it is ready for its intended use. Costs related to preliminary project activities and post-implementation activities are expensed as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tiers are defined as follows:</w:t>
      </w:r>
    </w:p>
    <w:p>
      <w:pPr>
        <w:spacing w:after="0" w:line="171" w:lineRule="exact"/>
        <w:rPr>
          <w:sz w:val="20"/>
          <w:szCs w:val="20"/>
          <w:color w:val="auto"/>
        </w:rPr>
      </w:pPr>
    </w:p>
    <w:p>
      <w:pPr>
        <w:ind w:left="980" w:right="280" w:hanging="324"/>
        <w:spacing w:after="0" w:line="261"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 at the measurement date. Since valuations are based on quoted prices that are readily and regularly available in an active market, the valuation of these products does not entail a significant degree of judgment. Our Level 1 assets consist of bank deposits, money market funds, and marketable equity securities.</w:t>
      </w:r>
    </w:p>
    <w:p>
      <w:pPr>
        <w:spacing w:after="0" w:line="125"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Our Level 2 assets consist of corporate debt securities including commercial paper, government-sponsored securities, and corporate bonds, as well as foreign municipal securities.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utilize a third-party pricing service to assist in obtaining fair value pricing for our investments in marketable debt securities. Inputs are documented in accordance with the fair value disclosure hierarchy. The fair values of financial instruments other than marketable securities and cash and cash equivalents are determined through a combination of management estimates and third-party valuations.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no transfers were made into or out of the Level 1, 2 or 3 categories. We will continue to review the fair value inputs on a quarterly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analyze our collaboration arrangements to assess whether they are within the scope of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A collaborative arrangement is a contractual arrangement that involves joint operating activity. These arrangements involve two or more parties who are active participants in the activity and are exposed to significant risks and rewards dependent on the commercial success of the activity. This assessment is performed throughout the life of the arrangement based on changes in the responsibilities of all parties in the arrangement. To the extent the collaboration agreement is within the scope of ASC 808, we also assess whether the arrangement contains multiple elements that are within the scope of other accounting literature. If we conclude that some or all aspects of the agreement are distinct and represent a transaction with a customer, we account for those aspects of the arrangement within the scope of ASC 606. Amounts that are owed by collaboration partners within the scope of ASC 808 are recognized as an offset to research and development expense as such amounts are incurred by the collaboration partner. The amounts owed to a collaboration partner are classified as research and development expense.</w:t>
      </w:r>
    </w:p>
    <w:p>
      <w:pPr>
        <w:spacing w:after="0" w:line="19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collaboration arrangements require us to acquire certain equipment for exclusive use in the joint operating activities. These equipment purchases do not have an alternative use and are therefore expensed as incurred within research and development expense.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collaboration arrangements are further discussed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 and Acquisition.”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 Accruals</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the condensed consolidated financial statements, we are required to estimate expenses resulting from obligations under contracts with vendors, clinical research organizations and consultants. The financial terms of these contracts vary and may result in payment flows that do not match the periods over which materials or services are provided under such contracts.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estimate clinical trial and research agreement-related expenses based on the services performed, pursuant to contracts with research institutions and clinical research organizations and other vendors that conduct clinical trials and research on our behalf. In accruing clinical and research-related fees, we estimate the time period over which services will be performed and activity expended in each period. If the actual timing of the performance of services or the level of effort varies from the estimate, we will adjust the accrual accordingly. Payments made under these arrangements in advance of the receipt of the related services are recorded as prepaid expenses until the services are rendered.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19"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outlined in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we have various agreements with related parties. These arrangements can be billed and settled in cash monthly, billed quarterly and settled in cash the following month, or estimated in advance and collected or paid upfront based on expected utilization. Monthly accruals are made for all quarterly billing arrangements.</w:t>
      </w:r>
    </w:p>
    <w:p>
      <w:pPr>
        <w:spacing w:after="0" w:line="200" w:lineRule="exact"/>
        <w:rPr>
          <w:sz w:val="20"/>
          <w:szCs w:val="20"/>
          <w:color w:val="auto"/>
        </w:rPr>
      </w:pPr>
    </w:p>
    <w:p>
      <w:pPr>
        <w:spacing w:after="0" w:line="3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all leases other than short-term leases, at the lease commencement date, a right-of-use asset and a lease liability are recognized. The right-of-use asset represents the right to use the leased asset for the lease term. At the commencement date, lease right-of-use assets and lease liabilities are determined based on the present value of lease payments to be made over the lease term. Leases are classified as either finance leases or operating leases.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the rate implicit in lease contracts are not readily determinable, we utilize its incremental borrowing rate as a discount rate for purposes of determining the present value of lease payments, which is based on the estimated interest rate at which we could borrow on a collateralized basis the amount of the lease payments in the same currency, for a similar term, in a similar economic environment.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also include any rent paid prior to the commencement date, less any lease incentives received, and initial direct costs incurred. Lease expense for minimum lease payments is recognized on a straight-line basis over the lease term. We determine the lease term by assuming the exercise of renewal options that are reasonably assured. The exercise of lease renewal options is at our sole discretion.</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combine our lease components (e.g., fixed payments including rent, real estate taxes and insurance costs) with non-lease components (e.g., common-area maintenance costs and equipment maintenance costs) and as such, we account for lease and non-lease components as a single component. Lease expense also includes amounts relating to variable lease payments. Variable lease payments include amounts relating to common area maintenance and real estate taxes.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do not recognize right-of-use assets and lease liabilities for qualifying short-term leases with an initial lease term of 12 months or less at lease inception. Such leases are expensed on a straight-line basis over the lease term. The lease term includes the non-cancellable period of the lease and any additional periods covered by either options to renew or not to terminate when the company is reasonably certain to exercise.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depreciable life of operating right-of-use-assets and leasehold improvements is limited by the expected lease term.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end date while the warrants are outstanding.</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warrants that meet all criteria for equity classification, the warrants are required to be recorded as a component of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recorded as a non-cash gain or loss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 The fair value of the warrants was estimated using the Black-Scholes option pricing model.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to apply the FVO method of accounting in accordance with ASC 825 and accounts for certain of its notes and embedded derivatives at fair value as a single instrument in accordance with ASC 815. The notes for which the FVO is elected are recorded at fair value upon the date of issuance and subsequently remeasured to fair value at each reporting period.</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Changes in the fair value of the notes accounted for at fair value are recorded as a component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the condensed consolidated statement of operations. Any changes in fair value caused by instrument-specific credit risk are recorded separately in </w:t>
      </w:r>
      <w:r>
        <w:rPr>
          <w:rFonts w:ascii="Times New Roman" w:cs="Times New Roman" w:eastAsia="Times New Roman" w:hAnsi="Times New Roman"/>
          <w:sz w:val="18"/>
          <w:szCs w:val="18"/>
          <w:i w:val="1"/>
          <w:iCs w:val="1"/>
          <w:color w:val="auto"/>
        </w:rPr>
        <w:t>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(loss), </w:t>
      </w:r>
      <w:r>
        <w:rPr>
          <w:rFonts w:ascii="Times New Roman" w:cs="Times New Roman" w:eastAsia="Times New Roman" w:hAnsi="Times New Roman"/>
          <w:sz w:val="18"/>
          <w:szCs w:val="18"/>
          <w:color w:val="auto"/>
        </w:rPr>
        <w:t>on the condensed consolidated statement of comprehensive loss. The cumulative amount previously recorded in</w:t>
      </w:r>
      <w:r>
        <w:rPr>
          <w:rFonts w:ascii="Times New Roman" w:cs="Times New Roman" w:eastAsia="Times New Roman" w:hAnsi="Times New Roman"/>
          <w:sz w:val="18"/>
          <w:szCs w:val="18"/>
          <w:i w:val="1"/>
          <w:iCs w:val="1"/>
          <w:color w:val="auto"/>
        </w:rPr>
        <w:t xml:space="preserve"> other comprehensive income (loss) </w:t>
      </w:r>
      <w:r>
        <w:rPr>
          <w:rFonts w:ascii="Times New Roman" w:cs="Times New Roman" w:eastAsia="Times New Roman" w:hAnsi="Times New Roman"/>
          <w:sz w:val="18"/>
          <w:szCs w:val="18"/>
          <w:color w:val="auto"/>
        </w:rPr>
        <w:t>resulting from changes in the instrument-specific credit risk for extinguished notes are reclassified and reported in current earnings on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operations. All costs associated with the issuance of the convertible promissory note accounted for using the FVO were expensed upon issuance.</w:t>
      </w:r>
    </w:p>
    <w:p>
      <w:pPr>
        <w:spacing w:after="0" w:line="18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applied the FVO on the $505.0 million December 2024 Promissory Note. During the three months ended March 31, 2025, the company recorded $18.7 million in </w:t>
      </w:r>
      <w:r>
        <w:rPr>
          <w:rFonts w:ascii="Times New Roman" w:cs="Times New Roman" w:eastAsia="Times New Roman" w:hAnsi="Times New Roman"/>
          <w:sz w:val="18"/>
          <w:szCs w:val="18"/>
          <w:i w:val="1"/>
          <w:iCs w:val="1"/>
          <w:color w:val="auto"/>
        </w:rPr>
        <w:t>change in fair value related to instrument-specific credit risk,</w:t>
      </w:r>
      <w:r>
        <w:rPr>
          <w:rFonts w:ascii="Times New Roman" w:cs="Times New Roman" w:eastAsia="Times New Roman" w:hAnsi="Times New Roman"/>
          <w:sz w:val="18"/>
          <w:szCs w:val="18"/>
          <w:color w:val="auto"/>
        </w:rPr>
        <w:t xml:space="preserve"> on the condensed consolidated statement of comprehensive loss.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We record valuation allowances to reduce deferred tax assets to the amount we believe is more likely than not to be realized.</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recognize uncertain tax positions when the position will more likely than not be upheld on examination by the taxing authorities based solely upon the technical merits of the positions. We recognize interest and penalties, if any, related to unrecognized income tax uncertainties in </w:t>
      </w:r>
      <w:r>
        <w:rPr>
          <w:rFonts w:ascii="Times New Roman" w:cs="Times New Roman" w:eastAsia="Times New Roman" w:hAnsi="Times New Roman"/>
          <w:sz w:val="18"/>
          <w:szCs w:val="18"/>
          <w:i w:val="1"/>
          <w:iCs w:val="1"/>
          <w:color w:val="auto"/>
        </w:rPr>
        <w:t>income tax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w:t>
      </w:r>
      <w:r>
        <w:rPr>
          <w:rFonts w:ascii="Times New Roman" w:cs="Times New Roman" w:eastAsia="Times New Roman" w:hAnsi="Times New Roman"/>
          <w:sz w:val="18"/>
          <w:szCs w:val="18"/>
          <w:color w:val="auto"/>
        </w:rPr>
        <w:t>on the condensed consolidated statement of operations. We did not have any accrued interest or penalties associated with uncertain tax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2015, the Board of Directors approved the 2015 Share Repurchase Program. As it is our intent for the repurchased shares to be retired, we have elected to account for the shares repurchased using the constructive retirement method. For shares repurchased in excess of par, we record the purchase price in excess of par value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on the condensed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Liability</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Revenue Interests (as defined in the RIPA) from us for a gross purchase price of $200.0 million paid on closing and acquired additional Revenue Interests from us for a gross purchase price of $100.0 million paid on May 13, 2024. Under the RIPA, Oberland has the right to receive quarterly payments from us based on, among other things, a certain percentage of our worldwide net sales, excluding those in China, during such quarter. The RIPA is considered a sale of future revenues and is accounted for as a liability net of a debt discount comprised of deferred issuance costs, the fair value of a freestanding option agreement related to the SPOA, and the fair value of embedded derivatives requiring bifurcation on the condensed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condensed consolidated statement of operations. The interest rate on this liability may vary during the term of the agreement depending on a number of factors, including the level of actual and forecasted net sales. The company evaluates the interest rate quarterly based on actual and forecasted net sales utilizing the prospective method. A significant increase or decrease in actual or forecasted net sales will materially impact the revenue interest liability, interest expense, and the time period for repayment.</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Embedded derivatives that are required to be bifurcated from the underlying debt instrument that do not meet the derivative scope exception and equity classification criteria are accounted for and valued as separate financial instruments. During the year ended December 31, 2024, the terms of an embedded derivative related to a contingent exercisable prepayment feature of a related-party convertible note (the $505.0 million December 2023 Promissory Note) required bifurcation. This embedded derivative was initially measured at fair value and was remeasured to fair value at each reporting date until the derivative would be settled. On December 10, 2024, the company and Nant Capital entered into a second amended and restated promissory note (the $505.0 million December 2024 Promissory Note) for which the FVO method of accounting was elected. As such, the bifurcation of the embedded derivative was no longer required. The embedded derivative is now included within the fair value of the second amended and restated promissory note recorded in </w:t>
      </w:r>
      <w:r>
        <w:rPr>
          <w:rFonts w:ascii="Times New Roman" w:cs="Times New Roman" w:eastAsia="Times New Roman" w:hAnsi="Times New Roman"/>
          <w:sz w:val="18"/>
          <w:szCs w:val="18"/>
          <w:i w:val="1"/>
          <w:iCs w:val="1"/>
          <w:color w:val="auto"/>
        </w:rPr>
        <w:t>related-party convertible note payable at fair value</w:t>
      </w:r>
      <w:r>
        <w:rPr>
          <w:rFonts w:ascii="Times New Roman" w:cs="Times New Roman" w:eastAsia="Times New Roman" w:hAnsi="Times New Roman"/>
          <w:sz w:val="18"/>
          <w:szCs w:val="18"/>
          <w:color w:val="auto"/>
        </w:rPr>
        <w:t>, on the condensed consolidated balance sheet.</w:t>
      </w:r>
    </w:p>
    <w:p>
      <w:pPr>
        <w:spacing w:after="0" w:line="19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RIPA contains certain features that meet the definition of being an embedded derivative requiring bifurcation as a separate compound financial instrument apart from the RIPA. The derivative liability is initially measured at fair value upon issuance and is subject to remeasurement at each reporting period with changes in fair value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and other personnel-related expenses, stock-based compensation, depreciation and amortization expense on research and development property and equipment and intangible assets, costs of preclinical studies, clinical trials costs, including CROs and related clinical manufacturing, including third-party CMOs,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83"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its research and development expense as either external or internal. The company’s external research and development expense supports its various preclinical and clinical programs. The company’s internal research and development expense includes payroll and benefits expense, facilities and equipment expense, and other indirect research and development expense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Included in research and development costs are clinical trial and research expenses based on the services performed pursuant to contracts with research institutions and clinical research organizations and other vendors that conduct clinical trials and research on our behalf. We record accruals for estimated costs under these contracts. When evaluating the adequacy of the accrued liabilities, we analyze the progress of the preclinical studies or clinical trials, including the phase or completion of events, invoices received, contracted costs and purchase orders. Significant judgments and estimates are made in determining the accrued balances at the end of any reporting period based on the facts and circumstances known at that time. Although we do not expect the estimates to be materially different from the amounts actually incurred, if the estimates of the status and timing of services performed differ from the actual status and timing of services performed, we may report amounts that are too high or too low in any particular period. Actual results could differ from our estimates. We adjust the accruals in the period when actual costs become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under the provisions of ASC 718. We estimate fair value of each stock option award on the date of grant using the Black-Scholes option pricing model. The Black-Scholes option pricing model requires the use of subjective assumptions, including, but not limited to, expected stock price volatility over the term of the awards and the expected term of the stock options. We measure the fair value of an equity-classified award at the grant date and recognize the</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stock-based compensation expense over the period of vesting on the straight-line basis for our outstanding share awards that do not contain a performance condition. For awards subject to performance-based vesting conditions, we assess the probability of the individual milestones under the award being achieved and stock-based compensation expense is recognized over the service period using the graded vesting method once management believes the performance criteria is probable of being met. For awards with service or performance conditions, we recognize the effect of forfeitures in compensation cost in the period that the award was forfeited.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Comprehensive income or loss is composed of net (loss) income and other comprehensive (loss) income. Our other comprehensive income or loss consists of net unrealized gains (losses) on marketable debt securities classified as available-for-sale, the change in fair value of convertible note resulting from a change in the instrument-specific credit risk, net of income taxes and foreign currency translation adjustments.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Noncontrolling interests are recorded for the entities that we consolidate but are not wholly-owned by the company. Noncontrolling interests are classified as a separate component of equity on the condensed consolidated balance sheet and condensed consolidated statement of stockholders’ deficit. Additionally, net loss attributable to noncontrolling interests is reflected separately from condensed consolidated net loss on the condensed consolidated statement of operations and the condensed consolidated statement of stockholders’ deficit. We record the noncontrolling interests’ share of loss based on the percentage of ownership interest retained by the respective noncontrolling interest holders. Noncontrolling interests recorded on the condensed consolidated financial statements result from the company’s share of GlobeImmune, of which we controlled 69.1% as of March 31, 2025 and December 31, 2024, respectively. Noncontrolling interest stockholders are common stockholders.</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GlobeImmune was determined to be a VIE as it does not have sufficient equity investment at risk to finance its operations without additional subordinated financial support and we are deemed the primary beneficiary of GlobeImmune and, accordingly, consolidate GlobeImmune into the company’s condensed consolidated financial statements under the VIE model. The company also supports GlobeImmune through a promissory note agreement, in which the company provides advances to GlobeImmune from time to time up to $6.0 million with a per annum interest rate of five percent (5%). As of March 31, 2025 and 2024, there were no outstanding advances due from GlobeImmune under the promissory note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and 2024, GlobeImmune recognized no revenue and recognized operating expenses of</w:t>
      </w:r>
    </w:p>
    <w:p>
      <w:pPr>
        <w:spacing w:after="0" w:line="27"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$0.1 million during the three months ended March 31, 2025 and 2024, respectively. As of both March 31, 2025 and December 31, 2024, the condensed consolidated balance sheets included approximately $1.4 million of total assets that can only be used to settle obligations of GlobeImmune, and immaterial liabilities, respectively, related to GlobeImmune. The creditors of GlobeImmune do not have recourse to the general credit of ImmunityBio, Inc., as the primary beneficiary.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operations and hold assets in Italy and South Korea. The functional currency of the subsidiary in Italy is the Euro, based on the nature of the transactions occurring within this entity, and accordingly, assets and liabilities of this subsidiary are translated into U.S. dollars at exchange rates prevailing as of the balance sheet dates, while the operating results are translated into U.S. dollars using the average exchange rates for the period correlating with those operating results. Adjustments resulting from translating the financial statements of the foreign subsidiary into U.S. dollars are recorded as a component of </w:t>
      </w:r>
      <w:r>
        <w:rPr>
          <w:rFonts w:ascii="Times New Roman" w:cs="Times New Roman" w:eastAsia="Times New Roman" w:hAnsi="Times New Roman"/>
          <w:sz w:val="18"/>
          <w:szCs w:val="18"/>
          <w:i w:val="1"/>
          <w:iCs w:val="1"/>
          <w:color w:val="auto"/>
        </w:rPr>
        <w:t>other comprehensive (loss) income</w:t>
      </w:r>
      <w:r>
        <w:rPr>
          <w:rFonts w:ascii="Times New Roman" w:cs="Times New Roman" w:eastAsia="Times New Roman" w:hAnsi="Times New Roman"/>
          <w:sz w:val="18"/>
          <w:szCs w:val="18"/>
          <w:color w:val="auto"/>
        </w:rPr>
        <w:t xml:space="preserve">, on the condensed consolidated statement of comprehensive loss. Transaction gains and losses are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the condensed consolidated statement of operations.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loss per common share (in thousands, except per share amounts):</w:t>
      </w:r>
    </w:p>
    <w:p>
      <w:pPr>
        <w:spacing w:after="0" w:line="27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ImmunityBio common share – basic</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(134,109)</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672,831</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ImmunityBio common share – 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3"/>
        </w:trPr>
        <w:tc>
          <w:tcPr>
            <w:tcW w:w="8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ImmunityBio common share – diluted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(134,109)</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 for net loss per ImmunityBio common share –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(134,109)</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672,831</w:t>
            </w:r>
          </w:p>
        </w:tc>
      </w:tr>
      <w:tr>
        <w:trPr>
          <w:trHeight w:val="263"/>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 for net loss per ImmunityBio common share – diluted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853,162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672,831</w:t>
            </w:r>
          </w:p>
        </w:tc>
      </w:tr>
      <w:tr>
        <w:trPr>
          <w:trHeight w:val="27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ImmunityBio common share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whose effect would have been antidilutive, were excluded from the computation of diluted net loss per share. The following table details the number of shares of common stock underlying those securities that were excluded from the computation of weighted-average number of common shares outstanding – diluted (shares in thousands):</w:t>
      </w:r>
    </w:p>
    <w:p>
      <w:pPr>
        <w:spacing w:after="0" w:line="22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Related-party convertible notes</w:t>
            </w:r>
          </w:p>
        </w:tc>
        <w:tc>
          <w:tcPr>
            <w:tcW w:w="5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third-party warrants</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25,458</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related-party warrants</w:t>
            </w:r>
          </w:p>
        </w:tc>
        <w:tc>
          <w:tcPr>
            <w:tcW w:w="392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135,779</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92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potentially dilutive securities shown in the table above exclude an option to purchase up to approximately $5.0 million of the company’s common stock pursuant to the SPOA entered in connection with the RIPA, as the exercise price cannot be determined until the date of exercise.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New or Revised Accounting Standards – Adopted</w:t>
      </w:r>
    </w:p>
    <w:p>
      <w:pPr>
        <w:spacing w:after="0" w:line="11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requires a joint venture to initially measure all contributions received upon its formation at fair value. This ASU is applicable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entities with a formation date on or after January 1, 2025 on a prospective basis. We adopted this ASU on January 1, 2025 on a prospective basis with no impact on our condensed consolidated financial statements.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disclosure of incremental segment information on an annual and interim basis. This ASU is effective for fiscal years beginning after December 15, 2023, and interim periods within fiscal years beginning after December 15, 2024 on a retrospective basis. We adopted this ASU on December 31, 2024 on a retrospective basis. See </w:t>
      </w:r>
      <w:r>
        <w:rPr>
          <w:rFonts w:ascii="Times New Roman" w:cs="Times New Roman" w:eastAsia="Times New Roman" w:hAnsi="Times New Roman"/>
          <w:sz w:val="18"/>
          <w:szCs w:val="18"/>
          <w:u w:val="single" w:color="auto"/>
          <w:color w:val="0000FF"/>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of New or Revised Accounting Standards – Not Yet Adopted</w:t>
      </w:r>
    </w:p>
    <w:p>
      <w:pPr>
        <w:spacing w:after="0" w:line="117"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improve its income tax disclosure requirements. Under the ASU, entities must annually (1) disclose specific categories in the rate reconciliation, (2) provide additional information for reconciling items that meet a quantitative threshold, and (3) disclose more detailed information about income taxes paid, including by jurisdiction; pretax income (or loss) from continuing operations; and income tax benefit (or expense). We plan to adopt the standard when it becomes effective for us beginning in our fiscal year 2025 annual financial statements, and we expect the adoption of the standard will impact certain areas of our income tax disclosures.</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which requires that public business entities disclose additional information about specific expense categories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interim and annual reporting periods. This ASU is effective for fiscal years beginning after December 15, 2026, and interim periods within fiscal years beginning after December 15, 2027. This ASU may be applied either on a prospective or retrospective basis. We are currently evaluating the impact of this standard on our disclosures.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clarifies the requirements for determining whether certain settlements of convertible debt instruments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an induced conversion. This ASU is effective for fiscal years beginning after December 15, 2025 and interim reporting periods within those annual reporting periods, with early adoption permitted. We are currently evaluating the impact of this standard on our disclosures.</w:t>
      </w:r>
    </w:p>
    <w:p>
      <w:pPr>
        <w:spacing w:after="0" w:line="18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Other recent authoritative guidance issued by the FASB (including technical corrections to the ASC), and the SEC during the three months ended March 31, 2025 did not, or are not expected to, have a material effect on our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revenues are recognized in accordance with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following table presents our disaggregated revenue for the periods presented (in thousands):</w:t>
      </w:r>
    </w:p>
    <w:p>
      <w:pPr>
        <w:spacing w:after="0" w:line="20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40</w:t>
            </w: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our only source of product revenue has been from U.S. sales of ANKTIVA, which we began shipping to customers in May 2024.</w:t>
      </w:r>
    </w:p>
    <w:p>
      <w:pPr>
        <w:spacing w:after="0" w:line="108"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approximately $3.2 million of gross-to-net adjustments have been recorded as a reduction of revenue on the condensed consolidated statement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March 31, 2025, approximately $0.4 million of allowances for prompt payment discounts, product returns and chargebacks were included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approximately $2.1 million related to accrued rebates, co-payment assistance and other fees were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the condensed consolidated balance sheet.</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began capitalizing inventory costs associated with ANKTIVA after receiving FDA approval in April 2024 when it was determined that the inventory had a probable future economic benefit.</w:t>
      </w:r>
    </w:p>
    <w:p>
      <w:pPr>
        <w:spacing w:after="0" w:line="108" w:lineRule="exact"/>
        <w:rPr>
          <w:sz w:val="20"/>
          <w:szCs w:val="20"/>
          <w:color w:val="auto"/>
        </w:rPr>
      </w:pPr>
    </w:p>
    <w:p>
      <w:pPr>
        <w:ind w:right="720" w:firstLine="648"/>
        <w:spacing w:after="0" w:line="289" w:lineRule="auto"/>
        <w:rPr>
          <w:sz w:val="20"/>
          <w:szCs w:val="20"/>
          <w:color w:val="auto"/>
        </w:rPr>
      </w:pPr>
      <w:r>
        <w:rPr>
          <w:rFonts w:ascii="Times New Roman" w:cs="Times New Roman" w:eastAsia="Times New Roman" w:hAnsi="Times New Roman"/>
          <w:sz w:val="17"/>
          <w:szCs w:val="17"/>
          <w:color w:val="auto"/>
        </w:rPr>
        <w:t xml:space="preserve">Inventory is stated at the lower of cost or net realizable value and consists of raw materials, work-in-progress and finished goods. Cost is determined using a standard cost method, which approximates actual cost, and assumes a FIFO flow of goods. Inventory that is used for clinical development purposes is expensed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on the condensed consolidated statement of operations when consumed.</w:t>
      </w:r>
    </w:p>
    <w:p>
      <w:pPr>
        <w:spacing w:after="0" w:line="10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work-in-progress materials consists of bulk drug substance and drug product, which have a multi-year shelf life. When the bulk drug substance is manufactured into ANKTIVA drug product, those goods have a shelf life of three years from the date of manufacture. The work-in-progress drug product gets converted to finished goods at the time of labeling. Our expectation is to sell finished goods at least twelve months prior to expiration. Due to our long manufacturing lead time, it was necessary to build up inventory in support of ANKTIVA forecasted sales. As a result of being in the early stages of the ANKTIVA product launch, the company is continuing to evaluate the length of its operating cycle.</w:t>
      </w:r>
    </w:p>
    <w:p>
      <w:pPr>
        <w:spacing w:after="0" w:line="1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its inventory levels for excess quantities and obsolescence (expiration), taking into account factors such as historical and anticipated future sales compared to quantities on hand and the remaining shelf life. As of March 31, 2025, we determined that a reserve related to ANKTIVA inventory for excess quantities and obsolescence was not required. During the three months ended March 31, 2025, the company has not recorded any inventory write downs.</w:t>
      </w: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73,126</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73,578</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236,683</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99,589</w:t>
            </w: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137,094</w:t>
            </w:r>
          </w:p>
        </w:tc>
      </w:tr>
      <w:tr>
        <w:trPr>
          <w:trHeight w:val="21"/>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depreciation expense related to property, plant and equipment totaled $3.3 million and $4.0 million, respectively.</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 Net</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gross carrying amounts, accumulated amortization and impairment of goodwill and intangible assets, net are as follows at the dates indicated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40"/>
        </w:trPr>
        <w:tc>
          <w:tcPr>
            <w:tcW w:w="490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Favorable leasehold rights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assets</w:t>
            </w: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43"/>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7"/>
        </w:trPr>
        <w:tc>
          <w:tcPr>
            <w:tcW w:w="4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2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9"/>
        </w:trPr>
        <w:tc>
          <w:tcPr>
            <w:tcW w:w="4900" w:type="dxa"/>
            <w:vAlign w:val="bottom"/>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Favorable leasehold rights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assets</w:t>
            </w: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44"/>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acquisition of the Dunkirk Facility in 2022, we acquired definite-lived intangibles consisting of favorable leasehold rights.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recorded amortization expense of our definite-lived intangible assets totaling $0.5 million during the three months ended March 31, 2025 and 2024,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September 2024, we entered into an asset purchase agreement with an unrelated party pursuant to which the company acquired the rights to hire its workforce and purchase certain office equipment in exchange for consideration of $1.0 million, net of transaction costs. The transaction was accounted for as a business combination. The fair value of the acquired identifiable net assets was $0.1 million. We recognized the remaining $0.9 million as goodwill. No goodwill impairment was recognized during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IPR&amp;D</w:t>
      </w:r>
    </w:p>
    <w:p>
      <w:pPr>
        <w:spacing w:after="0" w:line="11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indefinite-lived IPR&amp;D intangible assets of $0.5 million, which were obtained from business acquisitions. No impairments of IPR&amp;D were recorded during the three months ended March 31, 2025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associated with our definite-lived intangible assets, net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Definite-lived</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49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4580" w:type="dxa"/>
            <w:vAlign w:val="bottom"/>
            <w:vMerge w:val="restart"/>
          </w:tcPr>
          <w:p>
            <w:pPr>
              <w:jc w:val="right"/>
              <w:ind w:right="347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Financial Statement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(including related-party amounts) consist of the following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services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license fees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equipment maintenance</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premium financing asset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5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with related parties)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Receivable</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2016, we executed a convertible promissory note pursuant to which we advanced Riptide a principal amount of $5.0 million. The note bears interest at a per annum rate of five percent (5%). Concurrent with the transaction, we entered into an exclusive license agreement with Riptide to obtain worldwide exclusive rights, with the right to sublicense, certain know-how related to RP-182, RP-233 and RP-183. We are required to pay a single-digit royalty on net sales of the licensed products on a country-by-country basis. Pursuant to the license agreement, we are also required to make cash milestone payments upon successful completion of certain clinical, regulatory and commercial milestones up to an aggregate amount of $47.0 million for the first three indications of the licensed product with a maximum payment amount of $100.0 million.</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2019, we entered into a first amendment to the convertible promissory note with Riptide. Under the agreement, we extended the maturity of the promissory note to the earlier of (a) the later of (i) the completion of non-clinical IND enabling studies by the company, or (ii) December 31, 2020; and</w:t>
      </w:r>
    </w:p>
    <w:p>
      <w:pPr>
        <w:ind w:right="8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accelerate the maturity of the note upon the occurrence of an event of default. No other terms and conditions of the promissory note were modified. Concurrently, we also entered into a first amendment to the exclusive license agreement with Riptide and extended the achievement dates for certain clinical trial milestones related to the licensed products. The convertible note receivable balance was $7.2 million and $7.1 million, which included accrued interest of $2.2 million and $2.1 million as of March 31, 2025 and December 31, 2024,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costs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40,580</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Debt Securities</w:t>
      </w:r>
    </w:p>
    <w:p>
      <w:pPr>
        <w:spacing w:after="0" w:line="12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weighted-average remaining contractual life, amortized cost, gross unrealized gains, gross unrealized losses, and fair value of marketable debt securities, which were considered as available-for-sale, by type of security were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3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0"/>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and December 31, 2024, no marketable debt securities were in an unrealized loss position.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Equity Securities</w:t>
      </w:r>
    </w:p>
    <w:p>
      <w:pPr>
        <w:spacing w:after="0" w:line="119"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hold investments in marketable equity securities with readily determinable fair value.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Other Equity Security</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2024, the company entered into a SAFE with an unrelated party in exchange for the right to acquire certain shares of the investee. Upon the closing of equity financing by the investee prior to the termination of the SAFE, the SAFE will convert into preferred shares. We elected to apply the measurement alternative under FASB ASC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xml:space="preserve"> (ASC 321), pursuant to which we measure our investment in the SAFE at cost, less impairment. As of March 31, 2025 and December 31, 2024, we recorded an investment in the SAFE of $0.7 million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on the condensed consolidated balance sheet. We evaluate this investment for any indications of impairment in value on a quarterly basis. No factors indicative of impairment were identified during the three months ended March 31, 2025.</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investment income, net consists of the following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accretion income, net</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(losses) gains from equity securities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82"/>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includes interest from marketable securities, a convertible note receivable, other assets, and on bank deposits. Investment accretion income (amortization expense), net includes accretion of discounts (amortization of premiums) from securities classified as cash equivalents and marketable debt securities.</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Valuations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3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61,591</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1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6"/>
                <w:szCs w:val="16"/>
                <w:color w:val="auto"/>
              </w:rPr>
              <w:t>(1)</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6"/>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5"/>
        </w:trPr>
        <w:tc>
          <w:tcPr>
            <w:tcW w:w="4820" w:type="dxa"/>
            <w:vAlign w:val="bottom"/>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auto"/>
              </w:rPr>
              <w:t>Related-party convertible note payable at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4820" w:type="dxa"/>
            <w:vAlign w:val="bottom"/>
            <w:gridSpan w:val="9"/>
          </w:tcPr>
          <w:p>
            <w:pPr>
              <w:ind w:left="320"/>
              <w:spacing w:after="0" w:line="169"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(485,717)</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4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(485,717)</w:t>
            </w:r>
          </w:p>
        </w:tc>
      </w:tr>
      <w:tr>
        <w:trPr>
          <w:trHeight w:val="34"/>
        </w:trPr>
        <w:tc>
          <w:tcPr>
            <w:tcW w:w="1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RIPA derivative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(20,240)</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(20,240)</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(9,023)</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4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(9,023)</w:t>
            </w:r>
          </w:p>
        </w:tc>
      </w:tr>
      <w:tr>
        <w:trPr>
          <w:trHeight w:val="21"/>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Stock option purchase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(302)</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48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(515,302)</w:t>
            </w: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4"/>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143,428</w:t>
            </w:r>
          </w:p>
        </w:tc>
        <w:tc>
          <w:tcPr>
            <w:tcW w:w="2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0"/>
        </w:trPr>
        <w:tc>
          <w:tcPr>
            <w:tcW w:w="48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8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6"/>
                <w:szCs w:val="16"/>
                <w:color w:val="auto"/>
              </w:rPr>
              <w:t>(1)</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6"/>
        </w:trPr>
        <w:tc>
          <w:tcPr>
            <w:tcW w:w="48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6"/>
        </w:trPr>
        <w:tc>
          <w:tcPr>
            <w:tcW w:w="4820" w:type="dxa"/>
            <w:vAlign w:val="bottom"/>
            <w:gridSpan w:val="9"/>
          </w:tcPr>
          <w:p>
            <w:pPr>
              <w:ind w:left="180"/>
              <w:spacing w:after="0" w:line="176" w:lineRule="exact"/>
              <w:rPr>
                <w:sz w:val="20"/>
                <w:szCs w:val="20"/>
                <w:color w:val="auto"/>
              </w:rPr>
            </w:pPr>
            <w:r>
              <w:rPr>
                <w:rFonts w:ascii="Times New Roman" w:cs="Times New Roman" w:eastAsia="Times New Roman" w:hAnsi="Times New Roman"/>
                <w:sz w:val="18"/>
                <w:szCs w:val="18"/>
                <w:color w:val="auto"/>
              </w:rPr>
              <w:t>Related-party convertible note payable at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4820" w:type="dxa"/>
            <w:vAlign w:val="bottom"/>
            <w:gridSpan w:val="9"/>
          </w:tcPr>
          <w:p>
            <w:pPr>
              <w:ind w:left="320"/>
              <w:spacing w:after="0" w:line="169"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(461,877)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0" w:type="dxa"/>
            <w:vAlign w:val="bottom"/>
            <w:gridSpan w:val="2"/>
          </w:tcPr>
          <w:p>
            <w:pPr>
              <w:ind w:left="8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(461,877)</w:t>
            </w:r>
          </w:p>
        </w:tc>
      </w:tr>
      <w:tr>
        <w:trPr>
          <w:trHeight w:val="34"/>
        </w:trPr>
        <w:tc>
          <w:tcPr>
            <w:tcW w:w="110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RIPA derivative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(25,800)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(25,800)</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2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Warrant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(8,575)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(8,575)</w:t>
            </w: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4820" w:type="dxa"/>
            <w:vAlign w:val="bottom"/>
            <w:gridSpan w:val="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 xml:space="preserve">Stock option purchase liability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FF"/>
              </w:rPr>
              <w:t>Note 13</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482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(496,591)</w:t>
            </w:r>
          </w:p>
        </w:tc>
      </w:tr>
      <w:tr>
        <w:trPr>
          <w:trHeight w:val="21"/>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right="520" w:hanging="534"/>
        <w:spacing w:after="0" w:line="227"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Contingent consideration is recorded at estimated fair value and revalued each reporting period until the related contingency is resolved. The fair value measurement is based on inputs that are unobservable and significant to the overall fair value measurement (i.e., a Level 3 measurement within the fair value hierarchy) and are reviewed periodically by management. See </w:t>
      </w:r>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Contingencies—Contingent Consideration Related to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Combinations” </w:t>
      </w:r>
      <w:r>
        <w:rPr>
          <w:rFonts w:ascii="Times New Roman" w:cs="Times New Roman" w:eastAsia="Times New Roman" w:hAnsi="Times New Roman"/>
          <w:sz w:val="16"/>
          <w:szCs w:val="16"/>
          <w:color w:val="auto"/>
        </w:rPr>
        <w:t>for more information.</w:t>
      </w:r>
    </w:p>
    <w:p>
      <w:pPr>
        <w:spacing w:after="0" w:line="127" w:lineRule="exact"/>
        <w:rPr>
          <w:rFonts w:ascii="Times New Roman" w:cs="Times New Roman" w:eastAsia="Times New Roman" w:hAnsi="Times New Roman"/>
          <w:sz w:val="16"/>
          <w:szCs w:val="16"/>
          <w:color w:val="auto"/>
        </w:rPr>
      </w:pPr>
    </w:p>
    <w:p>
      <w:pPr>
        <w:ind w:left="560" w:right="2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of contingent consideration were immaterial during the three months ended March 31, 2025 and 2024, and were primarily due to changes in foreign currency exchange rates.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Valuations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are recognized at fair value subsequent to initial recognition when they are deemed to be other-than-temporarily impaired. There were no material non-financial assets or liabilities deemed to be other-than-temporarily impaired and measured at fair value on a non-recurring basis during the three months ended March 31, 2025 and 2024.</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measured the fair value of the promissory notes and the embedded conversion features as of December 10, 2024, upon debt amendments to determine the accounting treatment, using a “with and without” method. We used binomial lattice models for the “with” scenario and discounted cash flow analyses for the “without” scenario. Since certain of the factors analyzed are considered to be unobservable inputs, both the lattice model and the discounted cash flow model are considered to be a Level 3 valuation.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Collaboration and License Agreements and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Amyris Joint Venture</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2021, ImmunityBio and Amyris entered into a 50:50 joint venture arrangement and formed a new limited liability company to conduct the business of the joint venture. The purpose of the joint venture was to accelerate commercialization of a next-generation COVID-19 vaccine utilizing an RNA vaccine-platform. As part of the limited liability agreement, Amyris contributed $1.0 million in cash and rights to its license agreement with AAHI for an RNA platform for the field of COVID-19. ImmunityBio contributed $1.0 million in cash and priority access to its manufacturing capacity for the joint venture product. Both parties agreed to enter into a separate manufacturing and supply agreement and a sublicense agreement following the execution of the joint venture agreement.</w:t>
      </w:r>
    </w:p>
    <w:p>
      <w:pPr>
        <w:spacing w:after="0" w:line="18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joint venture agreement stipulates the initial terms for equal representation in the management of the newly-formed joint venture. The joint venture is managed by a board of directors consisting of four directors: two appointed by the company and two appointed by Amyris. Both parties agreed to make additional capital contributions in cash, in proportion to their respective interests, as determined by the board of directors of the joint venture.</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considered the joint venture entity as a VIE and determined that we are not the primary beneficiary of the VIE. We account for our investment in the joint venture using the equity method of accounting. We are not obligated to fund the joint venture’s potential future losses. In August 2023, Amyris announced that it filed for Chapter 11 bankruptcy protection. The Amyris bankruptcy case remains ongoing, and there can be no assurance that we will receive any recovery on account of our claims against Amyris, including for Amyris’ portion of expenses incurred by the joint venture. As of March 31, 2025, the carrying amount of our equity investment in the joint venture was zero.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3M IPC and AAHI License Agreement</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licensed rights to 3M-052, a synthetic TLR7/8 agonist, 3M-052 formulations and related technology from 3M IPC and its affiliates and AAHI. In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LMIC, and (2) oncology applications, when used in combination with our proprietary technology and/or IL-15 receptor superagonist. In consideration for the license, we agreed to make certain periodic license payments, including $2.25 million each year through June 2025.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w:t>
      </w:r>
    </w:p>
    <w:p>
      <w:pPr>
        <w:spacing w:after="0" w:line="190"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we recorded $0.6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AAHI Agreements</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2021, ImmunityBio and AAHI entered into several agreements, including an RNA vaccine platform license agreement, an adjuvant formulation license agreement, and a sponsored research agreement (collectively, the “AAHI Agreements”). ImmunityBio is no longer pursuing development of the AAHI RNA platform and related technology it had licensed from AAHI in 2021. During the second half of 2024, the parties reached an agreement whereby ImmunityBio would owe no future payments to AAHI under the AAHI Agreements, ImmunityBio would return the licenses to AAHI, the AAHI Agreements were terminated, and each party mutually released and had no continuing obligations to the other.</w:t>
      </w:r>
    </w:p>
    <w:p>
      <w:pPr>
        <w:spacing w:after="0" w:line="181"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With respect to the license agreements, we recorded $1.4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 during the three months ended March 31, 2024. We recorded no expense during the three months ended March 31, 2025.</w:t>
      </w: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648"/>
        <w:spacing w:after="0" w:line="315" w:lineRule="auto"/>
        <w:rPr>
          <w:sz w:val="20"/>
          <w:szCs w:val="20"/>
          <w:color w:val="auto"/>
        </w:rPr>
      </w:pPr>
      <w:r>
        <w:rPr>
          <w:rFonts w:ascii="Times New Roman" w:cs="Times New Roman" w:eastAsia="Times New Roman" w:hAnsi="Times New Roman"/>
          <w:sz w:val="17"/>
          <w:szCs w:val="17"/>
          <w:color w:val="auto"/>
        </w:rPr>
        <w:t xml:space="preserve">With respect to the sponsored research agreement, we recorded $0.5 million,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xml:space="preserve"> on the condensed consolidated statement of operations during the three months ended March 31, 2024. We recorded no expense during the three months ended March 31,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Dunkirk Facility Leasehold Interest</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February 14, 2022, we completed the acquisition of the Dunkirk Facility (approximately 409,000 rentable square feet) from Athenex. We believe this facility has the potential to provide us with a state-of-the-art biotech production center that will substantially expand and diversify our existing manufacturing capacity in the U.S. and the ability to scale production associated with certain of our product candidates. The company accounted for the transaction as an asset acquisition because the Dunkirk Facility’s integrated set of assets and activities does not meet the definition of a business.</w:t>
      </w:r>
    </w:p>
    <w:p>
      <w:pPr>
        <w:spacing w:after="0" w:line="18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Upon the closing of the Dunkirk transaction, the company became the tenant of the Dunkirk Facility under the Fort Schuyler Management Corporation Lease, dated October 1, 2021 and as amended as of the February 14, 2022 closing date (as amended, the Dunkirk Lease), with the FSMC as landlord. The Dunkirk Facility, as well as certain equipment, is owned by the FSMC and is leased to us under the Dunkirk Lease. Our annual lease payment will be $2.00 per year for an initial 10-year term, with one option to renew the lease under substantially the same terms and conditions for an additional 10-year term. As part of the transaction, we assumed certain of Athenex’s obligations under various third-party agreements (the Facility Agreements), subject to the terms and conditions of the purchase agreement by and between the company and Athenex dated as of January 7, 2022, and committed to spend an aggregate of $1.52 billion on operational expenses during the initial term, and an additional $1.50 billion on operational expenses if we elect to renew the lease for one additional 10-year term. We also committed to hiring 450 employees at the Dunkirk Facility within the first five years following the Commencement Date, with 300 such employees to be hired within the first 2.5 years following the Commencement Date. We are eligible for certain sales-tax exemption savings during the development of the Dunkirk Facility, and certain property tax savings over the next 20 years, subject to certain terms and conditions, including performance of certain of the obligations described above. Failure to satisfy the obligations over the lease term may give rise to certain rights and remedies of governmental authorities including, for example, termination of the Dunkirk Lease and other Facility Agreements and potential recoupment of a percentage of the grant funding received by Athenex for construction of the facility and other benefits received, subject to the terms and conditions of the applicable agreements.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Dunkirk Facility has construction needs that may require approximately 12 to 18 months to complete in order for it to be 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intended, and which needs remain as a result of an ongoing dispute with the Dunkirk Facility’s general contractor and a stay in resolving the dispute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Athenex’s ongoing bankruptcy proceedings, as described below. In addition, and related to the delayed completion of the facility,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2024 we received written notice from our landlord alleging non-compliance with the initial employee headcount requirement of our lease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Dunkirk Facility. While we are seeking to resolve this matter expeditiously, there can be no assurance that we will succeed in doing so, and we may 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the Dunkirk Facility.</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governmental funding will assist in funding a portion of the further buildout of the Dunkirk Facility, which we estimate to be approximately $8.0 million to $10.0 million of governmental funding remaining available as of March 31, 2025, there can be no assurance as to the final acceptance and timing of the requests for governmental funding that we submit, and we will need to plan and fund most of the additional buildout of, and purchase additional equipment for, the Dunkirk Facility in connection with our planned full operations. In addition, any future governmental funding will be subject to the eligibility of submitted expenses, as well as our compliance with the obligations that we are subject to pursuant to the agreements with parties regarding the Dunkirk Facility as described above. Further, on May 14, 2023, Athenex, together with certain of its subsidiaries, filed voluntary petitions for relief under Chapter 11 of the United States Bankruptcy Court for the Southern District of Texas (the Athenex Proceedings). We do not know what, if any, impact the Athenex Proceedings will have on any portion of the potential governmental funding remaining for the Dunkirk Facility.</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VivaBioCell, S.p.A.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2015, NantWorks, a related party, acquired a 100% interest in VivaBioCell through its wholly-owned subsidiary, VBC Holdings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less working capital adjustments. In June 2015, NantWorks contributed its equity interest in VBC Holdings to the company,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equal to its cost basis in the investment. VivaBioCell develops bioreactors and products based on cell culture and tissue engineering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VBC, we are obligated to pay the former owners contingent consideration upon the achievement of certain milestones related to the GMP-in-a-Box technology. If a government agency unconditionally approves the GMP-in-a-Box technology for commercial sale (the regulatory milestone) in the future, we will be obligated to pay an additional approximately $2.2 million to the former owners.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LLC</w:t>
      </w:r>
    </w:p>
    <w:p>
      <w:pPr>
        <w:spacing w:after="0" w:line="11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the transaction was recorded as an asset acquisition, future CVR payments will be recorded when the corresponding events are probable of achievement or the consideration becomes payable. As of March 31, 2025, Dr. Soon-Shiong, our Founder, Executive Chairman and Global Chief Scientific and Medical Officer, and his related party hold approximately</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and the company served its Statement of Defense and Counterclaim on June 21, 2024,</w:t>
      </w: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is scheduled to begin on June 9, 2025. Given that the proceeding is in the pre-hearing stages, it remains too early to evaluate the likely outcome of the case or to estimate any range of potential loss. We believe the claims asserted against the company lack merit and intend to defend the case, and to pursue our counterclaims, vigorously.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3:23-cv-01216-GPC-VET, was filed in the United States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BLA for its then product candidate, ANKTIVA with BCG for the treatment of adult patients with BCG-unresponsive NMIBC with CIS with or without papillary tumors, in its present form due to deficiencies related to its pre-license inspection of the company’s third-party CMOs, the complaint alleges that the defendants had previously made materially false and misleading statements and/or omitted material adverse facts regarding its third-party CMOs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 w:cs="Times New Roman" w:eastAsia="Times New Roman" w:hAnsi="Times New Roman"/>
          <w:sz w:val="18"/>
          <w:szCs w:val="18"/>
          <w:i w:val="1"/>
          <w:iCs w:val="1"/>
          <w:color w:val="auto"/>
        </w:rPr>
        <w:t>In re ImmunityBio, Inc. Securities Litigation,</w:t>
      </w:r>
      <w:r>
        <w:rPr>
          <w:rFonts w:ascii="Times New Roman" w:cs="Times New Roman" w:eastAsia="Times New Roman" w:hAnsi="Times New Roman"/>
          <w:sz w:val="18"/>
          <w:szCs w:val="18"/>
          <w:color w:val="auto"/>
        </w:rPr>
        <w:t xml:space="preserve"> No. 3:23-cv-01216. On November 17, 2023, the lead plaintiff filed an amended complaint, which named the 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 and the defendants answered the complaint on August 29, 2024. On</w:t>
      </w:r>
    </w:p>
    <w:p>
      <w:pPr>
        <w:spacing w:after="0" w:line="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January 25, 2025, following a mediation and the parties’ agreement in principle to settle the securities class action for $10.5 million, the lead plaintiff filed an unopposed motion for preliminary approval of class action settlement. The settlement is subject to preliminary and final approval by the U.S. District Court for the Southern District of California. On March 17, 2025, the court granted preliminary approval of the settlement. A final approval hearing is scheduled for June 13, 2025.</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foregoing, the company recorded legal settlement expense of $10.5 million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on the consolidated statement of operations during the year ended December 31, 2024 and a corresponding amount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on the consolidated balance sheet. Approximately $6.0 million of this amount has since been paid by the company’s insurers, which was recorded during the three months ended March 31, 2025.</w:t>
      </w:r>
    </w:p>
    <w:p>
      <w:pPr>
        <w:spacing w:after="0" w:line="18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court does not grant final approval of the settlement described above, the company is unable to estimate a range of loss, if any, that could result were there to be an adverse final decision in this action. In this event and if an unfavorable outcome were to occur, it is possible that the impact could be material to the company’s results of operations in the period(s) in which any such outcome becomes probable and estimable.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Van Luven, Barbieri and Shin Derivative Actions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29, 2024, a shareholder derivative action was filed in the United States District Court for the Southern District of California against the members of our Board of Directors and certain officers, captioned </w:t>
      </w:r>
      <w:r>
        <w:rPr>
          <w:rFonts w:ascii="Times New Roman" w:cs="Times New Roman" w:eastAsia="Times New Roman" w:hAnsi="Times New Roman"/>
          <w:sz w:val="18"/>
          <w:szCs w:val="18"/>
          <w:i w:val="1"/>
          <w:iCs w:val="1"/>
          <w:color w:val="auto"/>
        </w:rPr>
        <w:t>Van Luven v. Soon-Shiong et al.</w:t>
      </w:r>
      <w:r>
        <w:rPr>
          <w:rFonts w:ascii="Times New Roman" w:cs="Times New Roman" w:eastAsia="Times New Roman" w:hAnsi="Times New Roman"/>
          <w:sz w:val="18"/>
          <w:szCs w:val="18"/>
          <w:color w:val="auto"/>
        </w:rPr>
        <w:t>, Case No. 3:24-cv-02014-GPC-VET. The plaintiff purports to bring the action derivatively on behalf of ImmunityBio, and ImmunityBio is a nominal defendant to the action. Stemming from the company’s May 11, 2023 disclosure that it had received an FDA CRL stating, among other things, that it could not approve the company’s BLA for its then product candidate, ANKTIVA with BCG for the treatment of adult patients with BCG-unresponsive NMIBC with CIS with or without papillary tumors, in its present form due to deficiencies related to its pre-license inspection of the company’s third-party CMOs, the derivative complaint alleges that the individual defendants authorized or permitted materially false and misleading statements and/or omitted material adverse facts regarding ImmunityBio’s third-party CMOs and the prospects for regulatory approval of the ANKTIVA BLA. The derivative complaint asserts claims for violations of Section 14(a) of the Exchange Act as well as claims for breach of fiduciary duty, unjust enrichment, and waste of corporate assets. The derivative complaint seeks unspecified damages on behalf of the</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company, disgorgement or restitution, declaratory relief, and an award of costs and expenses to the derivative plaintiff, including attorneys’ fees. The court entered an order extending the defendants’ deadline to respond to the complaint to May 30, 2025.</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February 25, 2025, a second shareholder derivative action was filed in the United States District Court for the Southern District of California against certain members of our Board of Directors and certain officers, captioned </w:t>
      </w:r>
      <w:r>
        <w:rPr>
          <w:rFonts w:ascii="Times New Roman" w:cs="Times New Roman" w:eastAsia="Times New Roman" w:hAnsi="Times New Roman"/>
          <w:sz w:val="18"/>
          <w:szCs w:val="18"/>
          <w:i w:val="1"/>
          <w:iCs w:val="1"/>
          <w:color w:val="auto"/>
        </w:rPr>
        <w:t>Barbieri v. Soon-Shiong, et al</w:t>
      </w:r>
      <w:r>
        <w:rPr>
          <w:rFonts w:ascii="Times New Roman" w:cs="Times New Roman" w:eastAsia="Times New Roman" w:hAnsi="Times New Roman"/>
          <w:sz w:val="18"/>
          <w:szCs w:val="18"/>
          <w:color w:val="auto"/>
        </w:rPr>
        <w:t xml:space="preserve">., Case No. 3:25-cv-00416-AGS-JLB. The plaintiff purports to bring the action derivatively on behalf of ImmunityBio, and ImmunityBio is a nominal defendant in the action. This lawsuit asserts substantially similar claims and allegations as </w:t>
      </w:r>
      <w:r>
        <w:rPr>
          <w:rFonts w:ascii="Times New Roman" w:cs="Times New Roman" w:eastAsia="Times New Roman" w:hAnsi="Times New Roman"/>
          <w:sz w:val="18"/>
          <w:szCs w:val="18"/>
          <w:i w:val="1"/>
          <w:iCs w:val="1"/>
          <w:color w:val="auto"/>
        </w:rPr>
        <w:t>Van Luven</w:t>
      </w:r>
      <w:r>
        <w:rPr>
          <w:rFonts w:ascii="Times New Roman" w:cs="Times New Roman" w:eastAsia="Times New Roman" w:hAnsi="Times New Roman"/>
          <w:sz w:val="18"/>
          <w:szCs w:val="18"/>
          <w:color w:val="auto"/>
        </w:rPr>
        <w:t>. The court entered an order extending the defendants’ deadline to respond to the complaint to May 30, 2025.</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February 26, 2025, a third shareholder derivative action was filed in the United States District Court for the Southern District of California against certain current and former members of our Board of Directors and certain officers, captioned </w:t>
      </w:r>
      <w:r>
        <w:rPr>
          <w:rFonts w:ascii="Times New Roman" w:cs="Times New Roman" w:eastAsia="Times New Roman" w:hAnsi="Times New Roman"/>
          <w:sz w:val="18"/>
          <w:szCs w:val="18"/>
          <w:i w:val="1"/>
          <w:iCs w:val="1"/>
          <w:color w:val="auto"/>
        </w:rPr>
        <w:t>Shin v. Soon-Shiong, et al.</w:t>
      </w:r>
      <w:r>
        <w:rPr>
          <w:rFonts w:ascii="Times New Roman" w:cs="Times New Roman" w:eastAsia="Times New Roman" w:hAnsi="Times New Roman"/>
          <w:sz w:val="18"/>
          <w:szCs w:val="18"/>
          <w:color w:val="auto"/>
        </w:rPr>
        <w:t xml:space="preserve">, Case No. 3:25-cv-00423-JAH-DDL. The plaintiff purports to bring the action derivatively on behalf of ImmunityBio, and ImmunityBio is a nominal defendant in the action. This lawsuit asserts substantially similar claims and allegations as Van </w:t>
      </w:r>
      <w:r>
        <w:rPr>
          <w:rFonts w:ascii="Times New Roman" w:cs="Times New Roman" w:eastAsia="Times New Roman" w:hAnsi="Times New Roman"/>
          <w:sz w:val="18"/>
          <w:szCs w:val="18"/>
          <w:i w:val="1"/>
          <w:iCs w:val="1"/>
          <w:color w:val="auto"/>
        </w:rPr>
        <w:t>Luven</w:t>
      </w:r>
      <w:r>
        <w:rPr>
          <w:rFonts w:ascii="Times New Roman" w:cs="Times New Roman" w:eastAsia="Times New Roman" w:hAnsi="Times New Roman"/>
          <w:sz w:val="18"/>
          <w:szCs w:val="18"/>
          <w:color w:val="auto"/>
        </w:rPr>
        <w:t>. The court entered an order extending the defendants’ deadline to respond to the complaint to May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Carlson Derivative Action</w:t>
      </w:r>
    </w:p>
    <w:p>
      <w:pPr>
        <w:spacing w:after="0" w:line="119"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 w:cs="Times New Roman" w:eastAsia="Times New Roman" w:hAnsi="Times New Roman"/>
          <w:sz w:val="17"/>
          <w:szCs w:val="17"/>
          <w:i w:val="1"/>
          <w:iCs w:val="1"/>
          <w:color w:val="auto"/>
        </w:rPr>
        <w:t>Carlson v. Soon-Shiong, et al.,</w:t>
      </w:r>
      <w:r>
        <w:rPr>
          <w:rFonts w:ascii="Times New Roman" w:cs="Times New Roman" w:eastAsia="Times New Roman" w:hAnsi="Times New Roman"/>
          <w:sz w:val="17"/>
          <w:szCs w:val="17"/>
          <w:color w:val="auto"/>
        </w:rPr>
        <w:t xml:space="preserve"> 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defendants knew the company’s stock price would increase following the company’s imminent resubmission of a BLA for, and the subsequent FDA approval of, ANKTIVA with BCG for the treatment of adult patients with BCG-unresponsive NMIBC with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 On May 2, 2025, instead of filing an opposition to defendants’ motion to dismiss, the plaintiff filed an amended complaint. This amended complaint added certain additional members of the company’s Board of Directors as defendants but did not add new claims. Defendants’ response to the amended complaint is due July 16,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did not enter into any significant contracts, other than those disclosed in these condensed consolidated financial statements.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also a party to various contracts with CROs and CMOs that generally provide for termination on notice, with the exact amounts in the event of termination to be based on the timing of the termination and the terms of the agreement. There have been no material changes in unconditional purchase commitments from those disclosed in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3, 2025.</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 Arrangements</w:t>
      </w:r>
    </w:p>
    <w:p>
      <w:pPr>
        <w:spacing w:after="0" w:line="121"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We lease property in multiple facilities across the U.S. and Italy, including facilities located in El Segundo, CA and the Dunkirk Facility in upstate New York. Substantially all of our operating lease right-of-use assets and operating lease liabilities relate to facilities leases. All of our finance leases were related to equipment rental at the Dunkirk Facility. See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Related-Party Agreements”</w:t>
      </w:r>
      <w:r>
        <w:rPr>
          <w:rFonts w:ascii="Times New Roman" w:cs="Times New Roman" w:eastAsia="Times New Roman" w:hAnsi="Times New Roman"/>
          <w:sz w:val="17"/>
          <w:szCs w:val="17"/>
          <w:color w:val="auto"/>
        </w:rPr>
        <w:t xml:space="preserve"> for more information about our related-party leases.</w:t>
      </w:r>
    </w:p>
    <w:p>
      <w:pPr>
        <w:spacing w:after="0" w:line="15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428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7"/>
                <w:szCs w:val="17"/>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(including</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(including</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(including</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34,823</w:t>
            </w: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lease liabilities (including</w:t>
            </w:r>
          </w:p>
        </w:tc>
        <w:tc>
          <w:tcPr>
            <w:tcW w:w="4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w:t>
            </w: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4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our lease terms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12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37"/>
        </w:trPr>
        <w:tc>
          <w:tcPr>
            <w:tcW w:w="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4"/>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4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3460" w:type="dxa"/>
            <w:vAlign w:val="bottom"/>
          </w:tcPr>
          <w:p>
            <w:pPr>
              <w:spacing w:after="0"/>
              <w:rPr>
                <w:sz w:val="21"/>
                <w:szCs w:val="21"/>
                <w:color w:val="auto"/>
              </w:rPr>
            </w:pPr>
          </w:p>
        </w:tc>
        <w:tc>
          <w:tcPr>
            <w:tcW w:w="17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5.2 years</w:t>
            </w:r>
          </w:p>
        </w:tc>
        <w:tc>
          <w:tcPr>
            <w:tcW w:w="1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4.8 years</w:t>
            </w:r>
          </w:p>
        </w:tc>
      </w:tr>
      <w:tr>
        <w:trPr>
          <w:trHeight w:val="263"/>
        </w:trPr>
        <w:tc>
          <w:tcPr>
            <w:tcW w:w="4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tcPr>
          <w:p>
            <w:pPr>
              <w:spacing w:after="0"/>
              <w:rPr>
                <w:sz w:val="21"/>
                <w:szCs w:val="21"/>
                <w:color w:val="auto"/>
              </w:rPr>
            </w:pPr>
          </w:p>
        </w:tc>
      </w:tr>
      <w:tr>
        <w:trPr>
          <w:trHeight w:val="905"/>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60" w:type="dxa"/>
            <w:vAlign w:val="bottom"/>
          </w:tcPr>
          <w:p>
            <w:pPr>
              <w:jc w:val="right"/>
              <w:ind w:right="1736"/>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consist of the following (in thousands):</w:t>
      </w:r>
    </w:p>
    <w:p>
      <w:pPr>
        <w:spacing w:after="0" w:line="25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0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 (including right-of-use asset amortization and interest expense)</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4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is as follows (in thousands):</w:t>
      </w:r>
    </w:p>
    <w:p>
      <w:pPr>
        <w:spacing w:after="0" w:line="25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(excluding variable lease costs)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96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9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7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Future minimum lease payments as of March 31, 2025, including $11.5 million related to options to extend lease terms that are reasonably certain of being exercised, are presented in the following table (in thousands). Common area maintenance costs and taxes are not included in these payments.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16"/>
                <w:szCs w:val="16"/>
                <w:color w:val="auto"/>
              </w:rPr>
            </w:pP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
        </w:trPr>
        <w:tc>
          <w:tcPr>
            <w:tcW w:w="9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r>
      <w:tr>
        <w:trPr>
          <w:trHeight w:val="26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r>
      <w:tr>
        <w:trPr>
          <w:trHeight w:val="26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r>
      <w:tr>
        <w:trPr>
          <w:trHeight w:val="25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r>
      <w:tr>
        <w:trPr>
          <w:trHeight w:val="257"/>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43"/>
        </w:trPr>
        <w:tc>
          <w:tcPr>
            <w:tcW w:w="9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52,675</w:t>
            </w:r>
          </w:p>
        </w:tc>
      </w:tr>
      <w:tr>
        <w:trPr>
          <w:trHeight w:val="263"/>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r>
      <w:tr>
        <w:trPr>
          <w:trHeight w:val="250"/>
        </w:trPr>
        <w:tc>
          <w:tcPr>
            <w:tcW w:w="9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40,557</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related to our existing lease agreements from those disclosed in Note 10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3, 2025.</w:t>
      </w:r>
    </w:p>
    <w:p>
      <w:pPr>
        <w:spacing w:after="0" w:line="200" w:lineRule="exact"/>
        <w:rPr>
          <w:sz w:val="20"/>
          <w:szCs w:val="20"/>
          <w:color w:val="auto"/>
        </w:rPr>
      </w:pPr>
    </w:p>
    <w:p>
      <w:pPr>
        <w:spacing w:after="0" w:line="3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Revenue Interest Purchase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Liability</w:t>
      </w:r>
    </w:p>
    <w:p>
      <w:pPr>
        <w:spacing w:after="0" w:line="12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acquired certain initial Revenue Interests from us for a gross purchase price of $200.0 million paid on closing, less $7.5 million of issuance costs. Oberland had the option to purchase additional Revenue Interests from us in exchange for a $100.0 million Second Payment upon satisfaction of certain conditions in the RIPA, including receipt of approval from the FDA of our BLA for ANKTIVA on or before June 30, 2024.</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22, 2024, the FDA approved our product ANKTIVA and as a result, on May 13, 2024 Oberland purchased additional Revenue Interests from us for a gross purchase price of $100.0 million, less $3.1 million of issuance costs. The issuance costs incurred are being amortized to interest expense over the estimated term of the debt.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consideration for the aforementioned payments, Oberland has the right to receive quarterly Revenue Interest Payments from us based on, among other things, a certain percentage of our net sales during such quarter, which are tiered payments ranging from 4.5% to 10.0% (before funding of the Second Payment, 3.0% to 7.0%) of the company’s worldwide net sales, excluding those in China.</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aggregate Revenue Interest Payments made to Oberland as of December 31, 2029 (Test Date) equal or exceed the Cumulative Purchaser Payments ($300.0 million) as of that date, the initially tiered revenue interest rate will be decreased to a single rate of 2.25% (before the funding of the Second Payment, 1.50%) of the company’s worldwide net sales, excluding those in China. If the aggregate Revenue Interest Payments made to Oberland as of the Test Date are less than the aggregate amount of Cumulative Purchaser Payments as of the Test Date, then following the Test Date the initially tiered revenue interest rate will increase to a rate that, had such increased rate applied during the period from December 29, 2023 through December 31, 2029, it would have resulted in Oberland receiving aggregate Revenue Interest Payments (excluding certain payments detailed in the RIPA) equal to the Cumulative Purchaser Payments as of the Test Date. In addition, if aggregate Revenue Interest Payments made to Oberland as of the Test Date are less than the aggregate amount of Cumulative Purchaser Payments as of the Test Date, then the company must make the True-Up Payment.</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Oberland’s rights to receive Revenue Interest Payments under the RIPA shall terminate when Oberland has received payments (including any True-Up Payment) equal to 195.0% of the then Cumulative Purchaser Payments unless the RIPA is terminated prior to such date (subject to certain Call/Put Option scenarios as described below). If Oberland has not received total payments (including any True-Up Payment) equal to 195.0% of the then Cumulative Purchaser Payments on or before the twelfth anniversary of the RIPA, then the company shall be obligated to pay to Oberland an amount equal to 195.0% of the then Cumulative Purchaser Payments less the aggregate payments (including any True-Up Payments) made as of such date.</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RIPA are guaranteed by certain of its subsidiaries meeting materiality thresholds set forth in the RIPA. To secure the company’s obligations under the RIPA and the subsidiary guarantors’ obligations under the guarantees, each of the company and the subsidiary guarantors has granted a security interest in substantially all its assets, subject to certain exceptions and limitations.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additional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As of March 31, 2025, the company was in compliance with all covenants.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RIPA is considered a sale of future revenues and is accounted for as long-term debt recorded at amortized cost using the effective interest rate method.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number of factors, including the level of forecasted net sales. The company evaluates the interest rate quarterly based on its current net sales forecasts utilizing the prospective method. A significant increase or decrease in actual or forecasted net sales may materially impact the revenue interest liability, embedded derivative liabilities, other income (expense), net, and the time period for repayment.</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December 10, 2024, the company entered into an amendment to the RIPA to add additional conditions to the payment of certain existing indebtedness. Such amendment did not have an impact on the valuation of the revenue interest liability or the embedded derivative liabilities related to the RIPA.</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recorded $13.5 million and $8.0 million of interest expense, respectively, related to this arrangement.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2025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2024</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284,404</w:t>
            </w:r>
          </w:p>
        </w:tc>
      </w:tr>
      <w:tr>
        <w:trPr>
          <w:trHeight w:val="230"/>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w:t>
            </w:r>
          </w:p>
        </w:tc>
      </w:tr>
      <w:tr>
        <w:trPr>
          <w:trHeight w:val="22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revenue interest payment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interest payment</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2025</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296,287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Derivative Liability</w:t>
      </w:r>
    </w:p>
    <w:p>
      <w:pPr>
        <w:spacing w:after="0" w:line="11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the RIPA, the company has a Call Option to terminate the RIPA and repurchase the Revenue Interests at any time upon advance written notice, subject to certain limitations set forth in the RIPA. Additionally, Oberland has a Put Option enabling them to terminate the RIPA and to require the company to repurchase the Revenue Interests upon enumerated events, such as a bankruptcy event, failure to make a payment, an uncured material breach, default in certain third-party agreements, a breach or default under any subordination agreements with respect to indebtedness to existing stockholders, or subordinated notes during certain time periods, judgments in excess of certain amounts against the company, a material adverse effect, the loss of regulatory approval of our product candidates or a change of control.</w:t>
      </w:r>
    </w:p>
    <w:p>
      <w:pPr>
        <w:spacing w:after="0" w:line="18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required purchase price with respect to the Call Option and/or Put Option, as applicable, shall be (a) 120.0% of the Cumulative Purchaser Payments as of such date, if Oberland exercises the Put Option (other than in connection with a change of control) on or prior to the first anniversary the Closing Date, (b) 135.0% of the Cumulative Purchaser Payments as of such date, if the Put Option or the Call Option is exercised in connection with a change of control on or prior to the date that is eighteen (18) months after the Closing Date, and (c) in all other cases, (i) 175.0% of the Cumulative Purchaser Payments as of such date, if the Put Option or the Call Option is exercised no later than the date that is thirty six (36) months after the Closing Date, and (ii) 195.0% of the Cumulative Purchaser Payments as of such date, if the Put Option or the Call Option is exercised later than the date that is thirty six (36) months after the Closing Date, minus, in each case, the total payments made to Oberland on or prior to such date.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aforementioned Call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recorded $34.5 million for the initial fair value of the derivative liability upon the closing of the initial $200.0 million Revenue Interests acquired by Oberland. The company recorded an incremental $6.2 million for the fair value of the derivative liability upon the closing of the additional $100.0 million Revenue Interests acquired by Oberland in May 2024. The initial and incremental fair value allocated to the derivative liability is recorded against the RIPA as a debt discount, which is being amortized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condensed consolidated statement of operations over the expected term of the debt using the effective interest method. The embedded derivative is subsequently remeasured at fair value each reporting period using a Monte Carlo Simulation valuation technique, with the change in fair value being recorded in </w:t>
      </w:r>
      <w:r>
        <w:rPr>
          <w:rFonts w:ascii="Times New Roman" w:cs="Times New Roman" w:eastAsia="Times New Roman" w:hAnsi="Times New Roman"/>
          <w:sz w:val="18"/>
          <w:szCs w:val="18"/>
          <w:i w:val="1"/>
          <w:iCs w:val="1"/>
          <w:color w:val="auto"/>
        </w:rPr>
        <w:t>change in fair value of derivative liabilities</w:t>
      </w:r>
      <w:r>
        <w:rPr>
          <w:rFonts w:ascii="Times New Roman" w:cs="Times New Roman" w:eastAsia="Times New Roman" w:hAnsi="Times New Roman"/>
          <w:sz w:val="18"/>
          <w:szCs w:val="18"/>
          <w:color w:val="auto"/>
        </w:rPr>
        <w:t>, on the condensed consolidated statement of operations.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estimated probability and timing of underlying events triggering the exercisability of the Put Option contained in the RIPA, forecasted cash flows and the discount rate are significant unobservable inputs used to determine the estimated fair value of the entire instrument with the embedded derivative. As of March 31, 2025 and December 31, 2024, the discount rate used for valuation of the derivative liability was 11.5% and 10.4%,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the derivative liability is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2024</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25,800</w:t>
            </w:r>
          </w:p>
        </w:tc>
      </w:tr>
      <w:tr>
        <w:trPr>
          <w:trHeight w:val="229"/>
        </w:trPr>
        <w:tc>
          <w:tcPr>
            <w:tcW w:w="9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(5,560)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March 31, 2025</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and Option Agreement</w:t>
      </w:r>
    </w:p>
    <w:p>
      <w:pPr>
        <w:spacing w:after="0" w:line="11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and in connection with the RIPA, we entered into an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at any time until the earliest of</w:t>
      </w:r>
    </w:p>
    <w:p>
      <w:pPr>
        <w:spacing w:after="0" w:line="1" w:lineRule="exact"/>
        <w:rPr>
          <w:sz w:val="20"/>
          <w:szCs w:val="20"/>
          <w:color w:val="auto"/>
        </w:rPr>
      </w:pPr>
    </w:p>
    <w:p>
      <w:pPr>
        <w:ind w:right="420" w:firstLine="8"/>
        <w:spacing w:after="0" w:line="255"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stock purchase option was considered as a derivative liability estimated at fair value at issuance. The initial $200.0 million received pursuant to the RIPA and $10.0 million received pursuant to the SPOA were allocated among the resulting financial instruments on a relative fair value basis, with $197.1 million allocated to the debt under the RIPA, $12.0 million allocated to the common stock issued under the SPOA, and $0.8 million allocated to the stock purchase option as of December 31, 2023.</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2024, Oberland exercised part of their option and purchased 858,990 shares of our common stock at an exercise price of $5.8208 per share generating net proceeds of approximately $4.9 million. In relation to this transaction, we recorded $7.6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statement of stockholders’ deficit during the year ended December 31, 2024. Following such exercise, approximately $5.0 million remains available for future exercise under the SPOA as of March 31, 2025. This option expires on December 29, 2028.</w:t>
      </w:r>
    </w:p>
    <w:p>
      <w:pPr>
        <w:spacing w:after="0" w:line="17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This stock purchase option is classified in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on the condensed consolidated balance sheet at its fair value and is subsequently remeasured at fair value each reporting period, with the change in fair value being recorded in </w:t>
      </w:r>
      <w:r>
        <w:rPr>
          <w:rFonts w:ascii="Times New Roman" w:cs="Times New Roman" w:eastAsia="Times New Roman" w:hAnsi="Times New Roman"/>
          <w:sz w:val="18"/>
          <w:szCs w:val="18"/>
          <w:i w:val="1"/>
          <w:iCs w:val="1"/>
          <w:color w:val="auto"/>
        </w:rPr>
        <w:t>change in fair value of derivative liabilities</w:t>
      </w:r>
      <w:r>
        <w:rPr>
          <w:rFonts w:ascii="Times New Roman" w:cs="Times New Roman" w:eastAsia="Times New Roman" w:hAnsi="Times New Roman"/>
          <w:sz w:val="18"/>
          <w:szCs w:val="18"/>
          <w:color w:val="auto"/>
        </w:rPr>
        <w:t>, on the condensed consolidated statement of operations.</w:t>
      </w:r>
    </w:p>
    <w:p>
      <w:pPr>
        <w:spacing w:after="0" w:line="200" w:lineRule="exact"/>
        <w:rPr>
          <w:sz w:val="20"/>
          <w:szCs w:val="20"/>
          <w:color w:val="auto"/>
        </w:rPr>
      </w:pPr>
    </w:p>
    <w:p>
      <w:pPr>
        <w:spacing w:after="0" w:line="3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stock option purchase liability was computed using a Monte Carlo Simulation valuation technique which calculated exercise price and discounted back to a present value at the risk-free rate with the following unobservable assumptions at the following dates: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18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7880" w:type="dxa"/>
            <w:vAlign w:val="bottom"/>
          </w:tcPr>
          <w:p>
            <w:pPr>
              <w:spacing w:after="0"/>
              <w:rPr>
                <w:sz w:val="17"/>
                <w:szCs w:val="17"/>
                <w:color w:val="auto"/>
              </w:rPr>
            </w:pPr>
          </w:p>
        </w:tc>
        <w:tc>
          <w:tcPr>
            <w:tcW w:w="18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8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121.8 %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127.0 %</w:t>
            </w:r>
          </w:p>
        </w:tc>
      </w:tr>
      <w:tr>
        <w:trPr>
          <w:trHeight w:val="27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3.9 %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the stock option purchase liability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2024</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lef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March 31, 2025</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Related-Party Debt</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Our related-party debt is summarized below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7"/>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3"/>
                <w:szCs w:val="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Related-Party Convertible Note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Term</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$505 million December 2024 Promissory Note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tcPr>
          <w:p>
            <w:pPr>
              <w:spacing w:after="0"/>
              <w:rPr>
                <w:sz w:val="15"/>
                <w:szCs w:val="15"/>
                <w:color w:val="auto"/>
              </w:rPr>
            </w:pPr>
          </w:p>
        </w:tc>
        <w:tc>
          <w:tcPr>
            <w:tcW w:w="11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7"/>
              </w:rPr>
              <w:t>SOFR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485,717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8"/>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1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1240" w:type="dxa"/>
            <w:vAlign w:val="bottom"/>
          </w:tcPr>
          <w:p>
            <w:pPr>
              <w:jc w:val="center"/>
              <w:ind w:right="83"/>
              <w:spacing w:after="0" w:line="158"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Related-Party Convertible Note at Fair Value:</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Term</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$505 million December 2024 Promissory Note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SOFR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461,877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7"/>
        </w:trPr>
        <w:tc>
          <w:tcPr>
            <w:tcW w:w="474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$505 million December 2024 Promissory Note</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$505.0 million December 2024 Promissory Note bears an interest rate of Term SOFR plus 8.0% per annum, payable on a quarterly basis. Pursuant to the terms of the second amended and restated</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promissory note, the noteholder, in its sole discretion, may convert all of the outstanding principal amount into shares of common stock at a conversion price of $5.4270 per share. In addition, the noteholder can request up to $50.0 million of the outstanding principal amount and accrued interest to be repaid upon consummation of a specified transaction. Also, on December 10, 2024, the company received a written notice from Nant Capital, the holder of the $30.0 million March 2023 Promissory Note due on December 31, 2025 and the $200.0 million September 2023 Promissory Note due on</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September 11, 2026 of its election to convert the entire outstanding principal and accrued interests of the such promissory notes into shares of the company’s common stock (the Converted Promissory Notes). As of December 10, 2024, the total outstanding principal amount and accrued and unpaid interests due under the Converted Promissory Notes were converted into shares of the company’s common stock.</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Since the $505.0 million December 2024 Promissory Note, together with the Converted Promissory Notes, were executed contemporaneously and in contemplation with one another with entities under common control, the company evaluated these transactions collectively as a single unit of account to accurately capture the economics of the transactions. The company determined the fair value of the conversion feature before and after the above transactions to assess whether there is a substantial change in fair value. The company used binomial lattice models for the “with” scenario and discounted cash flow model for the “without” scenario. The company determined that the fair value of the conversion feature before modification is substantially different than the fair value after modification, and as such, these transactions were accounted for as debt extinguishment in accordance with ASC 470-50. Under this model, the company calculated a gain on debt extinguishment of $10.4 million, which represents the difference between the: (a) fair value of the December 2024 Promissory Note and the reacquisition price of the Converted Promissory Notes on the date of conversion; and (b) carrying value of the extinguished debt, net of any unamortized related party notes discounts plus, the debt premium previously recognized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consolidated statement of stockholders’ deficit as a result of the December 29, 2023 Debt Extinguishment. Since the debt was obtained from entities under common control, such gain on extinguishment was recorded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on the consolidated statement of stockholders’ deficit.</w:t>
      </w:r>
    </w:p>
    <w:p>
      <w:pPr>
        <w:spacing w:after="0" w:line="19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Due to the conversion of the Converted Promissory Notes, the company also recorded $188.5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consolidated statement of stockholders’ deficit as of December 31, 2024. This represents the difference between the reacquisition price of the Converted Promissory Notes on the date of conversion and the debt premium previously recognized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on the consolidated statement of stockholders’ deficit as a result of the December 29, 2023 Debt Extinguishment.</w:t>
      </w:r>
    </w:p>
    <w:p>
      <w:pPr>
        <w:spacing w:after="0" w:line="18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for recognizing the $505.0 million December 2024 Promissory Note under ASC 825-10-15-4. Under the FVO election, the note was initially measured at estimated fair value upon issuance and is remeasured at estimated fair value on a recurring basis at each reporting period date. The estimated fair value of the convertible note was computed with unobservable assumptions such as expected market yield, volatility and risk-free rate.</w:t>
      </w:r>
    </w:p>
    <w:p>
      <w:pPr>
        <w:spacing w:after="0" w:line="201" w:lineRule="exact"/>
        <w:rPr>
          <w:sz w:val="20"/>
          <w:szCs w:val="20"/>
          <w:color w:val="auto"/>
        </w:rPr>
      </w:pPr>
    </w:p>
    <w:tbl>
      <w:tblPr>
        <w:tblLayout w:type="fixed"/>
        <w:tblInd w:w="6080" w:type="dxa"/>
        <w:tblCellMar>
          <w:top w:w="0" w:type="dxa"/>
          <w:left w:w="0" w:type="dxa"/>
          <w:bottom w:w="0" w:type="dxa"/>
          <w:right w:w="0" w:type="dxa"/>
        </w:tblCellMar>
      </w:tblPr>
      <w:tr>
        <w:trPr>
          <w:trHeight w:val="161"/>
        </w:trPr>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Immediately After</w:t>
            </w:r>
          </w:p>
        </w:tc>
        <w:tc>
          <w:tcPr>
            <w:tcW w:w="1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1840" w:type="dxa"/>
            <w:vAlign w:val="bottom"/>
            <w:gridSpan w:val="2"/>
          </w:tcPr>
          <w:p>
            <w:pPr>
              <w:ind w:left="280"/>
              <w:spacing w:after="0" w:line="146" w:lineRule="exact"/>
              <w:rPr>
                <w:sz w:val="20"/>
                <w:szCs w:val="20"/>
                <w:color w:val="auto"/>
              </w:rPr>
            </w:pPr>
            <w:r>
              <w:rPr>
                <w:rFonts w:ascii="Times New Roman" w:cs="Times New Roman" w:eastAsia="Times New Roman" w:hAnsi="Times New Roman"/>
                <w:sz w:val="14"/>
                <w:szCs w:val="14"/>
                <w:b w:val="1"/>
                <w:bCs w:val="1"/>
                <w:color w:val="auto"/>
              </w:rPr>
              <w:t>the Amendment on</w:t>
            </w:r>
          </w:p>
        </w:tc>
        <w:tc>
          <w:tcPr>
            <w:tcW w:w="172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10, 2024</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Binomial lattice model:</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market yield</w:t>
            </w:r>
          </w:p>
        </w:tc>
        <w:tc>
          <w:tcPr>
            <w:tcW w:w="45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18.7 %</w:t>
            </w: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7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45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115.1 %</w:t>
            </w:r>
          </w:p>
        </w:tc>
        <w:tc>
          <w:tcPr>
            <w:tcW w:w="17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125.6 %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rate</w:t>
            </w:r>
          </w:p>
        </w:tc>
        <w:tc>
          <w:tcPr>
            <w:tcW w:w="45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4.1 %</w:t>
            </w: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905"/>
        </w:trPr>
        <w:tc>
          <w:tcPr>
            <w:tcW w:w="3840" w:type="dxa"/>
            <w:vAlign w:val="bottom"/>
          </w:tcPr>
          <w:p>
            <w:pPr>
              <w:spacing w:after="0"/>
              <w:rPr>
                <w:sz w:val="24"/>
                <w:szCs w:val="24"/>
                <w:color w:val="auto"/>
              </w:rPr>
            </w:pPr>
          </w:p>
        </w:tc>
        <w:tc>
          <w:tcPr>
            <w:tcW w:w="45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44</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 in the fair value of this note was as follows (in thousands):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9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 at December 31, 2024</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461,877</w:t>
            </w:r>
          </w:p>
        </w:tc>
      </w:tr>
      <w:tr>
        <w:trPr>
          <w:trHeight w:val="270"/>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42,582</w:t>
            </w:r>
          </w:p>
        </w:tc>
      </w:tr>
      <w:tr>
        <w:trPr>
          <w:trHeight w:val="270"/>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 related to instrument-specific credit risk</w:t>
            </w: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fair value, at March 31, 2025</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485,717</w:t>
            </w:r>
          </w:p>
        </w:tc>
      </w:tr>
      <w:tr>
        <w:trPr>
          <w:trHeight w:val="20"/>
        </w:trPr>
        <w:tc>
          <w:tcPr>
            <w:tcW w:w="9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Prepayment Feature</w:t>
      </w:r>
    </w:p>
    <w:p>
      <w:pPr>
        <w:spacing w:after="0" w:line="11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embedded derivative related to a contingently exercisable prepayment feature, which allows the noteholder to request up to a $50.0 million prepayment and accrued interest upon occurrence of a specified transaction (defined in the promissory note) was recorded as a derivative liability on the consolidated balance sheet and measured at fair value prior to the second amended and restated promissory note. The fair value of the derivative liability was determined at each period end using the “with-and-without” method, which assessed the likelihood and timing of a specified transaction that if triggered could have resulted in a repayment. Changes in the fair value of the derivative liability were reported in </w:t>
      </w:r>
      <w:r>
        <w:rPr>
          <w:rFonts w:ascii="Times New Roman" w:cs="Times New Roman" w:eastAsia="Times New Roman" w:hAnsi="Times New Roman"/>
          <w:sz w:val="18"/>
          <w:szCs w:val="18"/>
          <w:i w:val="1"/>
          <w:iCs w:val="1"/>
          <w:color w:val="auto"/>
        </w:rPr>
        <w:t>change in fair value of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on the condensed consolidated statement of operations.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Since the company elected the fair value option to account for the $505.0 million December 2024 Promissory Note, the embedded derivative is no longer required to be recorded separately but is considered when estimating the fair value of the $505.0 million December 2024 Promissory Note.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estimated future contractual obligations of our related-party debt as of March 31, 2025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5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567,103</w:t>
            </w: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675,996</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27" w:lineRule="exact"/>
        <w:rPr>
          <w:sz w:val="20"/>
          <w:szCs w:val="20"/>
          <w:color w:val="auto"/>
        </w:rPr>
      </w:pPr>
    </w:p>
    <w:p>
      <w:pPr>
        <w:ind w:left="560" w:right="280" w:hanging="534"/>
        <w:spacing w:after="0" w:line="280"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our promissory note are calculated based on Term SOFR plus the contractual spread per the loan agreement. The weighted-average interest rate on our promissory note as of March 31, 2025 was 12.30%.</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(in thousands):</w:t>
      </w:r>
    </w:p>
    <w:p>
      <w:pPr>
        <w:spacing w:after="0" w:line="273"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related-party notes payable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23,909</w:t>
            </w: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related-party notes discounts</w:t>
            </w:r>
          </w:p>
        </w:tc>
        <w:tc>
          <w:tcPr>
            <w:tcW w:w="9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75"/>
        </w:trPr>
        <w:tc>
          <w:tcPr>
            <w:tcW w:w="8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connection with the RIPA transaction, the outstanding related-party convertible note was subordinated to the RIPA payment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Related-Party Agreements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with several affiliates under written agreements and informal arrangements. Below is a summary of outstanding balances and a description of significant relationships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4"/>
        </w:trPr>
        <w:tc>
          <w:tcPr>
            <w:tcW w:w="8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party–NantWorks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party–Brink</w:t>
            </w:r>
          </w:p>
        </w:tc>
        <w:tc>
          <w:tcPr>
            <w:tcW w:w="1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parties–Various</w:t>
            </w:r>
          </w:p>
        </w:tc>
        <w:tc>
          <w:tcPr>
            <w:tcW w:w="1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due from related parties</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8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party–the Clinic</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party–Duley Road</w:t>
            </w: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related parties–Various</w:t>
            </w: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due to related parties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Founder, Executive Chairman and Global Chief Scientific and Medical Officer also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Founder, Executive Chairman, Global Chief Scientific and Medical Officer, and principal stockholder.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to us, and we provide certain of such services to them. The receiving party is charged for the services at cost plus reasonable allocations of employee benefits, facilities, and other direct or fairly allocated indirect costs that relate to the employees providing the services. During the three months ended March 31, 2025 and 2024, we recorded $0.5 million and $0.4 million, respectively,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and $0.4 million and $0.6 million of expense reimbursements, respectively, under this arrangement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These amounts exclude certain general and administrative expenses provided by third-party vendors directly for our benefit, which were reimbursed to NantWorks based on those vendors’ invoiced amounts without markup by NantWorks.</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2025 and December 31, 2024, we had a receivable of $0.3 million and $0.2 million, respectively, for all agreements with NantWorks, which are included in </w:t>
      </w:r>
      <w:r>
        <w:rPr>
          <w:rFonts w:ascii="Times New Roman" w:cs="Times New Roman" w:eastAsia="Times New Roman" w:hAnsi="Times New Roman"/>
          <w:sz w:val="18"/>
          <w:szCs w:val="18"/>
          <w:i w:val="1"/>
          <w:iCs w:val="1"/>
          <w:color w:val="auto"/>
        </w:rPr>
        <w:t>due from related parties,</w:t>
      </w:r>
      <w:r>
        <w:rPr>
          <w:rFonts w:ascii="Times New Roman" w:cs="Times New Roman" w:eastAsia="Times New Roman" w:hAnsi="Times New Roman"/>
          <w:sz w:val="18"/>
          <w:szCs w:val="18"/>
          <w:color w:val="auto"/>
        </w:rPr>
        <w:t xml:space="preserve"> on the condensed consolidated balance sheets. We also recorded $2.0 million and $3.0 million of prepaid expenses for various services that we expect will be passed through to the company from NantWorks as of March 31, 2025 and December 31, 2024, respectively, which are 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on the condensed consolidated balance sheets.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License Agreement</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2015, we entered into a facility license agreement with NantWorks for approximately 9,500 rentable square feet of office space in Culver City, California, which was converted to a research and development laboratory and a cGMP manufacturing facility. In 2020, we amended this agreement to extend the term of this license agreement through December 31, 2021. Commencing January 1, 2022, the license fee increased by 3% to approximately $56,120 per month.</w:t>
      </w: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May 6, 2022, we amended our facility license agreement with NantWorks to expand the licensed premises by 36,830 rentable square feet to an aggregate total of 46,330 rentable square feet. Effective May 1, 2022, the license fee is approximately $273,700 per month, which is subject to a</w:t>
      </w: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3% increase commencing on January 1 of each year. The space continues to be rented on a month-to-month basis, which can be terminated by either party with at least 30 days’ prior written notice to the other party. We recorded license fee expense for this facility totaling $0.9 million during the three months ended March 31, 2025 and 2024,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We continue discussions with potential partners around such alternative structures.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Related to clinical trial and transition services provided by the Clinic, we recorded $0.5 million during the three months ended March 31, 2025 and 2024,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As of March 31, 2025 and December 31, 2024, we owed the Clinic $0.2 million and an immaterial amount, respectively, which are included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xml:space="preserve"> on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NantBio, Inc.</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August 2018, we entered into a supply agreement with NCSC, a 100% owned subsidiary of NantBio. Under this agreement, we agreed to supply VivaBioCell’s proprietary GMP-in-a-Box bioreactors and related consumables, made according to specifications mutually agreed to with both companies. The agreement had an initial term of five years and renews automatically for successive one-year terms unless terminated by either party in the event of material default upon prior written notice of such default and the failure of the defaulting party to remedy the default within 30 days of the delivery of such notice, or upon 90 days’ prior written notice by NCSC.</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we recognized no revenue. As of March 31, 2025 and December 31, 2024, we recorded $0.1 million of deferred revenue for bioreactors that were delivered but not installed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on the condensed consolidated balance sheets.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2018, we entered into a shared service agreement pursuant to which we are charged for services at cost, without mark-up or profit by NantBio, but including reasonable allocations of employee benefits related to the employees providing the services. In April 2019, we agreed with NantBio to transfer certain NantBio employees and associated research and development projects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Doug St, LLC</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2016, we entered into a lease agreement with 605 Doug St, LLC, an entity owned by our Founder, Executive Chairman and Global Chief Scientific and Medical Officer, for approximately 24,250 rentable square feet in El Segundo, California, which has been converted to a research and development laboratory and a cGMP manufacturing facility. The lease term was from July 2016 through July 2023. In June 2023, we exercised the option to extend the lease for one additional three-year term through July 2026. The base rent is approximately $72,385 per month, with annual increases of 3% that began in July 2017. We recorded lease expense for this facility of $0.2 million during the three months ended March 31, 2025 and 2024, in </w:t>
      </w:r>
      <w:r>
        <w:rPr>
          <w:rFonts w:ascii="Times New Roman" w:cs="Times New Roman" w:eastAsia="Times New Roman" w:hAnsi="Times New Roman"/>
          <w:sz w:val="18"/>
          <w:szCs w:val="18"/>
          <w:i w:val="1"/>
          <w:iCs w:val="1"/>
          <w:color w:val="auto"/>
        </w:rPr>
        <w:t>research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development expense</w:t>
      </w:r>
      <w:r>
        <w:rPr>
          <w:rFonts w:ascii="Times New Roman" w:cs="Times New Roman" w:eastAsia="Times New Roman" w:hAnsi="Times New Roman"/>
          <w:sz w:val="18"/>
          <w:szCs w:val="18"/>
          <w:color w:val="auto"/>
        </w:rPr>
        <w:t>, on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Duley Road, LLC</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2017, we entered into a lease agreement with Duley Road, a related party that is indirectly controlled by our Founder, Executive Chairman and Global Chief Scientific and Medical Officer, for approximately 11,980 rentable square feet of office and cGMP manufacturing facility space in El Segundo, California. The lease term was originally from February 2017 through October 2024. We had and continue to have the option to extend the initial term for two consecutive five-year periods through October 2034. The base rent is approximately $40,700 per month, with annual increases of 3%. Effective October 3, 2023, we exercised the first option to extend the lease for one additional five-year term through October 31, 2029.</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Effective in January 2019, we entered into two lease agreements with Duley Road for a second building located in El Segundo, California. The first lease is for the first floor of the building with approximately 5,650 rentable square feet. The lease has a seven-year term that commenced in September 2019. The second lease is for the second floor of the building with approximately 6,488 rentable square feet. The lease has a seven-year term that commenced in July 2019. Both floors of the building are used for research and development and office space. We have options to extend the initial terms of both leases for two consecutive five-year periods through 2036. The base rent for the two leases is approximately $35,800 per month, with annual increases of 3%.</w:t>
      </w:r>
    </w:p>
    <w:p>
      <w:pPr>
        <w:spacing w:after="0" w:line="18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and 2024, we recorded rent expense for these leases totaling $0.2 million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expense</w:t>
      </w:r>
      <w:r>
        <w:rPr>
          <w:rFonts w:ascii="Times New Roman" w:cs="Times New Roman" w:eastAsia="Times New Roman" w:hAnsi="Times New Roman"/>
          <w:sz w:val="18"/>
          <w:szCs w:val="18"/>
          <w:color w:val="auto"/>
        </w:rPr>
        <w:t>, on the condensed consolidated statements of operations. As of March 31, 2025 and December 31, 2024, we recorded $0.1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lease-related payables to Duley Road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on the condensed consolidated balance sheets.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Nash, LLC</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February 2021, but effective on January 1, 2021, we entered into a lease agreement with 605 Nash, a related party, whereby we leased approximately 6,883 rentable square feet (the Initial Premises) in a two-story mixed-use building containing approximately 64,643 rentable square feet at 605-607 Nash Street in El Segundo, California. This facility is used primarily for pharmaceutical development and manufacturing purposes. The lease term commenced in January 2021 and was originally set to expire in December 2027 and included an option to extend the lease for one three-year term through December 2030. The base rent is approximately $20,300 per month with an annual increase of 3% on January 1 of each year during the initial term, and, if applicable, during the option term. In addition, under the agreement, we are required to pay our share of estimated property taxes and operating expenses.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2021, but effective on April 1, 2021, we entered into an amendment to our Initial Premises lease with 605 Nash. The amendment expanded the leased square feet by approximately 57,760 rentable square feet (the Expansion Premises). The lease term of the Expansion Premises commenced in April 2021 and expires in March 2028, whereby the company has one option to extend the initial term for three years. Per the terms of the amendment, the term of the Initial Premises lease was extended for an additional three months and now expires on March 31, 2028. Base rent for the Expansion Premises is approximately $170,400 per month with annual increases of 3% on April 1 of each year. We are responsible for the buildout of the facility space and associated costs.</w:t>
      </w:r>
    </w:p>
    <w:p>
      <w:pPr>
        <w:spacing w:after="0" w:line="18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recorded rent expense for the Initial and Expansion Premises leases totaling $0.5 million during the three months ended March 31, 2025 and 2024,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statements of operations. The terms of the initial and amended leases provided for tenant improvement allowances totaling $2.9 million for costs and expenses related to improvements made by us to the Initial and Expansion Premises, which was received from the landlord in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420 Nash, LLC</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2021, we entered into a lease agreement with 420 Nash, LLC, a related party, whereby we leased an approximately 19,125 rentable square foot property located at 420 Nash Street, El Segundo, California, to be used primarily for the warehousing and storage of drug manufacturing supplies, products and equipment, and ancillary office space.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lease agreement, the lease term began on October 1, 2021 and expires on September 30, 2026. The base rent is approximately $38,250 per month with an annual increase of 3% on October 1 of each year beginning in 2022 during the initial term. The company is responsible for the payment of real property taxes, repairs and maintenance, improvements, insurance, and operating expenses during the term of the lease.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options to extend the lease term for two additional consecutive periods of five years each. At the beginning of each option term, the initial monthly base rent will be adjusted to market rent (as defined in the lease agreement) with an annual increase of 3% during the option term. We have included the first option to extend the lease term for five years as part of the initial term of the lease as it is reasonably certain that we will exercise the option, which implies lease expiration in September 2031. We recorded rent expense of $0.1 million for this lease during the three months ended March 31, 2025 and 2024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2022 Warrants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December 12, 2022 RDO, the company issued 9,090,909 warrants with an exercise price of $6.60 per share. These warrants were classified as a liability at their fair value upon issuance. The warrants became immediately exercisable on December 12, 2022 and expired in full on December 12,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11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February 15, 2023 RDO, the company issued 14,072,615 warrants with an exercise price of $4.2636 per share. These warrants were classified as a liability at their fair value upon issuance. The warrants became immediately exercisable on February 17, 2023 and were to expire two years after the initial issuance date. On July 25, 2023, the company amended the terms of the warrant, reducing the exercise price of the warrants from $4.2636 per share to $3.2946 per share and extending the expiration date of the warrants until July 24,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Warrants</w:t>
      </w:r>
    </w:p>
    <w:p>
      <w:pPr>
        <w:spacing w:after="0" w:line="11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July 20, 2023 RDO, the company issued 14,569,296 warrants with an exercise price of $3.2946 per share. These warrants were classified as a liability at their fair value upon issuance. These warrants became immediately exercisable on July 25, 2023 and expire on July 24,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 in carrying amount of warrant liabilities measured at fair value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2023</w:t>
            </w:r>
          </w:p>
        </w:tc>
        <w:tc>
          <w:tcPr>
            <w:tcW w:w="320" w:type="dxa"/>
            <w:vAlign w:val="bottom"/>
          </w:tcPr>
          <w:p>
            <w:pPr>
              <w:spacing w:after="0"/>
              <w:rPr>
                <w:sz w:val="13"/>
                <w:szCs w:val="13"/>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July 2023</w:t>
            </w:r>
          </w:p>
        </w:tc>
        <w:tc>
          <w:tcPr>
            <w:tcW w:w="0" w:type="dxa"/>
            <w:vAlign w:val="bottom"/>
          </w:tcPr>
          <w:p>
            <w:pPr>
              <w:spacing w:after="0"/>
              <w:rPr>
                <w:sz w:val="1"/>
                <w:szCs w:val="1"/>
                <w:color w:val="auto"/>
              </w:rPr>
            </w:pPr>
          </w:p>
        </w:tc>
      </w:tr>
      <w:tr>
        <w:trPr>
          <w:trHeight w:val="195"/>
        </w:trPr>
        <w:tc>
          <w:tcPr>
            <w:tcW w:w="6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20" w:type="dxa"/>
            <w:vAlign w:val="bottom"/>
          </w:tcPr>
          <w:p>
            <w:pPr>
              <w:spacing w:after="0"/>
              <w:rPr>
                <w:sz w:val="16"/>
                <w:szCs w:val="16"/>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39"/>
        </w:trPr>
        <w:tc>
          <w:tcPr>
            <w:tcW w:w="62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December 31, 2024</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March 31, 2025</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warrant exercises pursuant to the February and July 2023 warrant agreements. As of March 31, 2025 and December 31, 2024, a total of 6,399,171 warrants remain outstanding with an exercise price of $3.2946 per share.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Valuation Assumptions</w:t>
      </w:r>
    </w:p>
    <w:p>
      <w:pPr>
        <w:spacing w:after="0" w:line="121"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warrants was computed using the Black-Scholes option pricing model with the following unobservable assumptions at the following dates: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February and July 2023 Warrants</w:t>
            </w:r>
          </w:p>
        </w:tc>
      </w:tr>
      <w:tr>
        <w:trPr>
          <w:trHeight w:val="23"/>
        </w:trPr>
        <w:tc>
          <w:tcPr>
            <w:tcW w:w="786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31"/>
        </w:trPr>
        <w:tc>
          <w:tcPr>
            <w:tcW w:w="7860" w:type="dxa"/>
            <w:vAlign w:val="bottom"/>
          </w:tcPr>
          <w:p>
            <w:pPr>
              <w:spacing w:after="0"/>
              <w:rPr>
                <w:sz w:val="11"/>
                <w:szCs w:val="11"/>
                <w:color w:val="auto"/>
              </w:rPr>
            </w:pPr>
          </w:p>
        </w:tc>
        <w:tc>
          <w:tcPr>
            <w:tcW w:w="1740" w:type="dxa"/>
            <w:vAlign w:val="bottom"/>
            <w:gridSpan w:val="2"/>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60" w:type="dxa"/>
            <w:vAlign w:val="bottom"/>
          </w:tcPr>
          <w:p>
            <w:pPr>
              <w:spacing w:after="0"/>
              <w:rPr>
                <w:sz w:val="16"/>
                <w:szCs w:val="16"/>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8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7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1.3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years</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expected term is the time remaining until the expiration of the warrants. The expected average volatility was estimated based on the historical and implied volatility of our common stock. The expected dividend yield was based on our expectation of not paying dividends for the foreseeable future. The risk-free interest rate was based on the U.S. Treasury’s rates for U.S. Treasury zero-coupon bonds with maturities similar to those of the expected term of the award being valued.</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no shares of our common stock were repurchased under the company’s 2015 Share Repurchase Program. As of March 31, 2025, $18.3 million remained authorized to use for share repurchases under the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As of March 31, 2025, we had $565.6 million available for use under this shelf.</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April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 During December 2024, we sold 38,333,334 shares of our common stock at $3.00 per share under the shelf generating net proceeds of approximately $106.9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April 2021, we entered into the ATM under which we may offer and sell, from time to time at our sole discretion, shares of our common stock through our sales agent. We pay our sales agent a commission of up to 3.0% of the gross sales proceeds of any shares of our common stock sold through them under the ATM and also have provided them with customary indemnification and contribution rights. During the three months ended March 31, 2025 and 2024, there was no activity under the ATM. As of March 31, 2025, we had $296.5 million available for future stock issuances under the ATM.</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not obligated to sell any shares and may at any time suspend solicitation and offers under the ATM. The ATM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approximately 11.4 million shares were available for future grants under the 2015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stock-based compensation included on the condensed consolidated statements of operations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63"/>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3"/>
        </w:trPr>
        <w:tc>
          <w:tcPr>
            <w:tcW w:w="808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in operating expenses: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63"/>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23"/>
        </w:trPr>
        <w:tc>
          <w:tcPr>
            <w:tcW w:w="808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during the three months ended March 31, 2025:</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4"/>
        </w:trPr>
        <w:tc>
          <w:tcPr>
            <w:tcW w:w="5260" w:type="dxa"/>
            <w:vAlign w:val="bottom"/>
          </w:tcPr>
          <w:p>
            <w:pPr>
              <w:spacing w:after="0"/>
              <w:rPr>
                <w:sz w:val="17"/>
                <w:szCs w:val="17"/>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0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15,407,588</w:t>
            </w:r>
          </w:p>
        </w:tc>
        <w:tc>
          <w:tcPr>
            <w:tcW w:w="112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10,256,498</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(110,020)</w:t>
            </w:r>
          </w:p>
        </w:tc>
        <w:tc>
          <w:tcPr>
            <w:tcW w:w="112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(96,393)</w:t>
            </w:r>
          </w:p>
        </w:tc>
        <w:tc>
          <w:tcPr>
            <w:tcW w:w="1120" w:type="dxa"/>
            <w:vAlign w:val="bottom"/>
            <w:tcBorders>
              <w:bottom w:val="single" w:sz="8" w:color="CCEEFF"/>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5.42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25,457,673</w:t>
            </w:r>
          </w:p>
        </w:tc>
        <w:tc>
          <w:tcPr>
            <w:tcW w:w="11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11,101,044</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unrecognized compensation cost related to outstanding stock options was $45.2 million, which is expected to be recognized over a remaining weighted-average period of 2.5 years.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total intrinsic value of stock options exercised was $0.1 million and cash proceeds received from stock option exercises were $0.2 million. During the three months ended March 31, 2024, there were no stock option exercises.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 total of 8,038,537 vested and exercisable shares were outstanding.</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issued was estimated at the date of grant using the Black-Scholes option pricing model with the following weighted-average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9"/>
        </w:trPr>
        <w:tc>
          <w:tcPr>
            <w:tcW w:w="96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years</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120.2 %</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2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expected term was estimated using the average of the contractual term and the weighted-average vesting term of the options. The risk-free interest rate was based on the U.S. Treasury’s rates for U.S. Treasury zero-coupon bonds with maturities similar to those of the expected term of the award being valued. The expected volatility was estimated based on the historical volatility of our common stock. The expected dividend yield was based on our expectation of not paying dividends for the foreseeable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2025:</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8100" w:type="dxa"/>
            <w:vAlign w:val="bottom"/>
          </w:tcPr>
          <w:p>
            <w:pPr>
              <w:spacing w:after="0"/>
              <w:rPr>
                <w:sz w:val="15"/>
                <w:szCs w:val="15"/>
                <w:color w:val="auto"/>
              </w:rPr>
            </w:pP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8100" w:type="dxa"/>
            <w:vAlign w:val="bottom"/>
          </w:tcPr>
          <w:p>
            <w:pPr>
              <w:spacing w:after="0"/>
              <w:rPr>
                <w:sz w:val="17"/>
                <w:szCs w:val="17"/>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34"/>
        </w:trPr>
        <w:tc>
          <w:tcPr>
            <w:tcW w:w="8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5,945,421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4,320,121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(901,713)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56"/>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(132,970)</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9,230,859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there was $36.7 million of unrecognized stock-based compensation expense related to RSUs that is expected to be recognized over a weighted-average period of 2.2 years. During the three months ended March 31, 2025 and 2024, the total fair value of RSUs vested was $3.0 million and $10.2 million, respectively.</w:t>
      </w:r>
    </w:p>
    <w:p>
      <w:pPr>
        <w:spacing w:after="0" w:line="17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RSUs awarded to employees and consultants of affiliated companies are accounted for as stock-based compensation in accordance with FASB ASU 2018-07,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as the compensation was in exchange for continued support or services expected to be provided to the company over the vesting periods under the NantWorks shared services agreement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We have evaluated the associated benefit of these awards to the affiliated companies under common control and determined that the benefit is limited to the retention of their employees. We estimated such benefit at the grant date fair value of $4.0 million. During the three months ended March 31, 2025 and 2024, we recorded an immaterial amount of deemed dividends,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balance sheets, with a corresponding credit to </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Warrants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total of 1,638,000 warrants issued to an affiliate of Dr. Soon-Shiong with an exercise price of $3.24 per share were outstanding as of March 31, 2025 and December 31, 2024. The fair value of $18.0 million assigned to the warrants will be recognized in equity upon achievement of a performance-based vesting condition pertaining to building manufacturing capacity to support supply requirements for ANKTIVA (which has not yet been satisfied). The warrants become exercisable 30 days following the achievement of the performance-based vesting condition (the initial exercise date) and expire on the 10th anniversary of the initial exercise date.</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California, other states and certain foreign jurisdictions. Except for state franchise taxes, the company has not been required to pay significant U.S. federal and state income taxes because of current and accumulated NOLs. The company computes its quarterly income tax provision using a forecasted annual effective tax rate and adjusts for any discrete items arising during the quarter. No tax benefit was provided for losses incurred in the U.S. and certain foreign jurisdictions because those losses are offset by a full valuation allowance.</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recorded a $0.2 million income tax benefit during the three months ended March 31, 2025. We recorded no income tax benefit (expense) during the three months ended March 31, 2024. The effective tax rates for the three months ended March 31, 2025 and 2024 differed from the U.S. federal statutory rate of 21% primarily due to a valuation allowance on the company’s deferred tax assets.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federal returns for tax years 2021 through 2024 remain open to examination, and our state returns remain subject to examination for tax years 2020 through 2024. NOL carryforwards and tax credits are still subject to examination in the year they are used. No income tax returns are currently under examination by taxing authorities.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one operating segment, and therefore have one reportable segment, focused on developing next-generation therapies that bolster the natural immune system while addressing serious unmet needs within urologic and other cancers as well as infectious diseases. Our CEO is the chief operating decision-maker of the company and manages and allocates resources to our operations on a company-wide basis. Consistent with this decision-making process, our CEO uses consolidated, single-segment financial information for purposes of evaluating performance, forecasting future-period financial results, allocating resources, and setting incentive targets. The measure of segment performance is net income (loss) as reflected in the condensed consolidated statement of operations. The CODM uses net income (loss) to allocate resources on a consolidated basis, which enables the CODM to assess both the overall level of resources available and optimize distribution of resources across functions, therapeutic areas, regions and research and development programs in line with our long-term corporate-wide strategic goals. As the company manages its assets on a consolidated basis, the measure of segment assets is total assets, as reflected in the condensed consolidated balance sheet.</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loss for our reportable segment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External research and development expense (including amounts with related parties) </w:t>
            </w:r>
            <w:r>
              <w:rPr>
                <w:rFonts w:ascii="Times New Roman" w:cs="Times New Roman" w:eastAsia="Times New Roman" w:hAnsi="Times New Roman"/>
                <w:sz w:val="16"/>
                <w:szCs w:val="16"/>
                <w:color w:val="auto"/>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3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Internal research and development expense (including amounts with related parties): </w:t>
            </w:r>
            <w:r>
              <w:rPr>
                <w:rFonts w:ascii="Times New Roman" w:cs="Times New Roman" w:eastAsia="Times New Roman" w:hAnsi="Times New Roman"/>
                <w:sz w:val="16"/>
                <w:szCs w:val="16"/>
                <w:color w:val="auto"/>
              </w:rPr>
              <w:t>(2)</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Personnel-related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r>
      <w:tr>
        <w:trPr>
          <w:trHeight w:val="23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29"/>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r>
      <w:tr>
        <w:trPr>
          <w:trHeight w:val="223"/>
        </w:trPr>
        <w:tc>
          <w:tcPr>
            <w:tcW w:w="8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internal research and development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43,218</w:t>
            </w:r>
          </w:p>
        </w:tc>
      </w:tr>
      <w:tr>
        <w:trPr>
          <w:trHeight w:val="223"/>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research and development expense (including amounts with related parties)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53,351</w:t>
            </w:r>
          </w:p>
        </w:tc>
      </w:tr>
      <w:tr>
        <w:trPr>
          <w:trHeight w:val="229"/>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(including amounts with related parties)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41,885</w:t>
            </w:r>
          </w:p>
        </w:tc>
      </w:tr>
      <w:tr>
        <w:trPr>
          <w:trHeight w:val="223"/>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95,236</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(95,196)</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29"/>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57"/>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r>
      <w:tr>
        <w:trPr>
          <w:trHeight w:val="25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57"/>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56"/>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w:t>
            </w:r>
          </w:p>
        </w:tc>
      </w:tr>
      <w:tr>
        <w:trPr>
          <w:trHeight w:val="23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r>
      <w:tr>
        <w:trPr>
          <w:trHeight w:val="257"/>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r>
      <w:tr>
        <w:trPr>
          <w:trHeight w:val="25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(134,109)</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13" w:lineRule="exact"/>
        <w:rPr>
          <w:sz w:val="20"/>
          <w:szCs w:val="20"/>
          <w:color w:val="auto"/>
        </w:rPr>
      </w:pPr>
    </w:p>
    <w:p>
      <w:pPr>
        <w:ind w:left="560" w:hanging="534"/>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external research and development expense supports our various preclinical and clinical programs.</w:t>
      </w:r>
    </w:p>
    <w:p>
      <w:pPr>
        <w:spacing w:after="0" w:line="59" w:lineRule="exact"/>
        <w:rPr>
          <w:rFonts w:ascii="Times New Roman" w:cs="Times New Roman" w:eastAsia="Times New Roman" w:hAnsi="Times New Roman"/>
          <w:sz w:val="16"/>
          <w:szCs w:val="16"/>
          <w:color w:val="auto"/>
        </w:rPr>
      </w:pPr>
    </w:p>
    <w:p>
      <w:pPr>
        <w:ind w:left="560" w:right="800" w:hanging="534"/>
        <w:spacing w:after="0" w:line="280"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research and development expense includes payroll and benefits expenses, facilities and equipment expense, and other indirect research and development expenses incurred in support of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a portion of our revenues from outside of the U.S. Information about our revenue by geographic region is as follows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r>
      <w:tr>
        <w:trPr>
          <w:trHeight w:val="23"/>
        </w:trPr>
        <w:tc>
          <w:tcPr>
            <w:tcW w:w="8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40"/>
        </w:trPr>
        <w:tc>
          <w:tcPr>
            <w:tcW w:w="8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9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8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revenue</w:t>
            </w: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April 7, 2025, we entered into a securities purchase agreement with an institutional investor for the purchase and sale of 29,024,768 shares of our common stock, as well as warrants that allows such investor to purchase an additional 29,024,768 shares of common stock at an exercise price of $3.101 per share, for a purchase price of $2.584 per share and accompanying warrant, generating net proceeds of approximately $74.8 million, after deducting estimated offering costs. The warrants became immediately exercisable on April 9, 2025 and will expire five years after the issuance date on April 9, 2030.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RTF Letter from the FDA for sBLA for BCG-Unresponsive NMIBC Papillary Disease</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an in-person meeting was held with leadership of CBER, CDER and OCE of the FDA, at which we provided the long-term cystectomy avoidance response rate results in papillary disease in patients with BCG-unresponsive NMIBC as well as a disease-specific overall survival rate of 99% at 12 months and 96% at 36 months. At this meeting, the leaders were asked, in light of these results, whether we should proceed with an sBLA based on our single-arm QUILT 3.032 clinical trial despite the FDA’s prior guidance that a randomized trial would be required. The FDA leaders present unanimously confirmed that ImmunityBio should expeditiously submit an sBLA for use of ANKTIVA plus BCG in BCG-unresponsive NMIBC for the indication of papillary disease. In March 2025, we submitted this sBLA based on data from the QUILT 3.032 clinical trial, consistent with the Agency’s recent guidance from the January 2025 meeting. On May 2, 2025, we received an RTF letter from the FDA for the sBLA stating that a randomized trial is required. This position is inconsistent with the guidance received at the January 2025 meeting. We are working to reconcile the inconsistency with the FDA as expeditiously as possible.</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description of our business and the condensed consolidated financial statements and related notes thereto Item 1. “Financial Statements” in this Quarterly Report. This Quarterly Report contains forward-looking statements within the meaning of Section 27A of the Securities Act and Section 21E of the Exchange Act that are based on our management’s beliefs and assumptions and on information currently available to our management. Actual results could differ materially from those discussed in or implied by such forward-looking statements. Factors that could cause or contribute to these differences include those discussed below and elsewhere in this Quarterly Report, particularly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Except as required by law, we do not undertake any responsibility to update any of these factors or to announce publicly any revisions to any of the forward-looking statements contained in this or any document, whether as a result of new information, future events, or otherwise. Forward-looking statements include, but are not limited to:</w:t>
      </w:r>
    </w:p>
    <w:p>
      <w:pPr>
        <w:spacing w:after="0" w:line="13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ANKTIVA or any future approved products;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incremental approvals for ANKTIVA for new indications, including, without limitation, in BCG-unresponsive NMIBC papillary, from the FDA or clearances or approvals from international regulatory agencies for the treatment of patients with NMIBC or other indications;</w:t>
      </w:r>
    </w:p>
    <w:p>
      <w:pPr>
        <w:spacing w:after="0" w:line="12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future uses and applications of ANKTIVA, including as a lymphopenia rescue agent, and use in cancer vaccines and across multiple tumor types;</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develop next-generation therapies and vaccines that complement, harness, and amplify the immune system to defeat cancers and infectious diseases;</w:t>
      </w:r>
    </w:p>
    <w:p>
      <w:pPr>
        <w:spacing w:after="0" w:line="53" w:lineRule="exact"/>
        <w:rPr>
          <w:rFonts w:ascii="Times New Roman" w:cs="Times New Roman" w:eastAsia="Times New Roman" w:hAnsi="Times New Roman"/>
          <w:sz w:val="18"/>
          <w:szCs w:val="18"/>
          <w:b w:val="1"/>
          <w:bCs w:val="1"/>
          <w:color w:val="auto"/>
        </w:rPr>
      </w:pPr>
    </w:p>
    <w:p>
      <w:pPr>
        <w:ind w:left="980" w:right="6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additional financing to fund our operations and complete the commercialization of our approved product and the development and commercialization of our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meet our payment obligations under the RIPA and to service the interest on our related-party promissory note and repay such note, to the extent required;</w:t>
      </w:r>
    </w:p>
    <w:p>
      <w:pPr>
        <w:spacing w:after="0" w:line="53" w:lineRule="exact"/>
        <w:rPr>
          <w:rFonts w:ascii="Times New Roman" w:cs="Times New Roman" w:eastAsia="Times New Roman" w:hAnsi="Times New Roman"/>
          <w:sz w:val="18"/>
          <w:szCs w:val="18"/>
          <w:b w:val="1"/>
          <w:bCs w:val="1"/>
          <w:color w:val="auto"/>
        </w:rPr>
      </w:pPr>
    </w:p>
    <w:p>
      <w:pPr>
        <w:ind w:left="980" w:right="72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comply with the terms, conditions, covenants, restrictions, and obligations set forth in the RIPA and related transaction documents;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potential benefits of our strategy and technology;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forecast operating results and make period-to-period comparisons predictive of future performance due to fluctuations in warrant and derivative values;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operation and effectiveness of our product candidates and related benefits;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utilize multiple modes to induce cell death;</w:t>
      </w:r>
    </w:p>
    <w:p>
      <w:pPr>
        <w:spacing w:after="0" w:line="11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benefits and perceived limitations of competing approaches, and the future of competing technologies and our industry;</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regarding our strategic vision and planned product candidate pipeline;</w:t>
      </w:r>
    </w:p>
    <w:p>
      <w:pPr>
        <w:spacing w:after="0" w:line="117"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success, cost and timing of our product candidate development activities and current and future clinical trials and studies, including study design and the enrollment of patients;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the development and commercialization of our other product candidates;</w:t>
      </w:r>
    </w:p>
    <w:p>
      <w:pPr>
        <w:spacing w:after="0" w:line="113" w:lineRule="exact"/>
        <w:rPr>
          <w:rFonts w:ascii="Times New Roman" w:cs="Times New Roman" w:eastAsia="Times New Roman" w:hAnsi="Times New Roman"/>
          <w:sz w:val="18"/>
          <w:szCs w:val="18"/>
          <w:b w:val="1"/>
          <w:bCs w:val="1"/>
          <w:color w:val="auto"/>
        </w:rPr>
      </w:pPr>
    </w:p>
    <w:p>
      <w:pPr>
        <w:ind w:left="980" w:right="200" w:hanging="324"/>
        <w:spacing w:after="0" w:line="262" w:lineRule="exact"/>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our ability to utilize the Phase 1/2 aNK and 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clinical trials data to support the development of our product candidates, including our taNK,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MSC, and M-ceNK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candidates;</w:t>
      </w:r>
    </w:p>
    <w:p>
      <w:pPr>
        <w:spacing w:after="0" w:line="20" w:lineRule="exact"/>
        <w:rPr>
          <w:rFonts w:ascii="Times New Roman" w:cs="Times New Roman" w:eastAsia="Times New Roman" w:hAnsi="Times New Roman"/>
          <w:sz w:val="18"/>
          <w:szCs w:val="18"/>
          <w:b w:val="1"/>
          <w:bCs w:val="1"/>
          <w:color w:val="auto"/>
        </w:rPr>
      </w:pPr>
    </w:p>
    <w:p>
      <w:pPr>
        <w:ind w:left="980" w:right="800" w:hanging="324"/>
        <w:spacing w:after="0" w:line="239" w:lineRule="exact"/>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development, application, commercialization, marketing, prospects and use generally of our product candidates, including hAd5 constructs, and PD-L1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 and M-ceNK;</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hanging="324"/>
        <w:spacing w:after="0" w:line="261"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or likelihood of regulatory filings or other actions and related regulatory authority responses in the U.S. and jurisdictions outside of the U.S., including any planned meetings, IND, BLA, NDA or MAA or similar filings or pursuit of accelerated regulatory approval pathways or orphan drug status and Breakthrough Therapy, Fast Track or RMAT designations and any designation’s eventual impact on BLA submission, filing or approval timing and or approval probability;</w:t>
      </w:r>
    </w:p>
    <w:p>
      <w:pPr>
        <w:spacing w:after="0" w:line="71"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timely address the May 2025 RTF letter received from the FDA for the sBLA for the BCG-unresponsive NMIBC papillary indication;</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implement an integrated discovery ecosystem and the operation of that planned ecosystem, including being able to regularly add neoepitopes and subsequently formulate new product candidates;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strategic collaborators to share our vision and effectively work with us to achieve our goals;</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various third parties to engage in research and development activities involving our product candidates, and our ability to leverage those activities;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additional third-party collaborators;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ease of administration associated with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patient compatibility associated with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markets for our product candidates and our ability to serve those markets;</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timing of enrollment and submission of our clinical trials, and protocols and timing of data read-outs related to such trials;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produce a cytokine fusion protein, a DNA or recombinant protein vaccine, or a cell therapy;</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manufacturing and distribution benefits associated with our product candidates, and our third-party CMOs’ abilities to follow cGMP standards to scale up the production of our product candidates;</w:t>
      </w:r>
    </w:p>
    <w:p>
      <w:pPr>
        <w:spacing w:after="0" w:line="12" w:lineRule="exact"/>
        <w:rPr>
          <w:rFonts w:ascii="Times New Roman" w:cs="Times New Roman" w:eastAsia="Times New Roman" w:hAnsi="Times New Roman"/>
          <w:sz w:val="18"/>
          <w:szCs w:val="18"/>
          <w:b w:val="1"/>
          <w:bCs w:val="1"/>
          <w:color w:val="auto"/>
        </w:rPr>
      </w:pPr>
    </w:p>
    <w:p>
      <w:pPr>
        <w:ind w:left="980" w:hanging="324"/>
        <w:spacing w:after="0" w:line="207" w:lineRule="exact"/>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plans regarding our manufacturing facilities and our belief that our manufacturing is capable of being conducted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w:t>
      </w:r>
    </w:p>
    <w:p>
      <w:pPr>
        <w:spacing w:after="0" w:line="15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in the potential of our cytokine fusion proteins, DNA or recombinant protein vaccines, or cell therapies, and the fact that our business is based upon the success individually and collectively of these platforms;</w:t>
      </w:r>
    </w:p>
    <w:p>
      <w:pPr>
        <w:spacing w:after="0" w:line="53"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regarding the magnitude or duration for additional clinical testing of our cytokine fusion proteins, DNA or recombinant protein vaccines, or cell therapies, along with other product candidate families;</w:t>
      </w:r>
    </w:p>
    <w:p>
      <w:pPr>
        <w:spacing w:after="0" w:line="53"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if we successfully develop and commercialize specific product candidates, our ability to develop and commercialize our other product candidates either alone or in combination with other therapeutic agents;</w:t>
      </w:r>
    </w:p>
    <w:p>
      <w:pPr>
        <w:spacing w:after="0" w:line="53"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obtain and maintain regulatory approval of our approved product and to obtain and maintain regulatory approval of any of our other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53"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maintain, protect, and enforce patent protection and other proprietary rights for our approved product and our other product candidates and technologies;</w:t>
      </w:r>
    </w:p>
    <w:p>
      <w:pPr>
        <w:spacing w:after="0" w:line="53"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licenses granted to us and our ability to license additional intellectual property relating to our product, product candidates and technology;</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results of market access initiatives and coverage under medical reimbursement policies;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shelf life of ANKTIVA drug substance and drug product and availability of product supply;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global expansion efforts;</w:t>
      </w:r>
    </w:p>
    <w:p>
      <w:pPr>
        <w:spacing w:after="0" w:line="117"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 shutdown or budget disruption, which could adversely affect the U.S. and global economies, and materially and adversely affect our business and/or our future BLA submissions;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on us, if any, if the CVRs held by former Altor stockholders become due and payable in accordance with their terms;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developments in the U.S. and foreign countries.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of this Quarterly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Quarterly Report.</w:t>
      </w:r>
    </w:p>
    <w:p>
      <w:pPr>
        <w:spacing w:after="0" w:line="12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completely and with the understanding that our actual future results may be materially different from what we expect.</w:t>
      </w:r>
    </w:p>
    <w:p>
      <w:pPr>
        <w:spacing w:after="0" w:line="173"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ImmunityBio, ImmunityBio Care, ANKTIVA, ThAnktiva, haNK, taNK, ceNK, NK-92, Nant Cancer Vaccine, NANT 001, NANT XL, NANT 001 and Design, QUILT, Outsmart Your Disease, Smart Therapies for Difficult Diseases, NantKwest, VivaBioCell, and Infacell are trademarks or registered trademarks of ImmunityBio, Inc., its subsidiaries and affiliates.</w:t>
      </w:r>
    </w:p>
    <w:p>
      <w:pPr>
        <w:spacing w:after="0" w:line="17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ANKTIVA has been approved by the U.S. FDA for use with BCG for the treatment of adult patients with BCG-unresponsive NMIBC with CIS with or without papillary tumors. Other than as set forth in such specific approved label, our product candidates, including N-803, are investigational agents that are restricted by federal law to investigational use only, and safety and efficacy have not been established by any agency, including the FDA.</w:t>
      </w:r>
    </w:p>
    <w:p>
      <w:pPr>
        <w:spacing w:after="0" w:line="119"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This Quarterly Report contains references to our products and trademarks and products and trademarks belonging to other entities. Solely for convenience, trademarks and trade names referred to in this Quarterly Report, including logos, artwork, and other visual displays, may appear without the</w:t>
      </w:r>
    </w:p>
    <w:p>
      <w:pPr>
        <w:spacing w:after="0" w:line="1" w:lineRule="exact"/>
        <w:rPr>
          <w:sz w:val="20"/>
          <w:szCs w:val="20"/>
          <w:color w:val="auto"/>
        </w:rPr>
      </w:pPr>
    </w:p>
    <w:p>
      <w:pPr>
        <w:jc w:val="both"/>
        <w:ind w:firstLine="8"/>
        <w:spacing w:after="0" w:line="232" w:lineRule="auto"/>
        <w:tabs>
          <w:tab w:leader="none" w:pos="134" w:val="left"/>
        </w:tabs>
        <w:numPr>
          <w:ilvl w:val="0"/>
          <w:numId w:val="13"/>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 xml:space="preserve">or </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products or trade names or trademarks to imply a relationship with, or endorsement or sponsorship of us, by any other companies.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Quarterly Report, the terms “ImmunityBio,” “the company,” “we,” “us,” and “our” refer to ImmunityBio,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 immune response with the goal of creating durable and safe protection against disease. Designated an FDA Breakthrough Therapy, ANKTIVA is the first FDA-approved immunotherapy for non-muscle invasive bladder cancer CIS that activates natural killer cells, T cells, and memory T cells for a long duration response. The company is applying our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Approved Product – ANKTIVA</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ANKTIVA is a first-in-class IL-15 receptor superagonist IgG1 fusion complex, consisting of an IL-15 mutant (IL-15N72D) fused with an IL-15 receptor alpha, which binds with high affinity to IL-15 receptors on NK, CD4+, and CD8+ T cells. This fusion complex of ANKTIVA mimics the natural biological properties of the membrane-bound IL-15 receptor alpha, delivering IL-15 by dendritic cells and drives the activation and proliferation of NK cells with the generation of memory killer T cells that have retained immune memory against these tumor clones. The proliferation of the trifecta of these immune killing cells and the activation of trained immune memory results in immunogenic cell death, inducing a state of equilibrium with durable complete responses. ANKTIVA has improved pharmacokinetic properties, longer persistence in lymphoid tissues, and enhanced anti-tumor activity compared to native, non-complexed IL-15 in-vivo.</w:t>
      </w:r>
    </w:p>
    <w:p>
      <w:pPr>
        <w:spacing w:after="0" w:line="189" w:lineRule="exact"/>
        <w:rPr>
          <w:sz w:val="20"/>
          <w:szCs w:val="20"/>
          <w:color w:val="auto"/>
        </w:rPr>
      </w:pPr>
    </w:p>
    <w:p>
      <w:pPr>
        <w:jc w:val="both"/>
        <w:ind w:right="140" w:firstLine="648"/>
        <w:spacing w:after="0" w:line="312" w:lineRule="auto"/>
        <w:rPr>
          <w:sz w:val="20"/>
          <w:szCs w:val="20"/>
          <w:color w:val="auto"/>
        </w:rPr>
      </w:pPr>
      <w:r>
        <w:rPr>
          <w:rFonts w:ascii="Times New Roman" w:cs="Times New Roman" w:eastAsia="Times New Roman" w:hAnsi="Times New Roman"/>
          <w:sz w:val="17"/>
          <w:szCs w:val="17"/>
          <w:color w:val="auto"/>
        </w:rPr>
        <w:t>ANKTIVA was approved by the FDA in 2024 for use in the United States with BCG for the treatment of adult patients with BCG-unresponsive non-muscle invasive bladder cancer with CIS with or without papillary tumors. We began commercial distribution of our approved product in May 2024.</w:t>
      </w:r>
    </w:p>
    <w:p>
      <w:pPr>
        <w:spacing w:after="0" w:line="14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potential for ANKTIVA to become a therapeutic foundation across all phases of treatment, including in adjunctive therapy, to amplify, reactivate or extend the efficacy of standard of care. ANKTIVA is being clinically evaluated in multiple oncology indications. We believe that other oncology indications with registration potential for ANKTIVA include other types of NMIBC (BCG-unresponsive papillary, for which we submitted an sBLA in March 2025 and received an RTF letter from the FDA in May 2025, BCG-naïve CIS and BCG-naïve papillary), lung, colorectal, prostate and ovarian cancers, and GBM and NHL.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Data from multiple clinical trials suggest ANKTIVA has potential to enhance the activity of therapeutic mAbs, including CPIs</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(e.g., pembrolizumab/Keytruda), across a wide range of tumor types, including lung cancer. Further, ANKTIVA has been observed to increase lymphocyte count in healthy adults, making it a potential therapy to rescue lymphopenia. We are also exploring or pursuing several other studies of ANKTIVA in combination with our other product candidates, including in prostate cancer (ANKTIVA in combination with hAd5 PSA), colon cancer (ANKTIVA in combination with hAd5 TriAd), and NHL (ANKTIVA in combination with rituximab). We are also exploring ANKTIVA in infectious diseases, including HIV and long COVID.</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Platforms and Indications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proprietary platforms for the development of biologic products and product candidates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Next-Generation Platforms</w:t>
      </w:r>
    </w:p>
    <w:p>
      <w:pPr>
        <w:spacing w:after="0" w:line="65" w:lineRule="exact"/>
        <w:rPr>
          <w:sz w:val="20"/>
          <w:szCs w:val="20"/>
          <w:color w:val="auto"/>
        </w:rPr>
      </w:pPr>
    </w:p>
    <w:p>
      <w:pPr>
        <w:ind w:left="1480" w:hanging="644"/>
        <w:spacing w:after="0"/>
        <w:tabs>
          <w:tab w:leader="none" w:pos="14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Cytokine Fusion Proteins</w:t>
      </w:r>
    </w:p>
    <w:p>
      <w:pPr>
        <w:spacing w:after="0" w:line="65" w:lineRule="exact"/>
        <w:rPr>
          <w:rFonts w:ascii="Times New Roman" w:cs="Times New Roman" w:eastAsia="Times New Roman" w:hAnsi="Times New Roman"/>
          <w:sz w:val="18"/>
          <w:szCs w:val="18"/>
          <w:i w:val="1"/>
          <w:iCs w:val="1"/>
          <w:color w:val="auto"/>
        </w:rPr>
      </w:pPr>
    </w:p>
    <w:p>
      <w:pPr>
        <w:ind w:left="2120" w:hanging="636"/>
        <w:spacing w:after="0"/>
        <w:tabs>
          <w:tab w:leader="none" w:pos="2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ANKTIVA</w:t>
      </w:r>
    </w:p>
    <w:p>
      <w:pPr>
        <w:spacing w:after="0" w:line="88" w:lineRule="exact"/>
        <w:rPr>
          <w:rFonts w:ascii="Times New Roman" w:cs="Times New Roman" w:eastAsia="Times New Roman" w:hAnsi="Times New Roman"/>
          <w:sz w:val="18"/>
          <w:szCs w:val="18"/>
          <w:color w:val="auto"/>
        </w:rPr>
      </w:pPr>
    </w:p>
    <w:p>
      <w:pPr>
        <w:ind w:left="1480" w:hanging="644"/>
        <w:spacing w:after="0"/>
        <w:tabs>
          <w:tab w:leader="none" w:pos="14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DNA and Vaccine Vectors</w:t>
      </w:r>
    </w:p>
    <w:p>
      <w:pPr>
        <w:spacing w:after="0" w:line="38" w:lineRule="exact"/>
        <w:rPr>
          <w:rFonts w:ascii="Times New Roman" w:cs="Times New Roman" w:eastAsia="Times New Roman" w:hAnsi="Times New Roman"/>
          <w:sz w:val="18"/>
          <w:szCs w:val="18"/>
          <w:i w:val="1"/>
          <w:iCs w:val="1"/>
          <w:color w:val="auto"/>
        </w:rPr>
      </w:pPr>
    </w:p>
    <w:p>
      <w:pPr>
        <w:ind w:left="2120" w:hanging="636"/>
        <w:spacing w:after="0"/>
        <w:tabs>
          <w:tab w:leader="none" w:pos="2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hAd5 (PSA, Brachyury, CEA, MUC1, HPV [E6/E7], neoantigens, nucleocapsid)</w:t>
      </w:r>
    </w:p>
    <w:p>
      <w:pPr>
        <w:spacing w:after="0" w:line="47" w:lineRule="exact"/>
        <w:rPr>
          <w:rFonts w:ascii="Times New Roman" w:cs="Times New Roman" w:eastAsia="Times New Roman" w:hAnsi="Times New Roman"/>
          <w:sz w:val="18"/>
          <w:szCs w:val="18"/>
          <w:color w:val="auto"/>
        </w:rPr>
      </w:pPr>
    </w:p>
    <w:p>
      <w:pPr>
        <w:ind w:left="1480" w:hanging="644"/>
        <w:spacing w:after="0"/>
        <w:tabs>
          <w:tab w:leader="none" w:pos="14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Cell Therapies</w:t>
      </w:r>
    </w:p>
    <w:p>
      <w:pPr>
        <w:spacing w:after="0" w:line="38" w:lineRule="exact"/>
        <w:rPr>
          <w:rFonts w:ascii="Times New Roman" w:cs="Times New Roman" w:eastAsia="Times New Roman" w:hAnsi="Times New Roman"/>
          <w:sz w:val="18"/>
          <w:szCs w:val="18"/>
          <w:i w:val="1"/>
          <w:iCs w:val="1"/>
          <w:color w:val="auto"/>
        </w:rPr>
      </w:pPr>
    </w:p>
    <w:p>
      <w:pPr>
        <w:ind w:left="2120" w:hanging="636"/>
        <w:spacing w:after="0"/>
        <w:tabs>
          <w:tab w:leader="none" w:pos="2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CD19 t-haNK</w:t>
      </w:r>
    </w:p>
    <w:p>
      <w:pPr>
        <w:spacing w:after="0" w:line="63" w:lineRule="exact"/>
        <w:rPr>
          <w:rFonts w:ascii="Times New Roman" w:cs="Times New Roman" w:eastAsia="Times New Roman" w:hAnsi="Times New Roman"/>
          <w:sz w:val="18"/>
          <w:szCs w:val="18"/>
          <w:color w:val="auto"/>
        </w:rPr>
      </w:pPr>
    </w:p>
    <w:p>
      <w:pPr>
        <w:ind w:left="2120" w:hanging="636"/>
        <w:spacing w:after="0"/>
        <w:tabs>
          <w:tab w:leader="none" w:pos="2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PD-L1 t-haNK</w:t>
      </w:r>
    </w:p>
    <w:p>
      <w:pPr>
        <w:spacing w:after="0" w:line="63" w:lineRule="exact"/>
        <w:rPr>
          <w:rFonts w:ascii="Times New Roman" w:cs="Times New Roman" w:eastAsia="Times New Roman" w:hAnsi="Times New Roman"/>
          <w:sz w:val="18"/>
          <w:szCs w:val="18"/>
          <w:color w:val="auto"/>
        </w:rPr>
      </w:pPr>
    </w:p>
    <w:p>
      <w:pPr>
        <w:ind w:left="2120" w:hanging="636"/>
        <w:spacing w:after="0"/>
        <w:tabs>
          <w:tab w:leader="none" w:pos="2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M-ceNK (autologous, allogeneic)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Indications (Current Prioritized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BCG-Unresponsive NMIBC with CIS (approved)</w:t>
      </w:r>
    </w:p>
    <w:p>
      <w:pPr>
        <w:spacing w:after="0" w:line="63" w:lineRule="exact"/>
        <w:rPr>
          <w:rFonts w:ascii="Times New Roman" w:cs="Times New Roman" w:eastAsia="Times New Roman" w:hAnsi="Times New Roman"/>
          <w:sz w:val="18"/>
          <w:szCs w:val="18"/>
          <w:i w:val="1"/>
          <w:iCs w:val="1"/>
          <w:color w:val="auto"/>
        </w:rPr>
      </w:pPr>
    </w:p>
    <w:p>
      <w:pPr>
        <w:ind w:left="1620" w:right="1499" w:hanging="784"/>
        <w:spacing w:after="0" w:line="281" w:lineRule="auto"/>
        <w:tabs>
          <w:tab w:leader="none" w:pos="148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BCG-Unresponsive NMIBC Papillary (sBLA submitted in March 2025 with an RTF letter received in May 2025)</w:t>
      </w:r>
    </w:p>
    <w:p>
      <w:pPr>
        <w:spacing w:after="0" w:line="1"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BCG-Naïve NMIBC with CIS</w:t>
      </w:r>
    </w:p>
    <w:p>
      <w:pPr>
        <w:spacing w:after="0" w:line="63"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rBCG in NMIBC</w:t>
      </w:r>
    </w:p>
    <w:p>
      <w:pPr>
        <w:spacing w:after="0" w:line="54"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Non-Small Cell Lung Cancer</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Pancreatic Cancer</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Chemotherapy Radiation Lymphopenia</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Lynch Syndrome</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Hematological Malignancies (Liquid Tumors)</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Colon Cancer</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Glioblastoma Multiforme</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Non-Hodgkin Lymphoma</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Ovarian Cancer</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Prostate Cancer</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HIV</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Universal Nucleocapsid Vaccine</w:t>
      </w:r>
    </w:p>
    <w:p>
      <w:pPr>
        <w:spacing w:after="0" w:line="22" w:lineRule="exact"/>
        <w:rPr>
          <w:rFonts w:ascii="Times New Roman" w:cs="Times New Roman" w:eastAsia="Times New Roman" w:hAnsi="Times New Roman"/>
          <w:sz w:val="18"/>
          <w:szCs w:val="18"/>
          <w:i w:val="1"/>
          <w:iCs w:val="1"/>
          <w:color w:val="auto"/>
        </w:rPr>
      </w:pPr>
    </w:p>
    <w:p>
      <w:pPr>
        <w:ind w:left="1480" w:hanging="644"/>
        <w:spacing w:after="0"/>
        <w:tabs>
          <w:tab w:leader="none" w:pos="14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Long COVID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-2531110</wp:posOffset>
            </wp:positionV>
            <wp:extent cx="71323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-1442085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proprietary platforms for the development of biologic products and product candidates include: (i) cytokine fusion proteins, (ii) vaccine vectors, and (iii) cell therapies. As of March 2025, our platforms have generated nine first-in-human therapeutic agents (including one agent approved by the FDA) that are currently or planned to be studied in clinical trials in liquid and solid tumors. The indications in the table above are among the most frequent and lethal cancer types and where there are high failure rates for existing standards of care or no available effective treatment. We are constantly monitoring and prioritizing clinical development based upon the availability of our resources and the efficacy and market developments of our competitors’ products and product candidates, among other factors.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platforms and their associated approved product and product candidates are designed to attack cancer and infectious pathogens by activating both the innate immune system, including NK cells, dendritic cells, and macrophages, as well as the adaptive immune system comprising B and T cells, 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CPIs, by turning immunologically cold, MHC-deficient tumors into hot tumors, and/or reducing the need for standard high-dose chemotherapy in cancer by employing a coordinated approach to establish “immunological memory” that confers long-term benefit for the patient.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Platforms – The Development of a Universal Therapeutic Cancer Vaccine</w:t>
      </w:r>
    </w:p>
    <w:p>
      <w:pPr>
        <w:spacing w:after="0" w:line="121"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Based on the vision of activating the patient’s immune system, the company continues its efforts to demonstrate that a universal cancer vaccine that leverages the power of its platforms – backbone ANKTIVA, off-the-shelf and autologous NK-cell-based therapies, adenovirus-vectored delivered vaccines, and other technologies – provide benefit and hope not only for patients with cancer but also for those with a high risk of developing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111760</wp:posOffset>
            </wp:positionV>
            <wp:extent cx="5966460" cy="2631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selected significant developments affecting our business that occurred since the filing of our Annual Report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with the SEC on March 3, 2025:</w:t>
      </w:r>
    </w:p>
    <w:p>
      <w:pPr>
        <w:spacing w:after="0" w:line="153" w:lineRule="exact"/>
        <w:rPr>
          <w:sz w:val="20"/>
          <w:szCs w:val="20"/>
          <w:color w:val="auto"/>
        </w:rPr>
      </w:pPr>
    </w:p>
    <w:p>
      <w:pPr>
        <w:ind w:left="980" w:right="200" w:hanging="324"/>
        <w:spacing w:after="0" w:line="266"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March 31, 2025—marking the first quarter with a permanent J-code that streamlined billing and reimbursement for prescribing providers—ImmunityBio achieved net product revenue of approximately $16.5 million, representing a 129% increase over $7.2 million in Q4 2024.</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ANKTIVA unit sales volume in Q1 2025 grew 150% over Q4 2024, with monthly volume in March up 69% over February.</w:t>
      </w:r>
    </w:p>
    <w:p>
      <w:pPr>
        <w:spacing w:after="0" w:line="171" w:lineRule="exact"/>
        <w:rPr>
          <w:rFonts w:ascii="Times New Roman" w:cs="Times New Roman" w:eastAsia="Times New Roman" w:hAnsi="Times New Roman"/>
          <w:sz w:val="18"/>
          <w:szCs w:val="18"/>
          <w:b w:val="1"/>
          <w:bCs w:val="1"/>
          <w:color w:val="auto"/>
        </w:rPr>
      </w:pPr>
    </w:p>
    <w:p>
      <w:pPr>
        <w:ind w:left="980" w:right="320" w:hanging="324"/>
        <w:spacing w:after="0" w:line="282"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Nearly 200 urology practices across the United States are in the process of registering for ImmunityBio’s rBCG EAP, reflecting continued progress in ImmunityBio’s efforts to address the BCG shortage and broaden the market for ANKTIVA.</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a $75 million equity financing in April 2025 to support ongoing operations.</w:t>
      </w:r>
    </w:p>
    <w:p>
      <w:pPr>
        <w:spacing w:after="0" w:line="171" w:lineRule="exact"/>
        <w:rPr>
          <w:rFonts w:ascii="Times New Roman" w:cs="Times New Roman" w:eastAsia="Times New Roman" w:hAnsi="Times New Roman"/>
          <w:sz w:val="18"/>
          <w:szCs w:val="18"/>
          <w:b w:val="1"/>
          <w:bCs w:val="1"/>
          <w:color w:val="auto"/>
        </w:rPr>
      </w:pPr>
    </w:p>
    <w:p>
      <w:pPr>
        <w:ind w:left="980" w:right="40" w:hanging="324"/>
        <w:spacing w:after="0" w:line="254"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an in-person meeting was held with leadership of CBER, CDER and OCE of the FDA, at which we provided the long-term cystectomy avoidance response rate results in papillary disease in patients with BCG-unresponsive NMIBC as well as a disease-specific overall survival rate of 99% at 12 months and 96% at 36 months. At this meeting, the leaders were asked, in light of these results, whether we should proceed with an sBLA based on our single-arm QUILT 3.032 clinical trial despite the FDA’s prior guidance that a randomized trial would be required. The FDA leaders present unanimously confirmed that ImmunityBio should expeditiously submit an sBLA for use of ANKTIVA plus BCG in BCG-unresponsive NMIBC for the indication of papillary disease. In March 2025, we submitted this sBLA based on data from the QUILT 3.032 clinical trial, consistent with the Agency’s recent guidance from the January 2025 meeting. On May 2, 2025, we received an RTF letter from the FDA for the sBLA stating that a randomized trial is required. This position is inconsistent with the guidance received at the January 2025 meeting. We are working to reconcile the inconsistency with the FDA as expeditiously as possible.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w:t>
      </w:r>
    </w:p>
    <w:p>
      <w:pPr>
        <w:spacing w:after="0" w:line="18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as we seek to expand our business, including commercializing our approved product, seeking regulatory approvals, conducting research and development across multiple therapeutic areas, participating in clinical trial activities, continuing to acquire or in-license technologies, maintaining, protecting and expanding our intellectual property, and increasing our manufacturing capabilities. Furthermore, the timing and magnitude of our approved product sales and revenue remain uncertain and may take a significant amount of time to materialize, if ever.</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and, as of March 31, 2025, we had an accumulated deficit of $3.5 billion. During the three months ended March 31, 2025 and 2024, net losses attributable to ImmunityBio common stockholders were $129.6 million and $134.1 million, respectively. Substantially all of our net losses resulted principally from costs incurred in connection with our ongoing clinical trials and operations, our research and development programs, and from selling, general and administrative costs associated with our operations, including stock-based compensation expense.</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2025, we had 671 employees. Personnel of related companies who provide corporate, general and administrative, certain research and development, and other support services under our shared services agreement with NantWorks are not included in this number.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“Related-Party Agreements” </w:t>
      </w:r>
      <w:r>
        <w:rPr>
          <w:rFonts w:ascii="Times New Roman" w:cs="Times New Roman" w:eastAsia="Times New Roman" w:hAnsi="Times New Roman"/>
          <w:sz w:val="18"/>
          <w:szCs w:val="18"/>
          <w:color w:val="auto"/>
        </w:rPr>
        <w:t>of the “Notes to Unaudited Condensed Consolidated Financial Statements” that appears in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 In anticipation of the ongoing commercialization of our approved product, we expect to continue to incur significant expenses and increasing operating expenses for the foreseeable future, which may fluctuate significantly from quarter-to-quarter and year-to-year. See “</w:t>
      </w:r>
      <w:r>
        <w:rPr>
          <w:rFonts w:ascii="Times New Roman" w:cs="Times New Roman" w:eastAsia="Times New Roman" w:hAnsi="Times New Roman"/>
          <w:sz w:val="18"/>
          <w:szCs w:val="18"/>
          <w:i w:val="1"/>
          <w:iCs w:val="1"/>
          <w:u w:val="single" w:color="auto"/>
          <w:color w:val="0000FF"/>
        </w:rPr>
        <w:t>—Future Funding Requirements</w:t>
      </w:r>
      <w:r>
        <w:rPr>
          <w:rFonts w:ascii="Times New Roman" w:cs="Times New Roman" w:eastAsia="Times New Roman" w:hAnsi="Times New Roman"/>
          <w:sz w:val="18"/>
          <w:szCs w:val="18"/>
          <w:color w:val="auto"/>
        </w:rPr>
        <w:t>” below for a discussion of our anticipated expenditures and sources of capital we expect to access to fund these expenditures.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gain access to new markets for our approved product and acquire new technologies or further expand the potential of our technologies, approved product and product candidates across relevant platforms. We believe we are well positioned to become a leader in immunotherapy due to our broad and vertically-integrated platforms and through complementary strategic partnerships.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innovative approach to orchestrate and combine therapies for optimal immune system response will become a therapeutic foundation across multiple indications. Additionally, we believe that data from multiple clinical trials indicates ANKTIVA has broad potential to enhance the activity of therapeutic mAbs, including CPIs, across a wide range of tumor types and potentially rescue lymphopenia by proliferation and activation of NK and T cells. We may also enter into supply arrangements for various investigational agents to be used in our clinical trials. See Part I,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of our Annual Report filed with the SEC on March 3, 2025 for a more detailed discussion regarding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and license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Related Parties</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Debt</w:t>
      </w:r>
    </w:p>
    <w:p>
      <w:pPr>
        <w:spacing w:after="0" w:line="119"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related-party debt.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Founder,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regarding our agreements with NantWorks.</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entered into multiple agreements with the Clinic to conduct clinical trials related to certain of our product candidates. The Clinic is a related party as it is owned by an officer of the company and NantWorks manages the administrative operations of the Clinic.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of the “Notes to Unaudited Condensed Consolidated Financial Statements” that appears in Item 1. “Financial Statements”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for more information regarding our agreements with the Clinic.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Leases</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lease property in multiple facilities across the U.S. and Italy, including facilities located in El Segundo and Culver City, CA that are leased from related parties.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about our related-party leases.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Warrants</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total of 1,638,000 warrants issued to an affiliate of Dr. Soon-Shiong with an exercise price of $3.24 per share were outstanding as of March 31, 2025.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regarding the related-party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2025, Dr. Soon-Shiong, our Founder, Executive Chairman and Global Chief Scientific and Medical Officer, and his related party hold approximately $139.8 million of net sales CVRs.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Unaudited Condensed Consolidated Financial Statements” that appears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for more information regarding the CVRs.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Cost of sales consists primarily of third-party manufacturing costs, distribution, and overhead costs related to ANKTIVA sales. Cost of sales may also include costs related to excess or obsolete inventory adjustment charges, abnormal costs, unabsorbed manufacturing and overhead costs, and manufacturing variances. All costs associated with the production of ANKTIVA prior to receiving regulatory approval were expensed in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sales.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the cost of sales for ANKTIVA to increase in relation to product revenues as we deplete these inventories.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generally classify our operating expenses into research and development, and selling, general and administrative expenses. Personnel costs, including salaries, benefits, bonuses, and stock-based compensation expense comprise a significant component of our research and development, and selling, general and administrative expense categories. We allocate expenses associated with our facilities and information technology costs between these two categories, primarily based on the nature of each cost.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Research and development expense consists of expenses incurred while performing research and development activities to discover and develop our technology and product candidates. This includes conducting preclinical studies and clinical trials, manufacturing development efforts and activities related to regulatory submissions for our approved product and product candidates. We expense research and development costs as they are incurred.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 primarily consists of:</w:t>
      </w:r>
    </w:p>
    <w:p>
      <w:pPr>
        <w:spacing w:after="0" w:line="11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clinical trial and regulatory-related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agreements with investigative sites and consultants that conduct our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collaborative agreements;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and testing costs and related supplies and materials;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employee-related expenses, including salaries, benefits, travel and stock-based compensation;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facility expenses dedicated to research and development.</w:t>
      </w:r>
    </w:p>
    <w:p>
      <w:pPr>
        <w:spacing w:after="0" w:line="17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its research and development expense as either external or internal. The company’s external research and development expense supports its various preclinical and clinical programs. The company’s internal research and development expense includes payroll and benefits expense, facilities and equipment expense, and other indirect research and development expense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significantly for the foreseeable future as we continue to invest in research and development activities related to expanding our product into new indications and markets, developing our other product candidates, and conducting our ongoing and planned clinical trials.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our other product candidates or to expand potential approved markets and indications for ANKTIVA. This is due to the numerous risks and uncertainties associated with the development of product candidates.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of clinical trials may vary significantly over the life of a project owing to, but not limited to, the following:</w:t>
      </w:r>
    </w:p>
    <w:p>
      <w:pPr>
        <w:spacing w:after="0" w:line="11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sites included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patients that participate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comparative or combination agents used in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additional safety monitoring or other studies or incremental cohorts requested by regulatory agencies;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profile and efficacy of the product candidate.</w:t>
      </w:r>
    </w:p>
    <w:p>
      <w:pPr>
        <w:spacing w:after="0" w:line="11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We have only one approved product, ANKTIVA, for which we received approval from the FDA on </w:t>
      </w:r>
      <w:r>
        <w:rPr>
          <w:rFonts w:ascii="Times New Roman" w:cs="Times New Roman" w:eastAsia="Times New Roman" w:hAnsi="Times New Roman"/>
          <w:sz w:val="18"/>
          <w:szCs w:val="18"/>
          <w:color w:val="000000"/>
        </w:rPr>
        <w:t>April 22, 2024. We began commercial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distribution of our approved product in May 2024. There can be no assurance that our other product candidates will be approved for commercial sale by the FDA in the near term, if ever.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sales and administrative support functions. Other selling, general and administrative expenses include sales and marketing costs,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 will increase for the foreseeable future as we commercialize our approved product and expand operations,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if and when we believe that a regulatory approval of one of our other product candidates appears likely, we expect to incur significant increases in our selling, general and administrative expense relating to the sales and marketing of any additional approved product candidate.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right="360" w:firstLine="648"/>
        <w:spacing w:after="0" w:line="289" w:lineRule="auto"/>
        <w:rPr>
          <w:sz w:val="20"/>
          <w:szCs w:val="20"/>
          <w:color w:val="auto"/>
        </w:rPr>
      </w:pPr>
      <w:r>
        <w:rPr>
          <w:rFonts w:ascii="Times New Roman" w:cs="Times New Roman" w:eastAsia="Times New Roman" w:hAnsi="Times New Roman"/>
          <w:sz w:val="17"/>
          <w:szCs w:val="17"/>
          <w:color w:val="auto"/>
        </w:rPr>
        <w:t>Other income (expense), net consists primarily of interest and investment income, interest expense (including amortization of debt discounts), unrealized gains and losses from investments in equity securities and equity-method investments, changes in fair value of warrant liabilities, derivative liabilities, and convertible notes, realized gains and losses on debt and equity securities, and gains and losses on foreign currency transactions.</w:t>
      </w:r>
    </w:p>
    <w:p>
      <w:pPr>
        <w:sectPr>
          <w:pgSz w:w="11900" w:h="16838" w:orient="portrait"/>
          <w:cols w:equalWidth="0" w:num="1">
            <w:col w:w="11220"/>
          </w:cols>
          <w:pgMar w:left="320" w:top="445"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U.S. federal income tax, as well as income tax in California, other states and other certain foreign jurisdictions. From inception through March 31, 2025, we have not been required to pay significant U.S. federal and state income taxes because of current and accumulated NOLs.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304"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0"/>
        </w:trPr>
        <w:tc>
          <w:tcPr>
            <w:tcW w:w="5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76"/>
        </w:trPr>
        <w:tc>
          <w:tcPr>
            <w:tcW w:w="5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5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5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related-party convertible note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75"/>
        </w:trPr>
        <w:tc>
          <w:tcPr>
            <w:tcW w:w="5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Interest expense (including amounts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related party)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related to revenue interest liability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Product revenue, net increased $16.5 million during the three months ended March 31, 2025, as compared to the three months ended March 31, 2024, due to sales of ANKTIVA, which was approved in April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revenues decreased during the three months ended March 31, 2025, as compared to the three months ended March 31, 2024, primarily due to decreased bioreactor and related consumable product sales.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Cost of sales increased $0.1 million during the three months ended March 31, 2025, as compared to the three months ended March 31, 2024. We did not report cost of sales during the three months ended March 31, 2024. Cost of sales consists primarily of third-party manufacturing, distribution, and overhead costs. All costs associated with the production of ANKTIVA prior to receiving regulatory approval were expensed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 of operations in the period incurred and therefore are not reflected in cost of sales. As a result, our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gross margin is higher as our pre-launch inventory costs are not included in the cost of sales. We expect the cost of sales for ANKTIVA to increase in relation to product revenues as we deplete these inventories.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$5.1 million during the three months ended March 31, 2025, as compared to the three months ended March 31, 2024. The following table summarizes our research and development expense during the three months ended March 31, 2025 and 2024, together with the changes in those items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4"/>
        </w:trPr>
        <w:tc>
          <w:tcPr>
            <w:tcW w:w="6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40"/>
        </w:trPr>
        <w:tc>
          <w:tcPr>
            <w:tcW w:w="6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costs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depreciation, and facility costs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internal research and development expense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48"/>
        </w:trPr>
        <w:tc>
          <w:tcPr>
            <w:tcW w:w="65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decreased $5.1 million primarily attributable to the following:</w:t>
      </w:r>
    </w:p>
    <w:p>
      <w:pPr>
        <w:spacing w:after="0" w:line="171" w:lineRule="exact"/>
        <w:rPr>
          <w:sz w:val="20"/>
          <w:szCs w:val="20"/>
          <w:color w:val="auto"/>
        </w:rPr>
      </w:pPr>
    </w:p>
    <w:p>
      <w:pPr>
        <w:ind w:left="980" w:right="60" w:hanging="324"/>
        <w:spacing w:after="0" w:line="282"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$4.6 million decrease in external manufacturing costs, primarily due to a reduction in CMO fees, and lower consulting costs, partially offset by higher clinical trial related costs; and</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$1.0 million decrease in personnel-related costs, primarily due to a decrease in stock based compensation expenses, partially offset by lower shared service costs charged out and higher recruiting and training expenses compared to the prior period; partially offset by</w:t>
      </w:r>
    </w:p>
    <w:p>
      <w:pPr>
        <w:spacing w:after="0" w:line="10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increase in equipment, depreciation, and facility costs, primarily due to increased facility expenses driven by building repairs and facility maintenance, partially offset by lower depreciation and amortization expenses and equipment expenses; and</w:t>
      </w:r>
    </w:p>
    <w:p>
      <w:pPr>
        <w:spacing w:after="0" w:line="107" w:lineRule="exact"/>
        <w:rPr>
          <w:rFonts w:ascii="Times New Roman" w:cs="Times New Roman" w:eastAsia="Times New Roman" w:hAnsi="Times New Roman"/>
          <w:sz w:val="18"/>
          <w:szCs w:val="18"/>
          <w:color w:val="auto"/>
        </w:rPr>
      </w:pPr>
    </w:p>
    <w:p>
      <w:pPr>
        <w:ind w:left="980" w:right="360" w:hanging="324"/>
        <w:spacing w:after="0" w:line="312" w:lineRule="auto"/>
        <w:tabs>
          <w:tab w:leader="none" w:pos="97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$0.2 million increase in other research and development costs, primarily due to higher manufacturing costs and higher distribution costs driven by more production and clinical trial activities and higher license fees, partially offset by fewer sponsored research agreements.</w:t>
      </w:r>
    </w:p>
    <w:p>
      <w:pPr>
        <w:spacing w:after="0" w:line="8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significantly for the foreseeable future as we continue to invest in research and development activities related to developing our product candidates and conduct our ongoing and planned clinical trials.</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 decreased $9.2 million during the three months ended March 31, 2025, as compared to the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three months ended March 31, 2024. The decrease in selling, general and administrative expense was primarily driven by a $15.4 million decrease in legal expenses mainly due to lower costs related to litigation settlements, a $3.2 million decrease in commercial consulting activities, and a $0.4 million increase in net shared service costs charged out, partially offset by a $5.0 million increase in recruiting and training expenses, salaries, benefits and commissions, and travel expenses due to growing sales and marketing activities, a $2.6 million increase in stock-based compensation due to grants of 2025 equity incentive awards, and increased headcount, a $0.8 million increase in marketing and public relations expenses, a $0.5 million increase in facility costs, a $0.4 million increase in software license fees, a $0.3 million increase in distribution costs and a $0.2 million increase in research agreement costs.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other expense, net increased $26.5 million during the three months ended March 31, 2025,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The increase in total other expense, net was primarily driven by an increase of $42.6 million due to the change in fair value of a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convertible note, an increase of $5.5 million in interest expense related to the revenue interest liability, and a $2.2 million decrease in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partially offset by a decrease of $14.1 million mainly due to related-party interest expense, a decrease of $8.3 million due to the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fair value of derivative liabilities, and a decrease of $1.4 million due to the change in fair value of warrant liabilities.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inception through March 31, 2025, we have funded our operations primarily through proceeds from the issuance of related-party promissory notes, sales of common stock under our shelf registration statements and through RDOs, and a RIPA financing.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Marketable Securities on Hand</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and marketable securities of $61.6 million compared to $149.8 million as of December 31, 2024. We have typically invested our cash in a variety of financial instruments and classified these investments as available-for-sale.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2023, we filed a $750.0 million shelf registration statement with the SEC on Form S-3 for the offering and sale of equity and equity-linked securities, including common stock, preferred stock, debt securities, depositary shares, warrants to purchase common stock, preferred stock or debt securities, subscription rights, purchase contracts, and units. As of March 31, 2025, we had $565.6 million available for use under this shelf.</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April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 As of March 31, 2025, we had $296.5 million available for future stock issuances under the ATM.</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1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On December 29, 2023, we entered into the RIPA with Infinity and Oberland. Pursuant to the RIPA, Oberland had the option to purchase additional Revenue Interests from us in exchange for a $100.0 million Second Payment upon satisfaction of certain conditions in the RIPA, including receipt of approval from the FDA of our BLA for ANKTIVA on or before June 30, 2024. On April 22, 2024, the FDA approved our product ANKTIVA and as a result, on May 13, 2024 Oberland purchased additional Revenue Interests from us for a gross purchase price of $100.0 million, less certain issuance costs.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consideration for the aforementioned payments, Oberland has the right to receive quarterly Revenue Interest Payments from us based on, among other things, a certain percentage of our net sales during such quarter, which are tiered payments ranging from 4.5% to 10.0% (before funding of the Second Payment, 3.0% to 7.0%) of the company’s worldwide net sales, excluding those in China.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and Option Agreement</w:t>
      </w:r>
    </w:p>
    <w:p>
      <w:pPr>
        <w:spacing w:after="0" w:line="11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and in connection with the RIPA, we entered into an SPOA with Oberland. Under this agreement, Oberland had an option to purchase up to $10.0 million of our common stock, at a price per share to be determined by reference to the 30-day trailing volume weighted-average price of our common stock, calculated from the date of exercise. The option is exercisable by Oberland at any time until the earliest of</w:t>
      </w:r>
    </w:p>
    <w:p>
      <w:pPr>
        <w:spacing w:after="0" w:line="1" w:lineRule="exact"/>
        <w:rPr>
          <w:sz w:val="20"/>
          <w:szCs w:val="20"/>
          <w:color w:val="auto"/>
        </w:rPr>
      </w:pPr>
    </w:p>
    <w:p>
      <w:pPr>
        <w:ind w:right="420" w:firstLine="8"/>
        <w:spacing w:after="0" w:line="255"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SPOA, in April 2024 Oberland exercised its option to purchase 858,990 shares of our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$5.8208 per share generating net proceeds of approximately $4.9 million. Following such exercise, approximately $5.0 million remains available for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under the SPOA as of March 31,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11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 addition to the cash used to fund our operating activities discussed in “</w:t>
      </w:r>
      <w:r>
        <w:rPr>
          <w:rFonts w:ascii="Times New Roman" w:cs="Times New Roman" w:eastAsia="Times New Roman" w:hAnsi="Times New Roman"/>
          <w:sz w:val="18"/>
          <w:szCs w:val="18"/>
          <w:i w:val="1"/>
          <w:iCs w:val="1"/>
          <w:u w:val="single" w:color="auto"/>
          <w:color w:val="0000FF"/>
        </w:rPr>
        <w:t>—Future Funding Requirements</w:t>
      </w:r>
      <w:r>
        <w:rPr>
          <w:rFonts w:ascii="Times New Roman" w:cs="Times New Roman" w:eastAsia="Times New Roman" w:hAnsi="Times New Roman"/>
          <w:sz w:val="18"/>
          <w:szCs w:val="18"/>
          <w:color w:val="auto"/>
        </w:rPr>
        <w:t>” below, we will require cash to settle the following obligations:</w:t>
      </w:r>
    </w:p>
    <w:p>
      <w:pPr>
        <w:spacing w:after="0" w:line="52" w:lineRule="exact"/>
        <w:rPr>
          <w:sz w:val="20"/>
          <w:szCs w:val="20"/>
          <w:color w:val="auto"/>
        </w:rPr>
      </w:pPr>
    </w:p>
    <w:p>
      <w:pPr>
        <w:ind w:left="980" w:right="20" w:hanging="324"/>
        <w:spacing w:after="0" w:line="258"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the aggregate amount of our indebtedness payable was $505.0 million in the form of a convertible promissory note due December 31, 2027. This convertible promissory note is held by Nant Capital, an entity affiliated with Dr. Soon-Shiong. In connection with the RIPA, our related-party promissory note is a general unsecured obligation of the company that is subordinated in right of payment to indebtedness, obligations, and other liabilities under the RIPA, the Revenue Interests issued pursuant to such agreement, and refinancing of the foregoing.</w:t>
      </w:r>
    </w:p>
    <w:p>
      <w:pPr>
        <w:spacing w:after="0" w:line="129" w:lineRule="exact"/>
        <w:rPr>
          <w:rFonts w:ascii="Times New Roman" w:cs="Times New Roman" w:eastAsia="Times New Roman" w:hAnsi="Times New Roman"/>
          <w:sz w:val="18"/>
          <w:szCs w:val="18"/>
          <w:b w:val="1"/>
          <w:bCs w:val="1"/>
          <w:color w:val="auto"/>
        </w:rPr>
      </w:pPr>
    </w:p>
    <w:p>
      <w:pPr>
        <w:ind w:left="98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company can refinance this promissory note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125" w:lineRule="exact"/>
        <w:rPr>
          <w:rFonts w:ascii="Times New Roman" w:cs="Times New Roman" w:eastAsia="Times New Roman" w:hAnsi="Times New Roman"/>
          <w:sz w:val="18"/>
          <w:szCs w:val="18"/>
          <w:b w:val="1"/>
          <w:bCs w:val="1"/>
          <w:color w:val="auto"/>
        </w:rPr>
      </w:pPr>
    </w:p>
    <w:p>
      <w:pPr>
        <w:ind w:left="980" w:right="260" w:hanging="324"/>
        <w:spacing w:after="0" w:line="257" w:lineRule="auto"/>
        <w:tabs>
          <w:tab w:leader="none" w:pos="97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December 29, 2023, we entered into the RIPA with Infinity and Oberland. Oberland has the right to receive quarterly Revenue Interest Payments from us based on, among other things, our worldwide net sales, excluding those in China, which will be tiered payments initially ranging from 4.5% to 10.0% (before funding of the Second Payment, 3.0% to 7.0%), subject to increase or decrease, following</w:t>
      </w:r>
    </w:p>
    <w:p>
      <w:pPr>
        <w:spacing w:after="0" w:line="1" w:lineRule="exact"/>
        <w:rPr>
          <w:rFonts w:ascii="Times New Roman" w:cs="Times New Roman" w:eastAsia="Times New Roman" w:hAnsi="Times New Roman"/>
          <w:sz w:val="18"/>
          <w:szCs w:val="18"/>
          <w:b w:val="1"/>
          <w:bCs w:val="1"/>
          <w:i w:val="1"/>
          <w:iCs w:val="1"/>
          <w:color w:val="auto"/>
        </w:rPr>
      </w:pPr>
    </w:p>
    <w:p>
      <w:pPr>
        <w:ind w:left="98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December 31, 2029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True-Up Payment to Oberland in an amount equal to 100% of the Cumulative Purchaser Payments as of</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right="60"/>
        <w:spacing w:after="0" w:line="267" w:lineRule="auto"/>
        <w:rPr>
          <w:sz w:val="20"/>
          <w:szCs w:val="20"/>
          <w:color w:val="auto"/>
        </w:rPr>
      </w:pPr>
      <w:r>
        <w:rPr>
          <w:rFonts w:ascii="Times New Roman" w:cs="Times New Roman" w:eastAsia="Times New Roman" w:hAnsi="Times New Roman"/>
          <w:sz w:val="18"/>
          <w:szCs w:val="18"/>
          <w:color w:val="auto"/>
        </w:rPr>
        <w:t xml:space="preserve">the Test Date, less the aggregate amount of our previous payments to Oberland as of the Test Date.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of the “Notes to Unaudited Condensed Consolidated Financial Statements” that appears in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for more information regarding the RIPA.</w:t>
      </w:r>
    </w:p>
    <w:p>
      <w:pPr>
        <w:spacing w:after="0" w:line="121" w:lineRule="exact"/>
        <w:rPr>
          <w:sz w:val="20"/>
          <w:szCs w:val="20"/>
          <w:color w:val="auto"/>
        </w:rPr>
      </w:pPr>
    </w:p>
    <w:p>
      <w:pPr>
        <w:ind w:left="980" w:right="100" w:hanging="324"/>
        <w:spacing w:after="0" w:line="257"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2025,</w:t>
      </w:r>
    </w:p>
    <w:p>
      <w:pPr>
        <w:spacing w:after="0" w:line="1" w:lineRule="exact"/>
        <w:rPr>
          <w:rFonts w:ascii="Times New Roman" w:cs="Times New Roman" w:eastAsia="Times New Roman" w:hAnsi="Times New Roman"/>
          <w:sz w:val="18"/>
          <w:szCs w:val="18"/>
          <w:b w:val="1"/>
          <w:bCs w:val="1"/>
          <w:color w:val="auto"/>
        </w:rPr>
      </w:pPr>
    </w:p>
    <w:p>
      <w:pPr>
        <w:ind w:left="98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spacing w:after="0" w:line="134"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acquisition of VivaBioCell, we are obligated to pay the former owners approximately $2.2 million of contingent consideration upon the achievement of a regulatory milestone relating to the GMP-in-a-Box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Cash Flows</w:t>
      </w:r>
    </w:p>
    <w:p>
      <w:pPr>
        <w:spacing w:after="0" w:line="121" w:lineRule="exact"/>
        <w:rPr>
          <w:sz w:val="20"/>
          <w:szCs w:val="20"/>
          <w:color w:val="auto"/>
        </w:rPr>
      </w:pPr>
    </w:p>
    <w:p>
      <w:pPr>
        <w:ind w:right="400" w:firstLine="648"/>
        <w:spacing w:after="0" w:line="239" w:lineRule="exact"/>
        <w:rPr>
          <w:sz w:val="20"/>
          <w:szCs w:val="20"/>
          <w:color w:val="auto"/>
        </w:rPr>
      </w:pPr>
      <w:r>
        <w:rPr>
          <w:rFonts w:ascii="Times New Roman" w:cs="Times New Roman" w:eastAsia="Times New Roman" w:hAnsi="Times New Roman"/>
          <w:sz w:val="18"/>
          <w:szCs w:val="18"/>
          <w:color w:val="auto"/>
        </w:rPr>
        <w:t>The following discussion of ImmunityBio’s cash flows is based on the condensed consolidated statements of cash flows in Item 1. “Financial Statements” and is not meant to be an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inclusive discussion of the changes in its cash flows for the periods presented below.</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cash for periods indicated (in thousands):</w:t>
      </w:r>
    </w:p>
    <w:p>
      <w:pPr>
        <w:spacing w:after="0" w:line="27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(106,982)</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6"/>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(132,418)</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of $85.9 million consisted of a net loss of $129.7 million and $22.0 million of cash used in net working capital, partially offset by $65.8 million in adjustments for non-cash items. The changes in net working capital consisted primarily of an increase of $14.7 million in accounts receivable, net, a decrease of $12.9 million in accrued expenses and other liabilities, a decrease of $1.7 million in operating lease liabilities, an increase of $0.2 million in inventories, and an increase of $0.1 million in other assets, partially offset by an increase of $6.4 million in accounts payable, a decrease of $1.1 million in prepaid expenses and other current assets, and an increase of $0.1 million with related parties. Adjustments for non-cash items primarily consisted of a $42.6 million change in the fair value of a related-party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$13.3 million of non-cash interest expense related to the revenue interest liability, $9.5 million in stock-based compensation expense,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$3.8 million in depreciation and amortization expense, $1.6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 $0.4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$0.3 million in other items, reduced by a $5.6 million change in the fair value of derivative liabilities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in non-cash interest and accretion of discounts on marketable debt securities.</w:t>
      </w: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of $107.0 million consisted of a net loss of $134.1 million and $3.9 million of cash used in net working capital, partially offset by $31.0 million in adjustments for non-cash items. The changes in net working capital consisted primarily of decreases of $8.9 million in accrued expenses and other liabilities, $0.9 million in operating lease liabilities, and $0.1 million with related parties, partially offset by an increase of $4.3 million in accounts payable, a decrease of $1.6 million in prepaid and other current assets, and a decrease of $0.1 million in other assets. Adjustments for non-cash items primarily consisted of $8.3 million in stock-based compensation expense, $7.9 million in non-cash interest primarily related to the revenue interest liability and related-party promissory notes, $5.5 million in amortization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related-party note discounts, $4.6 million in depreciation and amortization expense, a $2.7 million change in fair value of derivative liabilities, a</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$1.8 million change in the fair value of warrant liabilities, and $1.3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w:t>
      </w:r>
    </w:p>
    <w:p>
      <w:pPr>
        <w:spacing w:after="0" w:line="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$0.1 million of other non-cash items, reduced by $0.7 million in unrealized gains on equity securities driven by an increase in the value of our investments, and $0.5 million of accretion of discounts, on marketable debt securities.</w:t>
      </w:r>
    </w:p>
    <w:p>
      <w:pPr>
        <w:spacing w:after="0" w:line="183"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negative cash flows from operating activities, with such negative cash flows likely to continue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$4.1 million, which included proceeds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$5.3 million from maturities of marketable debt securities, partially offset by cash outflows of $1.1 million for purchases of property, plant and equipment, and $0.1 million for purchases of marketable debt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$35.6 million, which included cash outflows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 million for purchases of marketable debt securities and $1.2 million for purchases of property, plant and equipment, partially offset by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million from maturities and sales of marketable debt and equity securities.</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investments in property, plant and equipment are primarily related to acquisitions of equipment that will be used for the manufacturing of our approved product and product candidates and expenditures related to the build out of our manufacturing facilities. We expect to accelerate our capital spending as we scale our GMP manufacturing capabilities, which will require significant capital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During the three months ended March 31, 2025, net cash used in financing activities was $1.0 million, which consisted of $1.2 million related to net share settlement of vested RSUs for payment of payroll tax withholding, partially offset by $0.2 million in proceeds from the exercise of stock options.</w:t>
      </w:r>
    </w:p>
    <w:p>
      <w:pPr>
        <w:spacing w:after="0" w:line="14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was $10.2 million, which consisted of $14.1 million of proceeds from the exercise of warrants, partially offset by $3.9 million related to net share settlement of vested RSUs for payment of payroll tax withholding.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Now that we have received FDA approval for ANKTIVA, we have begun to generate revenue although we expect it to take some time to generate significant revenue from our approved product and we can provide no assurance when, or if, this will occur. We began commercial distribution of our approved product in May 2024; however, we can provide no assurance with respect to our future revenues, market acceptance, reimbursement from third-party payors, or the profitability of our approved product or any other product candidate for which we may obtain approval. We do not expect additional revenue from our other product candidates unless and until we obtain regulatory approval of and commercialize any of our other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other product candidates. We have also incurred and expect that we will continue to incur in the future additional costs associated with operating as a public company as well as costs related to future fundraising efforts. In addition, subject to obtaining regulatory approval of our other product candidates, we expect to incur significant incremental commercialization expenses for product sales, marketing, manufacturing and distribution. We anticipate that we will need substantial additional funding in connection with our continuing operations.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our operating expenses will increase substantially if and as we:</w:t>
      </w:r>
    </w:p>
    <w:p>
      <w:pPr>
        <w:spacing w:after="0" w:line="171"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commercialize our approved product;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research and development, including preclinical and clinical development of our other existing product candidates;</w:t>
      </w:r>
    </w:p>
    <w:p>
      <w:pPr>
        <w:spacing w:after="0" w:line="17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regulatory approval of our approved product in incremental markets and indications and potentially seek regulatory approval for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discover and develop additional product candidates;</w:t>
      </w:r>
    </w:p>
    <w:p>
      <w:pPr>
        <w:spacing w:after="0" w:line="171"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 commercialization infrastructure and scale up our manufacturing and distribution capabilities to commercialize any of our other product candidates for which we may obtain regulatory approval;</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comply with regulatory standards and laws;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71"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hire clinical, manufacturing, scientific and other personnel to support our product candidates’ development and future commercialization efforts;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 operational, financial and management information systems and personnel;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including but not limited to, the offering, issuance and sale by us of our common stock under our shelf registration statement; and our potential ability to borrow from affiliated entities will be sufficient to fund our operations through at least the next 12 months following the issuance date of the condensed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 In addition to funds from the future sales of our approved product, which we expect to take time to establish, we may also seek to sell additional equity, through one or more follow-on public offerings, or in separate financings, or obtain a credit facility, issue other debt in compliance with the terms of the RIPA, or</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engage in strategic partnership transactions. However, we may not be able to secure such external financing in a timely manner or on favorable terms, if at all.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71"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and the time required to successfully commercialize our approved product;</w:t>
      </w:r>
    </w:p>
    <w:p>
      <w:pPr>
        <w:spacing w:after="0" w:line="171"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timing, number, scope and costs of researching and developing our product candidates and our ongoing, planned and potential clinical trials;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of regulatory approvals;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any of our other product candidates, if approved and the costs of such commercialization activities;</w:t>
      </w:r>
    </w:p>
    <w:p>
      <w:pPr>
        <w:spacing w:after="0" w:line="171" w:lineRule="exact"/>
        <w:rPr>
          <w:rFonts w:ascii="Times New Roman" w:cs="Times New Roman" w:eastAsia="Times New Roman" w:hAnsi="Times New Roman"/>
          <w:sz w:val="18"/>
          <w:szCs w:val="18"/>
          <w:b w:val="1"/>
          <w:bCs w:val="1"/>
          <w:color w:val="auto"/>
        </w:rPr>
      </w:pPr>
    </w:p>
    <w:p>
      <w:pPr>
        <w:ind w:left="980" w:right="74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product candidates that we may commercialize, if any, including the selling prices for such potential products and the availability of adequate third-party coverage and reimbursement for patients;</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principal payments on our related-party promissory note, and repayment of Revenue Interests and Test Date payments due under the RIPA;</w:t>
      </w:r>
    </w:p>
    <w:p>
      <w:pPr>
        <w:spacing w:after="0" w:line="10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building, staffing and validating our own manufacturing facilities in the U.S., including having a product candidate successfully manufactured consistent with FDA and EMA regulations;</w:t>
      </w:r>
    </w:p>
    <w:p>
      <w:pPr>
        <w:spacing w:after="0" w:line="107"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timing and costs of our current and any potential future collaborations, business or product acquisitions, CVRs, milestones, royalties, licensing or other arrangements that we have established or may establish;</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necessary to respond to technological, regulatory, political and market developments;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filing, prosecuting, maintaining, defending and enforcing any patent claims and other intellectual property rights.</w:t>
      </w:r>
    </w:p>
    <w:p>
      <w:pPr>
        <w:spacing w:after="0" w:line="17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equity-linked securities (including warrants), convertible debt, our shelf registration statements, or other offerings, or if any of our current debt is converted into equity or if our existing warrants are exercised,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and our revenue interest liability may come due.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material cash requirements to pay related-party affiliates and third parties under various contractual obligations discussed below:</w:t>
      </w:r>
    </w:p>
    <w:p>
      <w:pPr>
        <w:spacing w:after="0" w:line="171" w:lineRule="exact"/>
        <w:rPr>
          <w:sz w:val="20"/>
          <w:szCs w:val="20"/>
          <w:color w:val="auto"/>
        </w:rPr>
      </w:pPr>
    </w:p>
    <w:p>
      <w:pPr>
        <w:ind w:left="980" w:right="80" w:hanging="324"/>
        <w:spacing w:after="0" w:line="261"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to several related-party affiliates under written agreements and other informal arrangements. We are also obligated to pay interest and to repay principal under our related-party promissory notes.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financing obligations.</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66"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obligated to make payments to Oberland associated with our revenue interest liability, which do not have a fixed repayment schedule. Oberland’s right to receive payments under the RIPA shall terminate when Oberland has received maximum payments (including any True-Up Payment) equal to 195.0% of the then Cumulative Purchaser Payments unless the RIPA is terminated prior to such date.</w:t>
      </w:r>
    </w:p>
    <w:p>
      <w:pPr>
        <w:spacing w:after="0" w:line="121" w:lineRule="exact"/>
        <w:rPr>
          <w:rFonts w:ascii="Times New Roman" w:cs="Times New Roman" w:eastAsia="Times New Roman" w:hAnsi="Times New Roman"/>
          <w:sz w:val="18"/>
          <w:szCs w:val="18"/>
          <w:b w:val="1"/>
          <w:bCs w:val="1"/>
          <w:color w:val="auto"/>
        </w:rPr>
      </w:pPr>
    </w:p>
    <w:p>
      <w:pPr>
        <w:ind w:left="98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agreement, prior to the Test Date, every $100.0 million of worldwide net sales, excluding those in China, of less than or equal to $600.0 million in a calendar year will result in a tiered Revenue Interest Payment of approximately $10.0 million or 10.0% (after funding of the Second Payment). Worldwide net sales, excluding those in China, for a calendar year exceeding $600.0 million will result in a tiered Revenue Interest Payment of approximately $4.5 million or 4.5% (after funding of the Second Payment) for every $100.0 million of worldwide net sales, excluding those in China, above the threshold.</w:t>
      </w:r>
    </w:p>
    <w:p>
      <w:pPr>
        <w:spacing w:after="0" w:line="129" w:lineRule="exact"/>
        <w:rPr>
          <w:rFonts w:ascii="Times New Roman" w:cs="Times New Roman" w:eastAsia="Times New Roman" w:hAnsi="Times New Roman"/>
          <w:sz w:val="18"/>
          <w:szCs w:val="18"/>
          <w:b w:val="1"/>
          <w:bCs w:val="1"/>
          <w:color w:val="auto"/>
        </w:rPr>
      </w:pPr>
    </w:p>
    <w:p>
      <w:pPr>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future, cumulative worldwide net sales, excluding those in China, levels up to the Test Date will determine whether or not we are required to make a True-Up Payment and implement modified payment rates. The amount of the obligation and timing of payment is likely to change.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more information regarding the RIPA.</w:t>
      </w:r>
    </w:p>
    <w:p>
      <w:pPr>
        <w:spacing w:after="0" w:line="123" w:lineRule="exact"/>
        <w:rPr>
          <w:rFonts w:ascii="Times New Roman" w:cs="Times New Roman" w:eastAsia="Times New Roman" w:hAnsi="Times New Roman"/>
          <w:sz w:val="18"/>
          <w:szCs w:val="18"/>
          <w:b w:val="1"/>
          <w:bCs w:val="1"/>
          <w:color w:val="auto"/>
        </w:rPr>
      </w:pPr>
    </w:p>
    <w:p>
      <w:pPr>
        <w:ind w:left="980" w:hanging="324"/>
        <w:spacing w:after="0" w:line="277" w:lineRule="auto"/>
        <w:tabs>
          <w:tab w:leader="none" w:pos="975"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We are obligated to make payments under our operating leases, which primarily consist of facility leases. See </w:t>
      </w:r>
      <w:r>
        <w:rPr>
          <w:rFonts w:ascii="Times New Roman" w:cs="Times New Roman" w:eastAsia="Times New Roman" w:hAnsi="Times New Roman"/>
          <w:sz w:val="17"/>
          <w:szCs w:val="17"/>
          <w:u w:val="single" w:color="auto"/>
          <w:color w:val="0000FF"/>
        </w:rPr>
        <w:t>Note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“Lease Arrangements”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“Related-Party Agreements”</w:t>
      </w:r>
      <w:r>
        <w:rPr>
          <w:rFonts w:ascii="Times New Roman" w:cs="Times New Roman" w:eastAsia="Times New Roman" w:hAnsi="Times New Roman"/>
          <w:sz w:val="17"/>
          <w:szCs w:val="17"/>
          <w:color w:val="auto"/>
        </w:rPr>
        <w:t xml:space="preserve"> of the “Notes to Unaudited Condensed Consolidated Financial Statements” that appear in</w:t>
      </w:r>
    </w:p>
    <w:p>
      <w:pPr>
        <w:spacing w:after="0" w:line="1" w:lineRule="exact"/>
        <w:rPr>
          <w:rFonts w:ascii="Times New Roman" w:cs="Times New Roman" w:eastAsia="Times New Roman" w:hAnsi="Times New Roman"/>
          <w:sz w:val="17"/>
          <w:szCs w:val="17"/>
          <w:b w:val="1"/>
          <w:bCs w:val="1"/>
          <w:color w:val="auto"/>
        </w:rPr>
      </w:pPr>
    </w:p>
    <w:p>
      <w:pPr>
        <w:ind w:left="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Item 1. “Financial Statements” of this Quarterly Report for information regarding our lease obligations.</w:t>
      </w:r>
    </w:p>
    <w:p>
      <w:pPr>
        <w:spacing w:after="0" w:line="152" w:lineRule="exact"/>
        <w:rPr>
          <w:rFonts w:ascii="Times New Roman" w:cs="Times New Roman" w:eastAsia="Times New Roman" w:hAnsi="Times New Roman"/>
          <w:sz w:val="17"/>
          <w:szCs w:val="17"/>
          <w:b w:val="1"/>
          <w:bCs w:val="1"/>
          <w:color w:val="auto"/>
        </w:rPr>
      </w:pPr>
    </w:p>
    <w:p>
      <w:pPr>
        <w:ind w:left="980" w:right="140" w:hanging="324"/>
        <w:spacing w:after="0" w:line="261"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the acquisitions of Altor and VivaBioCell, we are obligated to pay contingent consideration upon the achievement of certain milestones.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Contingencies—Contingent Consideration Related to Business Combinations”</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information regarding our contingent consideration obligations.</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contractual obligations to make payments to related-party affiliates and third parties under unconditional purchase arrangements. See Note 9 “</w:t>
      </w:r>
      <w:r>
        <w:rPr>
          <w:rFonts w:ascii="Times New Roman" w:cs="Times New Roman" w:eastAsia="Times New Roman" w:hAnsi="Times New Roman"/>
          <w:sz w:val="18"/>
          <w:szCs w:val="18"/>
          <w:i w:val="1"/>
          <w:iCs w:val="1"/>
          <w:color w:val="auto"/>
        </w:rPr>
        <w:t>Commitments and Contingencies—Unconditional Purchase Obligations”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3, 2025 for information on these unconditional purchase obligations.</w:t>
      </w:r>
    </w:p>
    <w:p>
      <w:pPr>
        <w:spacing w:after="0" w:line="125" w:lineRule="exact"/>
        <w:rPr>
          <w:rFonts w:ascii="Times New Roman" w:cs="Times New Roman" w:eastAsia="Times New Roman" w:hAnsi="Times New Roman"/>
          <w:sz w:val="18"/>
          <w:szCs w:val="18"/>
          <w:b w:val="1"/>
          <w:bCs w:val="1"/>
          <w:color w:val="auto"/>
        </w:rPr>
      </w:pPr>
    </w:p>
    <w:p>
      <w:pPr>
        <w:ind w:left="980" w:right="44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certain contractual commitments that are expected to be paid within one year, depending on the actual progress of build outs, completion of services, and the realization of milestones associated with third-party agreements. This amount totals $41.8 million and is primarily related to capital expenditures and open purchase orders as of March 31, 2025 for the acquisition of goods and services in the ordinary course of business, and near-term upfront milestone payments to third parties.</w:t>
      </w:r>
    </w:p>
    <w:p>
      <w:pPr>
        <w:spacing w:after="0" w:line="125"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we have contractual commitments that are expected to be paid in fiscal year 2026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March 31, 2025, the maximum amount that may be payable related to these commitments is $292.9 million.</w:t>
      </w:r>
    </w:p>
    <w:p>
      <w:pPr>
        <w:spacing w:after="0" w:line="125" w:lineRule="exact"/>
        <w:rPr>
          <w:rFonts w:ascii="Times New Roman" w:cs="Times New Roman" w:eastAsia="Times New Roman" w:hAnsi="Times New Roman"/>
          <w:sz w:val="18"/>
          <w:szCs w:val="18"/>
          <w:b w:val="1"/>
          <w:bCs w:val="1"/>
          <w:color w:val="auto"/>
        </w:rPr>
      </w:pPr>
    </w:p>
    <w:p>
      <w:pPr>
        <w:ind w:left="980" w:right="220" w:hanging="324"/>
        <w:spacing w:after="0" w:line="258"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our leasehold interest in the Dunkirk Facility, we committed to spend an aggregate of $1.52 billion on operational expenses during the initial 10-year term, and an additional $1.50 billion on operational expenses if we elect to renew the lease for the additional 10-year term. These amounts are not included in the discussion above.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Acquisition—Acquisition” </w:t>
      </w:r>
      <w:r>
        <w:rPr>
          <w:rFonts w:ascii="Times New Roman" w:cs="Times New Roman" w:eastAsia="Times New Roman" w:hAnsi="Times New Roman"/>
          <w:sz w:val="18"/>
          <w:szCs w:val="18"/>
          <w:color w:val="auto"/>
        </w:rPr>
        <w:t>of the “Notes to Unaudited Condensed Consolidated Financial Statements” that appears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for more information on these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which have been prepared in accordance with U.S. GAAP. The preparation of condensed consolidated financial statements requires management to make certain estimates and assumptions that affect the reported amounts of assets, liabilities and expenses and the disclosure of contingent assets and liabilities at the date of the condensed consolidated financial statements and the reported amounts of revenues and expenses during the reporting period. Those estimates can be complex and actual results could differ materially from those estimates. Estimates are assessed each period and updated to reflect current information.</w:t>
      </w:r>
    </w:p>
    <w:p>
      <w:pPr>
        <w:spacing w:after="0" w:line="7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filed with the SEC on March 3, 2025 for information on our significant accounting policies.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for a discussion of recent accounting pronouncements or changes in accounting pronouncements that are of significance, or potential significance, to us.</w:t>
      </w:r>
    </w:p>
    <w:p>
      <w:pPr>
        <w:spacing w:after="0" w:line="200" w:lineRule="exact"/>
        <w:rPr>
          <w:sz w:val="20"/>
          <w:szCs w:val="20"/>
          <w:color w:val="auto"/>
        </w:rPr>
      </w:pPr>
    </w:p>
    <w:p>
      <w:pPr>
        <w:spacing w:after="0" w:line="3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April 7, 2025, we entered into a securities purchase agreement with an institutional investor for the purchase and sale of 29,024,768 shares of our common stock, as well as warrants that allows such investor to purchase an additional 29,024,768 shares of common stock at an exercise price of $3.101 per share, for a purchase price of $2.584 per share and accompanying warrant, generating net proceeds of approximately $74.8 million, after deducting estimated offering costs. The warrants became immediately exercisable on April 9, 2025 and will expire five years after the issuance date on April 9, 2030.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RTF Letter from the FDA for sBLA for BCG-Unresponsive NMIBC Papillary Disease</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2025, an in-person meeting was held with leadership of CBER, CDER and OCE of the FDA, at which we provided the long-term cystectomy avoidance response rate results in papillary disease in patients with BCG-unresponsive NMIBC as well as a disease-specific overall survival rate of 99% at 12 months and 96% at 36 months. At this meeting, the leaders were asked, in light of these results, whether we should proceed with an sBLA based on our single-arm QUILT 3.032 clinical trial despite the FDA’s prior guidance that a randomized trial would be required. The FDA leaders present unanimously confirmed that ImmunityBio should expeditiously submit an sBLA for use of ANKTIVA plus BCG in BCG-unresponsive NMIBC for the indication of papillary disease. In March 2025, we submitted this sBLA based on data from the QUILT 3.032 clinical trial, consistent with the Agency’s recent guidance from the January 2025 meeting. On May 2, 2025, we received an RTF letter from the FDA for the sBLA stating that a randomized trial is required. This position is inconsistent with the guidance received at the January 2025 meeting. We are working to reconcile the inconsistency with the FDA as expeditiously as possible.</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Financial market risks related to interest rates, foreign currency exchange rates, market risk on the price and volatility of our common stock, and inflation are described in Part II, Item 7A. “Quantitative and Qualitative Disclosures About Market Risk” of our Annual Report filed with the SEC on March 3, 2025. There have been no material changes to such financial market risks as of the date of this Quarterly Report. We do not currently anticipate any other near-term changes in the nature of our financial market risk exposures or in management’s objectives and strategies with respect to managing such exposures.</w:t>
      </w:r>
    </w:p>
    <w:p>
      <w:pPr>
        <w:spacing w:after="0" w:line="2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with the participation of our CEO and CFO, evaluated the effectiveness of our disclosure controls and procedures as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31, 2025. The term “disclosure controls and procedures,” as defined in Rule 13a-15(e) of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March 31, 2025, our CEO and CFO have concluded that, as of March 31, 2025,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of the Exchange Act) during the fiscal quarter ended March 31, 2025, that our certifying officers concluded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w:t>
      </w:r>
    </w:p>
    <w:p>
      <w:pPr>
        <w:spacing w:after="0" w:line="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and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is scheduled to begin on June 9, 2025. Given that the proceeding is in the pre-hearing stages, it remains too early to evaluate the likely outcome of the case or to estimate any range of potential loss. We believe the claims asserted against the company lack merit and intend to defend the case, and to pursue our counterclaims, vigorously.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3:23-cv-01216-GCP-VET, was filed in the United States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BLA for its then product candidate, ANKTIVA with BCG for the treatment of adult patients with BCG-unresponsive NMIBC with CIS with or without papillary tumors, in its present form due to deficiencies related to its pre-license inspection of the company’s third-party CMOs, the complaint alleges that the defendants had previously made materially false and misleading statements and/or omitted material adverse facts regarding its third-party CMOs and the prospects for regulatory approval of the BLA. The complaint did not specify the amount of damages being sought. On September 27, 2023, the court appointed a lead plaintiff, approved their selection of lead counsel, and re-captioned the case </w:t>
      </w:r>
      <w:r>
        <w:rPr>
          <w:rFonts w:ascii="Times New Roman" w:cs="Times New Roman" w:eastAsia="Times New Roman" w:hAnsi="Times New Roman"/>
          <w:sz w:val="18"/>
          <w:szCs w:val="18"/>
          <w:i w:val="1"/>
          <w:iCs w:val="1"/>
          <w:color w:val="auto"/>
        </w:rPr>
        <w:t>In re ImmunityBio, Inc. Securities Litigation,</w:t>
      </w:r>
      <w:r>
        <w:rPr>
          <w:rFonts w:ascii="Times New Roman" w:cs="Times New Roman" w:eastAsia="Times New Roman" w:hAnsi="Times New Roman"/>
          <w:sz w:val="18"/>
          <w:szCs w:val="18"/>
          <w:color w:val="auto"/>
        </w:rPr>
        <w:t xml:space="preserve"> No. 3:23-cv-01216. On November 17, 2023, the lead plaintiff filed an amended complaint, which named the same defendants and asserted the same claims as the previous complaint. On January 8, 2024, the defendants filed a motion to dismiss the amended complaint. On June 20, 2024, the court issued an order granting in part and denying in part the motion to dismiss. On July 16, 2024, the lead plaintiff notified the court that he would proceed with his current pleading, and the defendants answered the complaint on August 29, 2024. On</w:t>
      </w:r>
    </w:p>
    <w:p>
      <w:pPr>
        <w:spacing w:after="0" w:line="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January 25, 2025, following a mediation and the parties’ agreement in principle to settle the securities class action for $10.5 million, the lead plaintiff filed an unopposed motion for preliminary approval of class action settlement. The settlement is subject to preliminary and final approval by the U.S. District Court for the Southern District of California. On March 17, 2025, the court granted preliminary approval of the settlement. A final approval hearing is scheduled for June 13, 2025.</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foregoing, the company recorded legal settlement expense of $10.5 million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on the condensed consolidated statement of operations during the year ended December 31, 2024 and a corresponding amount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on the consolidated balance sheet. Approximately $6.0 million of this amount has since been paid by the company’s insurers,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during the three months ended March 31, 2025.</w:t>
      </w:r>
    </w:p>
    <w:p>
      <w:pPr>
        <w:spacing w:after="0" w:line="18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court does not grant final approval of the settlement described above, the company is unable to estimate a range of loss, if any, that could result were there to be an adverse final decision in this action. In this event and if an unfavorable outcome were to occur, it is possible that the impact could be material to the company’s results of operations in the period(s) in which any such outcome becomes probable and estimable.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LLC, and NantCell, Inc. Matters Against Dr. Hing Wong and HCW Biologics, Inc.</w:t>
      </w:r>
    </w:p>
    <w:p>
      <w:pPr>
        <w:spacing w:after="0" w:line="1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December 23, 2022, Altor and NantCell filed an arbitration demand against Dr. Hing Wong, former CEO of Altor and NantCell. The demand asserts claims for breach of Dr. Wong’s contracts with the companies, breach of the covenant of good faith and fair dealing, conversion, fraudulent concealment, unjust enrichment, breach of fiduciary duty, and replevin. The same day, Dr. Wong filed an arbitration demand seeking a declaratory judgment finding that Dr. Wong is not liable to Altor or NantCell for any of their claims. The parties agreed to consolidate the arbitration filings in one proceeding, and on January 23, 2023, Dr. Wong filed an Answering Statement denying the claims.</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Also, on December 23, 2022 Altor and NantCell filed a complaint in the United States District Court for the Southern District of Florida against HCW, Dr. Wong’s new company. Altor’s and NantCell’s complaint asserts claims for misappropriation of trade secrets under both Florida and federal law, inducement of breach of contract, tortious interference with contractual relations, inducement of breach of fiduciary duty, conversion, unjust enrichment, replevin, request for assignment of patents and patent applications, and establishment of a constructive trust. On January 31, 2023, HCW filed motions to compel arbitration of Altor’s and NantCell’s claims, or in the alternative to stay or dismiss them. Altor and NantCell filed an opposition to the motions on February 14, 2023, and HCW filed reply papers on February 21, 2023. At a hearing on April 18, 2023, the court heard argument and requested supplemental briefing. After the hearing, the parties reached an agreement to consolidate all claims in a single arbitration proceeding. On May 1, 2023, we filed our arbitration demand asserting the same claims against HCW that were asserted in the federal court complaint. On May 15, 2023, HCW filed an Answering Statement denying the claims. The hearing in the consolidated arbitration took place from May 20, 2024 to May 30, 2024.</w:t>
      </w:r>
    </w:p>
    <w:p>
      <w:pPr>
        <w:spacing w:after="0" w:line="13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July 13, 2024, we entered into a Settlement with HCW and Dr. Hing Wong to resolve the claims asserted in the consolidated arbitration and related matters. Under the terms of the Settlement, in part and for no monetary consideration from ImmunityBio, HCW transferred and assigned to ImmunityBio molecules (along with other related assets, including master cell banks, clinical trial protocols, inventory and FDA documents), controlled by HCW that were generated through the use of a TF Platform related to the human TGF-β receptor and TGF-β traps, including, without limitation, HCW9218, HCW9219, HCW9209 and any derivatives thereof or therefrom, including assignment of all patents, know-how and all other intellectual property existing as of the Settlement effective date and thereafter that is necessary or reasonably useful for the exploitation of such TGF-β molecules, with the exception that future reasonably useful intellectual property is the subject of a non-exclusive license to ImmunityBio. For indications outside of oncology, ImmunityBio has agreed to grant an exclusive license back to HCW for the transferred intellectual property for TGF-β products, and a non-exclusive license for neoadjuvant ovarian cancer, subject to certain requirements.</w:t>
      </w:r>
    </w:p>
    <w:p>
      <w:pPr>
        <w:spacing w:after="0" w:line="13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the Settlement provides to ImmunityBio a worldwide, perpetual, irrevocable, fully paid-up, royalty-free, exclusive license to exploit fusion proteins, molecules and/or antibodies created utilizing the TF Platform directed to the receptors of PDL-1, IL-7, IL-12, IL-15, IL-18, and IL-21 in the oncology field. Furthermore, the Settlement provides additional license terms including, without limitation, a non-exclusive license to ImmunityBio to exploit HCW9201, another fusion protein, and the anti-tissue factor based antibody HCW9101 and the linked resins to manufacture and purify the fusion proteins described above, as well as a right of first refusal for ImmunityBio with respect to any other fusion protein developed by HCW using the TF Platform going forward.</w:t>
      </w:r>
    </w:p>
    <w:p>
      <w:pPr>
        <w:spacing w:after="0" w:line="13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Settlement, the parties agreed to mutual, full and complete releases. On December 23 and 24, 2024, the company dismissed the consolidated arbitration claims and a related action in the Delaware Court of Chancery in light of the Settlement.</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Van Luven, Barbieri and Shin Derivative Actions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29, 2024, a shareholder derivative action was filed in the United States District Court for the Southern District of California against the members of our Board of Directors and certain officers, captioned </w:t>
      </w:r>
      <w:r>
        <w:rPr>
          <w:rFonts w:ascii="Times New Roman" w:cs="Times New Roman" w:eastAsia="Times New Roman" w:hAnsi="Times New Roman"/>
          <w:sz w:val="18"/>
          <w:szCs w:val="18"/>
          <w:i w:val="1"/>
          <w:iCs w:val="1"/>
          <w:color w:val="auto"/>
        </w:rPr>
        <w:t>Van Luven v. Soon-Shiong et al.</w:t>
      </w:r>
      <w:r>
        <w:rPr>
          <w:rFonts w:ascii="Times New Roman" w:cs="Times New Roman" w:eastAsia="Times New Roman" w:hAnsi="Times New Roman"/>
          <w:sz w:val="18"/>
          <w:szCs w:val="18"/>
          <w:color w:val="auto"/>
        </w:rPr>
        <w:t>, Case No. 3:24-cv-02014-GPCL-VET. The plaintiff purports to bring the action derivatively on behalf of ImmunityBio, and ImmunityBio is a nominal defendant to the action. Stemming from the company’s May 11, 2023 disclosure that it had received an FDA CRL stating, among other things, that it could not approve the company’s BLA for its then product candidate, ANKTIVA with BCG for the treatment of adult patients with BCG-unresponsive NMIBC with CIS with or without papillary tumors, in its present form due to deficiencies related to its pre-license inspection of the company’s third-party CMOs, the derivative complaint alleges that the individual defendants authorized or permitted materially false and misleading statements and/or omitted material adverse facts regarding ImmunityBio’s third-party CMOs and the prospects for regulatory approval of the ANKTIVA BLA. The derivative complaint asserts claims for violations of Section 14(a) of the Exchange Act as well as claims for breach of fiduciary duty, unjust enrichment, and waste of corporate assets. The derivative complaint seeks unspecified damages on behalf of the company, disgorgement or restitution, declaratory relief, and an award of costs and expenses to the derivative plaintiff, including attorneys’ fees. The court has entered an order extending the defendants’ deadline to respond to the complaint to May 30, 2025.</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February 25, 2025, a second shareholder derivative action was filed in the United States District Court for the Southern District of California against certain members of our Board of Directors and certain officers, captioned </w:t>
      </w:r>
      <w:r>
        <w:rPr>
          <w:rFonts w:ascii="Times New Roman" w:cs="Times New Roman" w:eastAsia="Times New Roman" w:hAnsi="Times New Roman"/>
          <w:sz w:val="18"/>
          <w:szCs w:val="18"/>
          <w:i w:val="1"/>
          <w:iCs w:val="1"/>
          <w:color w:val="auto"/>
        </w:rPr>
        <w:t>Barbieri v. Soon-Shiong, et al</w:t>
      </w:r>
      <w:r>
        <w:rPr>
          <w:rFonts w:ascii="Times New Roman" w:cs="Times New Roman" w:eastAsia="Times New Roman" w:hAnsi="Times New Roman"/>
          <w:sz w:val="18"/>
          <w:szCs w:val="18"/>
          <w:color w:val="auto"/>
        </w:rPr>
        <w:t xml:space="preserve">., Case No. 3:25-cv-00416-AGS-JLB. The plaintiff purports to bring the action derivatively on behalf of ImmunityBio, and ImmunityBio is a nominal defendant in the action. This lawsuit asserts substantially similar claims and allegations as </w:t>
      </w:r>
      <w:r>
        <w:rPr>
          <w:rFonts w:ascii="Times New Roman" w:cs="Times New Roman" w:eastAsia="Times New Roman" w:hAnsi="Times New Roman"/>
          <w:sz w:val="18"/>
          <w:szCs w:val="18"/>
          <w:i w:val="1"/>
          <w:iCs w:val="1"/>
          <w:color w:val="auto"/>
        </w:rPr>
        <w:t>Van Luven</w:t>
      </w:r>
      <w:r>
        <w:rPr>
          <w:rFonts w:ascii="Times New Roman" w:cs="Times New Roman" w:eastAsia="Times New Roman" w:hAnsi="Times New Roman"/>
          <w:sz w:val="18"/>
          <w:szCs w:val="18"/>
          <w:color w:val="auto"/>
        </w:rPr>
        <w:t>. The court entered an order extending the defendants’ deadline to respond to the complaint to May 30, 2025.</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February 26, 2025, a third shareholder derivative action was filed in the United States District Court for the Southern District of California against certain current and former members of our Board of Directors and certain officers, captioned </w:t>
      </w:r>
      <w:r>
        <w:rPr>
          <w:rFonts w:ascii="Times New Roman" w:cs="Times New Roman" w:eastAsia="Times New Roman" w:hAnsi="Times New Roman"/>
          <w:sz w:val="18"/>
          <w:szCs w:val="18"/>
          <w:i w:val="1"/>
          <w:iCs w:val="1"/>
          <w:color w:val="auto"/>
        </w:rPr>
        <w:t>Shin v. Soon-Shiong, et al.</w:t>
      </w:r>
      <w:r>
        <w:rPr>
          <w:rFonts w:ascii="Times New Roman" w:cs="Times New Roman" w:eastAsia="Times New Roman" w:hAnsi="Times New Roman"/>
          <w:sz w:val="18"/>
          <w:szCs w:val="18"/>
          <w:color w:val="auto"/>
        </w:rPr>
        <w:t xml:space="preserve">, Case No. 3:25-cv-00423-JAH-DDL. The plaintiff purports to bring the action derivatively on behalf of ImmunityBio, and ImmunityBio is a nominal defendant in the action. This lawsuit asserts substantially similar claims and allegations as Van </w:t>
      </w:r>
      <w:r>
        <w:rPr>
          <w:rFonts w:ascii="Times New Roman" w:cs="Times New Roman" w:eastAsia="Times New Roman" w:hAnsi="Times New Roman"/>
          <w:sz w:val="18"/>
          <w:szCs w:val="18"/>
          <w:i w:val="1"/>
          <w:iCs w:val="1"/>
          <w:color w:val="auto"/>
        </w:rPr>
        <w:t>Luven</w:t>
      </w:r>
      <w:r>
        <w:rPr>
          <w:rFonts w:ascii="Times New Roman" w:cs="Times New Roman" w:eastAsia="Times New Roman" w:hAnsi="Times New Roman"/>
          <w:sz w:val="18"/>
          <w:szCs w:val="18"/>
          <w:color w:val="auto"/>
        </w:rPr>
        <w:t>. The court entered an order extending the defendants’ deadline to respond to the complaint to May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Carlson Derivative Action</w:t>
      </w:r>
    </w:p>
    <w:p>
      <w:pPr>
        <w:spacing w:after="0" w:line="11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 xml:space="preserve">On November 20, 2024, a shareholder derivative action was filed in the Delaware Court of Chancery against the company’s Founder, Executive Chairman, Global Chief Scientific and Medical Officer and principal stockholder, Dr. Soon-Shiong, certain affiliates of Dr. Soon-Shiong, certain other members of management, and members of the company’s Board of Directors who serve on the Board of Directors’ Related Party Transaction Committee, captioned </w:t>
      </w:r>
      <w:r>
        <w:rPr>
          <w:rFonts w:ascii="Times New Roman" w:cs="Times New Roman" w:eastAsia="Times New Roman" w:hAnsi="Times New Roman"/>
          <w:sz w:val="17"/>
          <w:szCs w:val="17"/>
          <w:i w:val="1"/>
          <w:iCs w:val="1"/>
          <w:color w:val="auto"/>
        </w:rPr>
        <w:t>Carlson v. Soon-Shiong, et al.,</w:t>
      </w:r>
      <w:r>
        <w:rPr>
          <w:rFonts w:ascii="Times New Roman" w:cs="Times New Roman" w:eastAsia="Times New Roman" w:hAnsi="Times New Roman"/>
          <w:sz w:val="17"/>
          <w:szCs w:val="17"/>
          <w:color w:val="auto"/>
        </w:rPr>
        <w:t xml:space="preserve"> Case No. 2024-1195-VCL. The plaintiff purports to bring the action derivatively on behalf of ImmunityBio, and ImmunityBio is a nominal defendant to the action. The plaintiff alleges that the previously disclosed September 2023 financing transactions between the company and Dr. Soon-Shiong and his affiliates were not fair to the company. In particular, the plaintiff alleges that the transactions were timed to benefit Dr. Soon-Shiong and his affiliates during a temporary decline in the company’s stock price, resulting in an artificially low conversion price for certain convertible promissory notes that were among the transactions, when defendants knew the company’s stock price would increase following the company’s imminent resubmission of a BLA for, and the subsequent FDA approval of, ANKTIVA with BCG for the treatment of adult patients with BCG-unresponsive NMIBC with CIS with or without papillary tumors. The complaint alleges that defendants breached their fiduciary duties by entering into these transactions at that time and on those terms, thereby unjustly enriching Dr. Soon-Shiong and his affiliates. The derivative complaint seeks unspecified damages on behalf of the company, corporate governance changes with respect to related-party transactions, and an award of costs and expenses to the derivative plaintiff, including attorneys’ fees. On February 17, 2025, the defendants filed a motion to dismiss the complaint. On May 2, 2025, instead of filing an opposition to defendants’ motion to dismiss, the plaintiff filed an amended complaint. This amended complaint added certain additional members of the company’s Board of Directors as defendants but did not add new claims. Defendants’ response to the amended complaint is due July 16, 2025.</w:t>
      </w:r>
    </w:p>
    <w:p>
      <w:pPr>
        <w:spacing w:after="0" w:line="200" w:lineRule="exact"/>
        <w:rPr>
          <w:sz w:val="20"/>
          <w:szCs w:val="20"/>
          <w:color w:val="auto"/>
        </w:rPr>
      </w:pPr>
    </w:p>
    <w:p>
      <w:pPr>
        <w:spacing w:after="0" w:line="3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21" w:lineRule="exact"/>
        <w:rPr>
          <w:sz w:val="20"/>
          <w:szCs w:val="20"/>
          <w:color w:val="auto"/>
        </w:rPr>
      </w:pPr>
    </w:p>
    <w:p>
      <w:pPr>
        <w:ind w:left="980" w:right="60" w:hanging="324"/>
        <w:spacing w:after="0" w:line="261"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vertically-integrated commercial stage biotechnology company with a single approved product and a limited operating history as a commercial company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71"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anticipate needing additional financing to fund our operations, complete the commercialization of our approved product, conduct clinical trials, and develop and commercialize of our other product candidates.</w:t>
      </w:r>
    </w:p>
    <w:p>
      <w:pPr>
        <w:spacing w:after="0" w:line="53"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RIPA imposes Revenue Interest Payment obligations, which may adversely affect our financial position and results of operations, as well as affirmative and negative covenants, which restrict our business operations.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and revenue interest liability could adversely affect our cash flows and limit our flexibility to raise additional capital.</w:t>
      </w:r>
    </w:p>
    <w:p>
      <w:pPr>
        <w:spacing w:after="0" w:line="117" w:lineRule="exact"/>
        <w:rPr>
          <w:rFonts w:ascii="Times New Roman" w:cs="Times New Roman" w:eastAsia="Times New Roman" w:hAnsi="Times New Roman"/>
          <w:sz w:val="18"/>
          <w:szCs w:val="18"/>
          <w:b w:val="1"/>
          <w:bCs w:val="1"/>
          <w:color w:val="auto"/>
        </w:rPr>
      </w:pPr>
    </w:p>
    <w:p>
      <w:pPr>
        <w:ind w:left="980" w:right="260" w:hanging="324"/>
        <w:spacing w:after="0" w:line="266"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21" w:lineRule="exact"/>
        <w:rPr>
          <w:sz w:val="20"/>
          <w:szCs w:val="20"/>
          <w:color w:val="auto"/>
        </w:rPr>
      </w:pPr>
    </w:p>
    <w:p>
      <w:pPr>
        <w:ind w:left="980" w:hanging="324"/>
        <w:spacing w:after="0" w:line="261"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spacing w:after="0" w:line="71"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limited experience as a commercial company and the sales, marketing, and distribution of our approved product or any future approved products may be unsuccessful or less successful than anticipated.</w:t>
      </w:r>
    </w:p>
    <w:p>
      <w:pPr>
        <w:spacing w:after="0" w:line="53"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other therapies, which expose us to additional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21" w:lineRule="exact"/>
        <w:rPr>
          <w:sz w:val="20"/>
          <w:szCs w:val="20"/>
          <w:color w:val="auto"/>
        </w:rPr>
      </w:pPr>
    </w:p>
    <w:p>
      <w:pPr>
        <w:ind w:left="980" w:right="280" w:hanging="324"/>
        <w:spacing w:after="0" w:line="256"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relied and will continue to rely on third parties and related parties to conduct some of our preclinical studies and clinical trials, manufacture products, and perform many essential services for any products that we commercialize. Any failure by a third party or related party to perform as expected, to comply with legal and regulatory requirements, to manufacture products in compliance with cGMP, or to conduct the clinical trials according to GCP guidelines, and in a timely manner, may delay or prevent our ability to commercialize our approved product, to seek or obtain regulatory approval for or commercialize our other product candidates or may subject us to regulatory sanctions.</w:t>
      </w:r>
    </w:p>
    <w:p>
      <w:pPr>
        <w:spacing w:after="0" w:line="79" w:lineRule="exact"/>
        <w:rPr>
          <w:rFonts w:ascii="Times New Roman" w:cs="Times New Roman" w:eastAsia="Times New Roman" w:hAnsi="Times New Roman"/>
          <w:sz w:val="18"/>
          <w:szCs w:val="18"/>
          <w:b w:val="1"/>
          <w:bCs w:val="1"/>
          <w:color w:val="auto"/>
        </w:rPr>
      </w:pPr>
    </w:p>
    <w:p>
      <w:pPr>
        <w:ind w:left="980" w:right="180" w:hanging="324"/>
        <w:spacing w:after="0" w:line="261"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successfully commercialize our approved product or any other product candidates if approved.</w:t>
      </w:r>
    </w:p>
    <w:p>
      <w:pPr>
        <w:spacing w:after="0" w:line="200" w:lineRule="exact"/>
        <w:rPr>
          <w:sz w:val="20"/>
          <w:szCs w:val="20"/>
          <w:color w:val="auto"/>
        </w:rPr>
      </w:pP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160" w:hanging="324"/>
        <w:spacing w:after="0" w:line="266"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and we may not realize the benefits of such alliances or licensing arrangements, and we may engage in disputes with such third parties, which can be costly and time consuming.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21" w:lineRule="exact"/>
        <w:rPr>
          <w:sz w:val="20"/>
          <w:szCs w:val="20"/>
          <w:color w:val="auto"/>
        </w:rPr>
      </w:pPr>
    </w:p>
    <w:p>
      <w:pPr>
        <w:ind w:left="980" w:right="140" w:hanging="324"/>
        <w:spacing w:after="0" w:line="266"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we have one FDA-approved product, we may be unable to obtain additional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spacing w:after="0" w:line="6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mean that we will be successful in obtaining regulatory approval in other jurisdictions.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though we have a regulatory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product candidates.</w:t>
      </w:r>
    </w:p>
    <w:p>
      <w:pPr>
        <w:spacing w:after="0" w:line="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establish adequate sales, marketing and distribution capabilities, we may not be successful commercializing our approved product or other product candidates if and when they are approved.</w:t>
      </w:r>
    </w:p>
    <w:p>
      <w:pPr>
        <w:spacing w:after="0" w:line="53"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Problems related to large-scale commercial manufacturing could cause delays in product launches, an increase in product costs, product recalls or product shortages.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sz w:val="20"/>
          <w:szCs w:val="20"/>
          <w:color w:val="auto"/>
        </w:rPr>
      </w:pPr>
    </w:p>
    <w:p>
      <w:pPr>
        <w:ind w:left="980" w:right="100" w:hanging="324"/>
        <w:spacing w:after="0" w:line="266"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obtain, maintain, protect and enforce patent protection and other proprietary rights for our approved product and our other product candidates and technologies, we may not be able to compete effectively or operate profitably and our ability to prevent our competitors from commercializing similar or identical technology and we would be adversely affected.</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of our owned or in-licensed patent applications do not issue as patents in any jurisdiction, we may not be able to compete effectively.</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58"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approved product and other product candidates, or may put our patents and other proprietary rights at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980" w:right="260" w:hanging="324"/>
        <w:spacing w:after="0" w:line="282"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our Founder, Executive Chairman, Global Chief Scientific and Medical Officer and principal stockholder, has significant interests in other companies which may conflict with our interests.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through his voting control of the company, has the ability to control actions that require stockholder approval.</w:t>
      </w:r>
    </w:p>
    <w:p>
      <w:pPr>
        <w:spacing w:after="0" w:line="117"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our common stock has been and may continue to be volatile, and investors may have difficulty selling their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vertically-integrated commercial stage biotechnology company with a single approved product and a limited operating history as a commercial company and have many other product candidates at the clinical stage. We have a history of operating losses, and we expect to continue to incur losses and may never be profitable, which, together with our limited operating history, makes it difficult to assess our future viability.</w:t>
      </w:r>
    </w:p>
    <w:p>
      <w:pPr>
        <w:spacing w:after="0" w:line="6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vertically-integrated commercial stage biotechnology company with a limited operating history as a commercial company upon which you can evaluate our business and prospects regarding the commercialization of our approved product and we have a broad portfolio of product candidates at various stages of development. 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April 22, 2024, the FDA approved ANKTIVA with BCG for the treatment of adult patients with BCG-unresponsive NMIBC with CIS with or without papillary tumors for commercial sale, and we have commenced generating revenue, although we expect it to take some time to generate significant revenue from our approved product. We can provide no assurance when, or if, this will occur. We do not expect additional revenue from our other product candidates unless and until we obtain regulatory approval of and commercialize any of such other product candidates, and we do not know when, or if, this will occur. In addition, we have limited experience and have not yet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 third party to do so on our behalf, and conducting sales and marketing activities necessary for successful product commercialization. Because of the numerous risks and uncertainties associated with the commercialization of our approved product and other development efforts, we are unable to predict when we may become profitable, if at all.</w:t>
      </w:r>
    </w:p>
    <w:p>
      <w:pPr>
        <w:spacing w:after="0" w:line="188" w:lineRule="exact"/>
        <w:rPr>
          <w:sz w:val="20"/>
          <w:szCs w:val="20"/>
          <w:color w:val="auto"/>
        </w:rPr>
      </w:pPr>
    </w:p>
    <w:p>
      <w:pPr>
        <w:ind w:right="360" w:firstLine="648"/>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incurred significant losses each year, and, as of March 31, 2025, we had an accumulated deficit of $3.5 billion. We expect to continue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other product candidates. Furthermore, the timing and magnitude of sales of our approved product and other revenues remain uncertain and may take a significant amount of time to materialize.</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expect our expenses and net losses to increase significantly as we continue to commercialize our approved product, continue to develop and seek regulatory approvals for our other product candidates, and plan to commercialize other approved products, if any, as well as hire additional personnel, protect our intellectual property and incur additional costs associated with operating as a public company. Since ANKTIVA is approved for use with BCG (and currently TICE BCG is the only FDA-approved strain of BCG available in the U.S., except for rBCG available in limited quantities through our agreement with Serum Institute pursuant to an EAP), any shortage or supply chain issues associated with TICE BCG could impact the demand for ANKTIVA and our ability to commercialize our approved product.</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net losses may fluctuate significantly from quarter to quarter and year to year, depending on sales, the timing of our clinical studies and trials, associated manufacturing needs, commercialization activities of our approved product, and any of our other product candidates, if they are approved, and our expenditures on other research and development activities.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also face the risks associated with the shift from development to commercialization of new products based on innovative technologies. Our ability to achieve profitability, if ever, is dependent upon, among other things, obtaining regulatory approvals for additional product candidates and successfully commercializing our approved product, and other product candidates alone or with third parties. However, our operations may not become profitable even with commercial sales of our approved product or other product candidates, even if they are successfully developed, approved and thereafter commercialized. Even if we do become profitable, we may not be able to sustain or increase our profitability on a quarterly or annual basis. As a result, it may be more difficult for you to assess our future viability than it could have been if we had a longer operating history.</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anticipate needing additional financing to fund our operations, complete the commercialization of our approved product, conduct clinical trials, and develop and commercialize our other product candidates. If we are unable to obtain such financing when needed or on acceptable terms, we may be unable to successfully commercialize our approved product or develop and commercialize our other product candidates. If we are unable to obtain such financing when needed or on acceptable terms, we could be forced to delay, limit, reduce, or terminate our development programs, commercialization efforts, and/or other operations.</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has been in the form of related-party promissory notes. As of March 31, 2025, our indebtedness was comprised of a $505.0 million convertible promissory note held by an entity affiliated with Dr. Soon-Shiong.</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we held cash and cash equivalents, and marketable securities totaling $61.6 million. We will need to obtain additional financing to fund our future operations, including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or marketing and/or distribution arrangements. However, we may be unable to raise additional funds or enter into such other arrangements when needed on favorable terms, or at all.</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To the extent that we raise additional capital through the sale of equity or equity-linked securities (including warrants), convertible debt, our shelf registration statements, or other offerings, or if any of our current debt is converted into equity or if our existing warrants are exercised, your ownership interest will be diluted, and the liquidation or other preferences may adversely affect your rights as a stockholder. If we incur additional indebtedness, our fixed payment obligations will increase, and we may have to comply with certain restrictive covenants that are similar to those associated with the RIPA,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or exercise our Call Option (as defined in the RIPA) to purchase the outstanding revenue interest liability, which will require us to generate a significant amount of cash flow to offset these outflows.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See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—Our payment obligations under the RIPA may adversely affect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position and results of operations and our ability to raise additional capital which in turn may increase our vulnerability to adverse regulatory developments or economic or business downturns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Revenue Interest Purchase Agreement”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the “Notes to Unaudited Condensed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Consolidated Financial Statements” that appears in Part I, Item 1. “Financial Information” of this Quarterly Report for more information.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December 29, 2023, we entered into the RIPA with Infinity and Oberland. Pursuant to the RIPA, Oberland acquired certain Revenue Interests from us for a gross purchase price of $200.0 million paid on closing, less certain transaction expenses. In addition, on May 13, 2024, Oberland purchased additional Revenue Interests from us in exchange for a $100.0 million Second Payment, which we requested upon satisfaction of certain conditions specified in the RIPA, including the receipt of approval from the FDA of our BLA for ANKTIVA with BCG for the treatment of adult patients with BCG-unresponsive NMIBC with CIS with or without papillary tumors on or before June 30, 2024. In consideration for the aforementioned payments, Oberland has the right to receive quarterly Revenue Interest Payments from us based on, among other things, our worldwide net sales, excluding those in China, which are tiered payments ranging from 4.50% to 10.00%, subject to increase or decrease following December 31, 2029 depending on whether the aggregate payments made to Oberland as of that date met or exceeded the Cumulative Purchaser Payments (as defined in the RIPA). In addition, if the aggregate payments to Oberland as of December 31, 2029 do not equal or exceed the amount of the Cumulative Purchaser Payments, then we are obligated to make a one-time payment to Oberland in an amount equal to 100% of the Cumulative Purchaser Payments, less the aggregate amount of our previous payments to Oberland as of December 31, 2029 (the True-Up Payment, as defined in the RIPA).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Information” of this Quarterly Report for more information.</w:t>
      </w:r>
    </w:p>
    <w:p>
      <w:pPr>
        <w:spacing w:after="0" w:line="18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RIPA and our payment obligations to Oberland could have important negative consequences to holders of our securities. For example, a portion of our cash flow from operations will be needed to make required payments to Oberland and will not be available to fund future operations.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sales will result in dilution to our stockholders. There is no assurance that if we are required to secure funding we can do so on terms acceptable to us, or at all. Failure to pay amounts owed to Oberland when due would result in a default under the RIPA and could result in foreclosure on all or substantially all of our assets, which would have a material adverse effect on our financial condition and business operations.</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RIPA contains affirmative and negative operational covenants and events of default, which may prevent us from capitalizing on business opportunities and taking some corporate actions and give rise to a Put Option in favor of Oberland, which could have a material adverse effect on our financial condition and business operations.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RIPA contains affirmative and negative covenants and events of default, including covenants and restrictions that, among other things, restrict our ability to incur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Additionally, Oberland has a Put Option enabling them to terminate the RIPA and to require the company to repurchase the Revenue Interests upon enumerated events such as a bankruptcy event, failure to make a payment under the RIPA, an uncured material breach, default on certain third-party agreements, a breach or default under any subordination agreements with respect to indebtedness to existing stockholders, any right to repurchase or accelerate debt instruments like permitted convertible notes, existing stockholder indebtedness, or subordinated notes during certain time periods, judgments in excess of certain amounts against us, a material adverse effect, the loss of regulatory approval of our approved product, or a change of control. The triggering of the Put Option, including by our failure to comply with these covenants, would permit Oberland to declare certain amounts to be immediately due and payable. If we were to default under the terms of the RIPA, including by failure to make such accelerated payments, Oberland could exercise remedies, including initiating foreclosure proceedings against all or substantially all of our assets. Oberland’s right to repayment is senior to the rights of the holders of our common stock. Any triggering of the Put Option or other declaration by Oberland of an event of default under the RIPA could significantly harm our financial condition, business and prospects and could cause the price of our common stock to decline.</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and revenue interest liability could adversely affect our cash flows and limit our flexibility to raise additional capital.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significant amount of debt and a revenue interest liability and may need to incur additional debt to support our growth. As of</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March 31, 2025, our indebtedness was comprised of a $505.0 million convertible promissory note held by an entity affiliated with Dr. Soon-Shiong and a revenue interest liability with Oberland under the RIPA in excess of $300.0 million. The total amount paid to Oberland depends on when we repay this debt.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Interest Purchase Agreement”</w:t>
      </w:r>
      <w:r>
        <w:rPr>
          <w:rFonts w:ascii="Times New Roman" w:cs="Times New Roman" w:eastAsia="Times New Roman" w:hAnsi="Times New Roman"/>
          <w:sz w:val="18"/>
          <w:szCs w:val="18"/>
          <w:color w:val="auto"/>
        </w:rPr>
        <w:t xml:space="preserve"> of the “Notes to Unaudited Condensed Consolidated Financial Statements” that appears in Part I, Item 1. “Financial Information” of this Quarterly Report for more information. Our substantial amount of debt could have important consequences and could:</w:t>
      </w:r>
    </w:p>
    <w:p>
      <w:pPr>
        <w:spacing w:after="0" w:line="79" w:lineRule="exact"/>
        <w:rPr>
          <w:sz w:val="20"/>
          <w:szCs w:val="20"/>
          <w:color w:val="auto"/>
        </w:rPr>
      </w:pPr>
    </w:p>
    <w:p>
      <w:pPr>
        <w:ind w:left="980" w:right="120" w:hanging="324"/>
        <w:spacing w:after="0" w:line="266"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us to dedicate a substantial portion of our cash and cash equivalents to make interest and principal payments on our debt and revenue interest liability payments, reducing the availability of our cash and cash equivalents and cash flow from operations to fund future capital expenditures, working capital, execution of our strategy and other general corporate requirements;</w:t>
      </w:r>
    </w:p>
    <w:p>
      <w:pPr>
        <w:spacing w:after="0" w:line="6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cost of borrowing and even limit our ability to access additional debt to fund future growth;</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vulnerability to general adverse economic and industry conditions and adverse changes in governmental regulations;</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disadvantage compared with our competitors; and</w:t>
      </w:r>
    </w:p>
    <w:p>
      <w:pPr>
        <w:spacing w:after="0" w:line="53"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ability to borrow additional funds, even when necessary to maintain adequate liquidity, which would also limit our ability to further expand our business.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results of operations and financial condition.</w:t>
      </w:r>
    </w:p>
    <w:p>
      <w:pPr>
        <w:spacing w:after="0" w:line="22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refinance the related-party promissory note or revenue interest liability or what terms will be available in the market at the time of refinancing. Furthermore, if prevailing interest rates or other factors at the time of refinancing result in higher interest rates upon refinancing, then the interest expense relating to the refinancing would increase. These risks could materially adversely affect our financial condition, cash flows and results of operations.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spacing w:after="0" w:line="6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RDO during the year ended December 31, 2023, we entered into warrant agreements with certain institutional investors that allow such investors to purchase up to an aggregate total of 28,641,911 shares of our common stock at an exercise price of $3.2946 per share. As of March 31, 2025, 6,399,171 warrants were exercisable with an expiration date of July 24, 2026.</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account for the warrants as derivative instruments, and changes in the fair value of the warrants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on the condensed consolidated statement of operations for each reporting period. As of March 31, 2025, the fair value of warrant liabilities included in the condensed consolidated balance sheet was $9.0 million. We use the Black-Scholes option pricing model to determine the fair value of the warrants. As a result, the valuation of these derivative instruments is subjective, and the Black-Scholes option pricing model requires the input of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account for the revenue interest liability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condensed consolidated statement of operations. The interest rate on the liability and the underlying value of the bifurcated embedded derivative may vary during the term of the agreement depending on a number of factors, including the level of actual and forecasted net sales, and in the case of the derivative, specific probabilities associated with RIPA Put/Call events or Test Date payments underlying our Monte Carlo Simulation valuation technique. The company evaluates the interest rate quarterly based on actual and forecasted net sales utilizing the prospective method. A significant increase or decrease in actual or forecasted net sales will materially impact the revenue interest liability and/or the bifurcated embedded derivative, interest expense, and the time period for repayment.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Fluctuations in warrant, revenue interest liability, and derivative values,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r>
        <w:rPr>
          <w:rFonts w:ascii="Times New Roman" w:cs="Times New Roman" w:eastAsia="Times New Roman" w:hAnsi="Times New Roman"/>
          <w:sz w:val="18"/>
          <w:szCs w:val="18"/>
          <w:color w:val="373739"/>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could have a material effect on our reported financial results.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entered into a second amended and restated promissory note with Nant Capital on December 10, 2024 in connection with an equity offering. Pursuant to the terms of the second amended and restated promissory note, Tranche 1 of the prior promissory note (the December 2023 Promissory Note) with a principal amount of $125.0 million and Tranche 2 of the December 2023 Promissory Note with a principal amount of $380.0 million were combined into one convertible promissory note with a principal amount of $505.0 million (the December 2024 Promissory Note).</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December 2024 Promissory Note was accounted for as part of a debt extinguishment, in accordance with FASB ASC Topic 470-50, </w:t>
      </w:r>
      <w:r>
        <w:rPr>
          <w:rFonts w:ascii="Times New Roman" w:cs="Times New Roman" w:eastAsia="Times New Roman" w:hAnsi="Times New Roman"/>
          <w:sz w:val="18"/>
          <w:szCs w:val="18"/>
          <w:i w:val="1"/>
          <w:iCs w:val="1"/>
          <w:color w:val="auto"/>
        </w:rPr>
        <w:t>Debt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Modifications and Extinguishments </w:t>
      </w:r>
      <w:r>
        <w:rPr>
          <w:rFonts w:ascii="Times New Roman" w:cs="Times New Roman" w:eastAsia="Times New Roman" w:hAnsi="Times New Roman"/>
          <w:sz w:val="18"/>
          <w:szCs w:val="18"/>
          <w:color w:val="auto"/>
        </w:rPr>
        <w:t>(ASC 470-50), as the terms of the December 2024 Promissory Note were substantially different than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2023 Promissory Note. The company elected the fair value option of accounting under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for the December 2024 Promissory Note. As a result of the fair value option election, the December 2024 Promissory Note and the embedded derivative were accounted for as a single instrument in accordance with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Changes in fair value of the December 2024 Promissory Note are recorded as a component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the consolidated statement of operations. There is no current observable market for the December 2024 Promissory Note and, as such, we determined the fair value by using the binomial lattice model with significant unobservable inputs including an expected market yield, an expected volatility, and a risk-free rate. The changes in fair value of the December 2024 Promissory Note may have a substantial effect and may have a negative impact on our statement of financial position and statement of operations. It is difficult to predict the effect on our future financial results as the significant inputs are outside of our control.</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our cash on hand in various financial instruments which are subject to risks that could adversely affect our business, results of operations, liquidity and financial condition.</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typically invested our cash in a variety of financial instruments, including investment-grade short- to intermediate-term corporate debt securities, government-sponsored securities and European bonds; however, after our entry into the RIPA, we can no longer invest our excess funds in corporate or European bonds. Certain of our investments are subject to credit, liquidity, market, and interest rate risk. Such risks, including the failure or severe financial distress of the financial institutions that hold our cash and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To manage the risk to our investments, we maintain an investment policy that, among other things, limits the amount that we may invest in any one issue or any single issuer and requires us to only invest in high credit quality securities to preserve liquidity.</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and research and development credits to offset future taxable income may be subject to certain limitations.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when the aggregate stock ownership of one or more stockholders or groups of stockholders who own at least 5% of a corporation’s stock increases its ownership by more than 50 percentage points over its lowest ownership percentage within a specified testing period (“ownership shift”). We have not conducted a complete study to assess whether a change of control has occurred or whether there have been multiple changes of control since inception due to the significant complexity and cost associated with such a study. If we have experienced a change of control, as defined by Section 382, at any time since inception (including as a result of the March 2021 merger which pursuant to which NantKwest and NantCell combined their businesses),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we will need to raise substantial additional funding to finance our operations, we may experience further ownership shifts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TCJA, as modified by the Coronavirus Aid, Relief, and Economic Security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apply under state tax laws. In addition, some states, e.g., California, may suspend the use of NOL carryovers that may result in state taxable income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may be subject to challenge by the IRS or other taxing authorities.</w:t>
      </w:r>
    </w:p>
    <w:p>
      <w:pPr>
        <w:spacing w:after="0" w:line="121"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Our intercompany relationships are subject to complex transfer pricing regulations administered by taxing authorities in various jurisdictions. The relevant tax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condensed consolidated financial statements reflect adequate reserves to cover such a contingency, but there can be no assurances in that regard.</w:t>
      </w:r>
    </w:p>
    <w:p>
      <w:pPr>
        <w:spacing w:after="0" w:line="1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new tax statutes or regulations, examination of our income or other tax returns could expose us to greater than anticipated tax liabilities.</w:t>
      </w:r>
    </w:p>
    <w:p>
      <w:pPr>
        <w:spacing w:after="0" w:line="5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tax laws applicable to our business, including the laws of the U.S. and other jurisdictions, are subject to change, interpretation and certain jurisdictions may aggressively interpret their laws to raise additional tax revenue. It is possible that tax authorities may disagree with certain positions we have taken, are currently taking or will take,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the condensed consolidated financial statements and may materially affect our financial results in the period or periods for which such determination is made.</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For example, in August 2022, the U.S. enacted the IRA, which imposes a 15% minimum tax on the adjusted financial statement income of certain large corporations, as well as a 1% percent excise tax on corporate stock repurchases by publicly traded companies. Additionally, for taxable years beginning on or after January 1, 2022, the Code eliminated the right to deduct research and development expenditures currently and requires taxpayers to capitalize and amortize U.S. and foreign research and development expenditures over 5 and 15 tax years, respectively. These updates, as well as any other changes to tax laws that are enacted, could adversely affect our tax liability.</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Approved Product and our Other Product Candidates</w:t>
      </w:r>
    </w:p>
    <w:p>
      <w:pPr>
        <w:spacing w:after="0" w:line="11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successful commercialization of our approved product and the success and regulatory approval of our other product candidates. If we are unable to successfully commercialize our approved product or successfully complete clinical development of, obtain regulatory approval for, or commercialize, our other product candidates, or if we experience delays in doing so, our business will be materially harmed.</w:t>
      </w:r>
    </w:p>
    <w:p>
      <w:pPr>
        <w:spacing w:after="0" w:line="4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Prior to the approval of ANKTIVA with BCG for the treatment of adult patients with BCG-unresponsive NMIBC with CIS with or without papillary tumors for commercial sale, we primarily generated revenues from non-exclusive license agreements related to our cell lines, the sale of our bioreactors and related consumables, and grant programs. The company expects to continue to generate revenue from these programs.</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Until April 2024, we had no clinical products approved for commercial sale and thus had not generated any revenue from therapeutic and vaccine product candidates that are or were under development. In addition, now that we have received FDA approval for ANKTIVA with BCG for the treatment of adult patients with BCG-unresponsive NMIBC with CIS with or without papillary tumors, we have begun to generate revenue although we expect it to take some time to generate significant revenue from our approved product and we can provide no assurance when, or if, this will occur. We began commercial distribution of our approved product in May 2024; however, we can provide no assurance with respect to our future revenues, both in terms of amounts and pace, market acceptance, reimbursement from third-party payors, or the profitability of our approved product or any other product candidate for which we may obtain approval. We are required to comply with certain post-marketing commitments, including completion of our QUILT 3.032 clinical trial and annual reporting for up to four years, with a final report submission to FDA by the end of 2029. Our business currently depends heavily on our ability to successfully commercialize our approved product in the U.S. and in other jurisdictions where we may obtain marketing approval. We may never be able to successfully commercialize our approved product or meet our, or analysts or other third parties’ expectations with respect to revenues. We have never marketed, sold, or distributed for commercial use any pharmaceutical product other than our approved product, with respect to which we only recently began efforts to initiate commercial sales. There is no guarantee that the infrastructure, systems, processes, policies, relationships, and materials we have built for the launch and commercialization of our approved product in the U.S. or elsewhere will be sufficient for us to achieve success at the levels we expect.</w:t>
      </w:r>
    </w:p>
    <w:p>
      <w:pPr>
        <w:spacing w:after="0" w:line="19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We may encounter issues and challenges in commercializing our approved product and generating substantial revenues. We may also encounter challenges related to reimbursement of our approved product, including potential limitations in the scope, breadth, availability, or amount of reimbursement covering our approved product. Similarly, healthcare settings or patients may determine that the financial burdens of treatment are not acceptable and as a result physicians may be reluctant to recommend our approved product to their patients. We may face other limitations or issues related to the price of our approved product. Our results may also be negatively impacted if we have not adequately sized our field teams or our physician segmentation and our targeting strategy is inadequate or if we encounter deficiencies or inefficiencies in our infrastructure or processes. Other factors that may hinder our ability to successfully commercialize approved product, or any of our other product candidates if or when approved and generate substantial revenues, include:</w:t>
      </w:r>
    </w:p>
    <w:p>
      <w:pPr>
        <w:spacing w:after="0" w:line="11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acceptance of our approved product by patients and the medical community, including industry groups and third-party payors;</w:t>
      </w:r>
    </w:p>
    <w:p>
      <w:pPr>
        <w:spacing w:after="0" w:line="171" w:lineRule="exact"/>
        <w:rPr>
          <w:rFonts w:ascii="Times New Roman" w:cs="Times New Roman" w:eastAsia="Times New Roman" w:hAnsi="Times New Roman"/>
          <w:sz w:val="18"/>
          <w:szCs w:val="18"/>
          <w:b w:val="1"/>
          <w:bCs w:val="1"/>
          <w:color w:val="auto"/>
        </w:rPr>
      </w:pPr>
    </w:p>
    <w:p>
      <w:pPr>
        <w:ind w:left="980" w:right="260" w:hanging="324"/>
        <w:spacing w:after="0" w:line="266"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our third-party manufacturer(s) to manufacture commercial supplies of our approved product at acceptable costs, to remain in good standing with regulatory agencies, and to maintain commercially viable manufacturing processes that are, to the extent required, compliant with cGMP regulations;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remain compliant with laws and regulations that apply to us and our commercial activities;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FDA-mandated package-insert requirements and successful completion of FDA post-marketing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actual market size for our approved product, which may be different than expected;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that patients who are prescribed our drug remain on treatment;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marketing approval for our approved product outside of the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80" w:hanging="324"/>
        <w:spacing w:after="0" w:line="266"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sites, storage sites, or in transit;</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reimbursement for our approved product and physicians’ understanding regarding the same;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compete with other therapies that may emerge for the treatment of bladder cancer; and</w:t>
      </w:r>
    </w:p>
    <w:p>
      <w:pPr>
        <w:spacing w:after="0" w:line="171"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maintain, enforce, and defend third party challenges to our intellectual property rights in and to our approved product or any of our other product candidates.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of these issues could impair our ability to successfully commercialize our approved product or to generate substantial revenues or profits or to meet our expectations with respect to the amount or timing of revenues or profits. Any issues or hurdles related to our commercialization efforts may materially adversely affect our business, results of operations, financial condition, and prospects. There is no guarantee that we will be successful in our launch or commercialization efforts with respect to our approved product. We may also experience significant fluctuations in sales of our approved product from period to period and, ultimately, we may never generate sufficient revenues from our approved product to reach or maintain profitability or sustain our anticipated levels of operations. Any inability on our part to successfully commercialize our approved product in the U.S., and any other international markets where it may subsequently be approved, or any significant delay, could have a material adverse impact on our ability to execute upon our business strategy.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while we have pursued additional regulatory filings in the first quarter of 2025, such as an sBLA submission for BCG-unresponsive NMIBC patients in the papillary indication as discussed below and are pursuing and anticipating certain additional regulatory submissions in 2025 following discussions with the FDA, including a BLA for second-line and third-line treatment of patients with NSCLC who are progressing on CPIs, and a potential BLA for the indication of reversal of lymphopenia in patients receiving standard of care chemotherapy and/or radiation and for the treatment of locally advanced or metastatic pancreatic cancer, among others, the regulatory review process is dynamic and highly uncertain. Even if we are able to prepare and submit these regulatory submissions on the anticipated timeline, there can be no assurance that the FDA will accept the BLAs and other regulatory submissions for filing and review, and there can be no assurance that the FDA will ultimately approve such BLAs and submissions if accepted for filing and review. For example, on May 2, 2025, we received an RTF letter from the FDA for the sBLA we submitted for use of ANKTIVA plus BCG in BCG-unresponsive NMIBC for the indication of papillary disease stating that a randomized trial is required. We believe the RTF letter to be inconsistent with guidance received from members of Agency leadership during a January 2025 meeting to submit the sBLA based on the single-arm QUILT 3.032 trial, and we are working to reconcile the inconsistency with the FDA as expeditiously as possible. There can be no assurance that we will be successful in our efforts to resolve the RTF letter with the FDA and/or that our sBLA will be accepted for filing and review in this indication in a timely manner, or at all, without the need to conduct a new randomized trial, or that we will receive approval even if it is accepted for filing and review.</w:t>
      </w:r>
    </w:p>
    <w:p>
      <w:pPr>
        <w:spacing w:after="0" w:line="187"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Further, we have invested a significant portion of our efforts and financial resources in the development of ANKTIVA, our novel antibody-cytokine fusion protein, and our other product candidates, second-generation hAd5 vaccine candidates, and our NK cell therapy candidates. Our other product candidates will require additional clinical and non-clinical development, regulatory approval, commercial manufacturing arrangements, enhancement of our commercial organization and service providers, significant marketing efforts, and further investment before we can generate any revenue from the sale of these other potential products. We expect to invest heavily in our other current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including post-market study requirements for our approved product, which may be delayed or not completed for a number of reasons. Additionally, our ability to generate revenues from our approved product and any other combination therapy products will depend on the availability of the other therapies used in combination therewith, including BCG, with which our approved product and other product candidates are intended to be used. In particular, there has been a shortage of TICE BCG in the U.S. According to the American Urological Association, Merck &amp; Co., Inc. is the sole manufacturer and supplier of TICE BCG in the U.S. and many other countries around the world. Increasing demand for BCG has led to supply constraints for TICE BCG, which could materially impact the demand for our approved product and our ability to commercialize our approved product, and our efforts to introduce an alternative source of BCG in connection with our collaboration with Serum Institute may not be successful.</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our approved product or any future approved products may be unsuccessful or less successful than anticipated.</w:t>
      </w:r>
    </w:p>
    <w:p>
      <w:pPr>
        <w:spacing w:after="0" w:line="5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recently began commercializing our approved product in the U.S. As a company, we have no prior experience commercializing a product. The success of our commercialization efforts for our approved product and any future approved products is difficult to predict and subject to the effective execution of our business plan, including, among other things, the continued development of our internal and external sales, marketing, and distribution capabilities and our ability to navigate the significant expenses and risks involved with the development and management of such capabilities.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example, we have hired and contracted for service providers in areas to support commercialization, including in sales management, sales representatives, marketing, access and reimbursement, sales support, and distribution. There are significant expenses and risks involved with establishing our sales, marketing, and distribution capabilities, including our ability to hire or contract,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our approved product may not develop as planned or anticipated, which may require us to, among others, adjust or amend our business plan and incur significant expenses.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our approved product does not develop as quickly as planned,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17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developed an approved product and are developing other product candidates in combination with other therapies, which expose us to additional risks.</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have developed an approved product and are developing other product candidates in combination with one or more other therapies. We are studying ANKTIVA therapy along with other products and product candidates, such as BCG, CPIs, hAd5 TAAs, PD-L1 t-haNK, and M-ceNK. Since we have developed a product, or if we choose to develop other products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approved product or our other product candidates. In particular, supply chain issues or shortages of other products used in combination with our approved product or any other product candidates could impact our ability to obtain FDA regulatory approval, meet clinical trial timelines, and commercialize our approved product or other product candidates.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approved product or our other product candidates are replaced as the standard of care for the indications we choose for our approved product or any of our other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other combination therapies.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our product candidates, which would prevent or delay regulatory approval and commercialization of other product candidates.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programs of our other non-FDA-approved product candidates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other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or their contribution of effect may not be sufficient to obtain regulatory approval unless we can also show an adequate duration of response. The clinical trials for our product candidates under development may not be completed on schedule, and regulatory authorities may ultimately disagree with our chosen endpoints or may find that our studies or study results do not support product approval. The FDA or foreign regulatory authorities may not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w:t>
      </w:r>
    </w:p>
    <w:p>
      <w:pPr>
        <w:spacing w:after="0" w:line="19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shortage of TICE BCG in the U.S. may adversely impact market uptake of our approved product, ANKTIVA, and it may also delay our ability to execute our clinical trials or seek new approvals.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There is an ongoing shortage of TICE BCG in the U.S., which may adversely impact market uptake of our approved product. The TICE BCG shortage may impact the number of patients who are treated with BCG for NMIBC with CIS with or without papillary tumors, therefore limiting the pool of BCG-unresponsive patients who may be candidates for our approved product. In addition, the TICE BCG shortage may also constrain the number of patients we can treat with our approved product since our product is administered along with BCG. In addition, ANKTIVA was awarded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designation by the FDA for the treatment of BCG-naïve NMIBC with CIS. We are currently enrolling patients in our Phase 2b blinded, randomized, two-cohort, open-label, multi-center trial of intravesical BCG with ANKTIVA versus BCG alone, in BCG-naïve patients with high-grade NMIBC with CIS (Cohort A) and NMIBC papillary (Cohort B), which is impacted by the availability of TICE BCG. If we do not complete new trials timely, our ability to generate clinical safety and effectiveness data sufficient to support submission of a marketing application or commercialization of our product candidates in new indications could harm our business, operating results, prospects or financial condition. In addition, our efforts to introduce an alternative source of BCG in connection with our collaboration with Serum Institute (including a recent EAP approved by the FDA) and ultimately obtain regulatory approval for such alternative BCG supply may not be successful in mitigating the TICE BCG shortage, or at all.</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expend our limited resources on programs that do not yield successful product candidates or additional indications and may fail to capitalize on other indications and product candidates that may ultimately have been more profitable or had a greater likelihood of success.</w:t>
      </w:r>
    </w:p>
    <w:p>
      <w:pPr>
        <w:spacing w:after="0" w:line="51"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or jointly owned technologies, which in some circumstances we may be contractually obligated to pursue, relative to</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approved product and our other product candidates may not be accurate, and the actual market for our approved product and other product candidates, may be smaller than we estimate.</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our approved product, current product candidates, and any future product candidates represent novel approaches to treating various conditions, it may be difficult to accurately estimate the potential revenues from our approved product and these other product candidates. Accordingly, we may spend significant capital trying to successfully commercialize our approved product or obtain approval for our other product candidates that have an uncertain commercial market. Our projections of addressable patient populations that may benefit from treatment with our approved product or other product candidates are based on our beliefs and estimates of the therapeutic benefit and adverse event profile of our approved product and other product candidates. These estimates, which have been derived from a variety of sources, including scientific literature, preclinical and clinical studies,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approved product or other product candidates may be limited or may not be amenable to treatment with our approved product or other product candidates and may also be limited by the cost of our treatments and the reimbursement of those treatment costs by third-party payors. Even if we obtain significant market share for our approved product or other product candidates, because the potential target populations may be small, we may never achieve profitability without obtaining regulatory approval for additional indications.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complete a strategic partnership transaction on acceptable terms, or at all.</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continue to explore potential global strategic partnership transactions for commercialization of ANKTIVA for certain indications. Factors that may impact our ability, or decision, to enter into such a strategic partnership, include, without limitation, the put/call features of the RIPA that may be triggered by entry into a strategic partnership depending on its scope and terms, and ultimately there can be no assurance that we will complete a transaction on acceptable terms, or at all. If we do not execute a strategic partnership transaction in the near-term, it would eliminate a potential source of near-term funding, and may impact our ability to raise additional funds to meet our business needs. In addition, there are significant risks involved with building and managing a commercial infrastructure on a stand-alone basis, which could materialize in the event we do not execute a strategic partnership transaction, or depending on the geographic scope of any executed transaction.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or as inclusion and exclusion criteria is discussed with regulators.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be initiated or completed when we expect, or at all, may take longer and cost more to complete than we project, and may have higher costs than more conventional therapeutic technologies or drug products. We may be required to conduct additional clinical trials or modify current or future clinical trials based on feedback we receive from the FDA.</w:t>
      </w:r>
    </w:p>
    <w:p>
      <w:pPr>
        <w:spacing w:after="0" w:line="6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cannot guarantee that any current or future clinical trials will be conducted as planned or completed on schedule, if at all, or that any of our other product candidates will receive regulatory approval. A failure of one or more clinical trials can occur at any stage of the clinical trial process, other events may cause us to stop a clinical trial temporarily or permanently, and our future clinical trials may not be successful.</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Because our current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As a result, we may be required by those trial sites to pay such costs. Accordingly, our clinical trial costs are likely to be significantly higher per patient than those of more conventional therapeutic technologies or drug products.</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approval and will increase our future costs.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approved product or other product candidates, we may be required to, or we may elect to, conduct additional trials to bridge our modified approved product or other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an RTF letter or non-approval of a BLA and/or NDA.</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Clinical trial delays could shorten any period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investigator-led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spacing w:after="0" w:line="18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by the FDA or any equivalent foreign regulatory authority to perform clinical trials or studies in addition to those we currently expect to conduct, or if there are any delays in completing the clinical trials of our other product candidates, our expenses could increase substantially. On April 22, 2024, the FDA approved our product,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the FDA by the end of 2029.</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more of our product candidates are approved and commercialized, we may not become profitable.</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other product candidates will depend on our ability to:</w:t>
      </w:r>
    </w:p>
    <w:p>
      <w:pPr>
        <w:spacing w:after="0" w:line="108"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 our other product candidates competitively such that third-party and government reimbursement leads to broad product adoption;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 broad network of clinical sites for administration of our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66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market demand for our other product candidates through our own or our partner’s marketing and sales activities, and any other arrangements to promote these product candidates that we may otherwise establish;</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71" w:lineRule="exact"/>
        <w:rPr>
          <w:rFonts w:ascii="Times New Roman" w:cs="Times New Roman" w:eastAsia="Times New Roman" w:hAnsi="Times New Roman"/>
          <w:sz w:val="18"/>
          <w:szCs w:val="18"/>
          <w:b w:val="1"/>
          <w:bCs w:val="1"/>
          <w:color w:val="auto"/>
        </w:rPr>
      </w:pPr>
    </w:p>
    <w:p>
      <w:pPr>
        <w:ind w:left="980" w:right="100" w:hanging="324"/>
        <w:spacing w:after="0" w:line="266"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manufacture our other product candidates through third-party CMOs or in our own manufacturing facilities or facilities owned by entities affiliated with Dr. Soon-Shiong in sufficient quantities and at acceptable quality and manufacturing cost to meet regulatory requirements and commercial demand at launch and thereafter;</w:t>
      </w:r>
    </w:p>
    <w:p>
      <w:pPr>
        <w:spacing w:after="0" w:line="121" w:lineRule="exact"/>
        <w:rPr>
          <w:rFonts w:ascii="Times New Roman" w:cs="Times New Roman" w:eastAsia="Times New Roman" w:hAnsi="Times New Roman"/>
          <w:sz w:val="18"/>
          <w:szCs w:val="18"/>
          <w:b w:val="1"/>
          <w:bCs w:val="1"/>
          <w:color w:val="auto"/>
        </w:rPr>
      </w:pPr>
    </w:p>
    <w:p>
      <w:pPr>
        <w:ind w:left="980" w:right="78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07" w:lineRule="exact"/>
        <w:rPr>
          <w:rFonts w:ascii="Times New Roman" w:cs="Times New Roman" w:eastAsia="Times New Roman" w:hAnsi="Times New Roman"/>
          <w:sz w:val="18"/>
          <w:szCs w:val="18"/>
          <w:b w:val="1"/>
          <w:bCs w:val="1"/>
          <w:color w:val="auto"/>
        </w:rPr>
      </w:pPr>
    </w:p>
    <w:p>
      <w:pPr>
        <w:ind w:left="980" w:right="60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commercialize any of our other product candidates that receive regulatory approval;</w:t>
      </w:r>
    </w:p>
    <w:p>
      <w:pPr>
        <w:spacing w:after="0" w:line="171"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market acceptance of our other product candidates by patients, the medical community, and third-party payors;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appropriate reimbursement for our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effectively compete with other therapies or competitors;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launch, ensure that our approved product will be used as directed and that additional unexpected safety risks will not arise.</w:t>
      </w:r>
    </w:p>
    <w:p>
      <w:pPr>
        <w:spacing w:after="0" w:line="17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can provide no assurance with respect to the profitability or the market share that we might achieve for our product candidates, if approved. The target patient population for which we obtain approval may be narrower than we expect. Additionally, we may not be able to obtain the labeling claims necessary or desirable for the promotion of our approved product. Further, supply chain issues or shortages associated with combination products that may be used with our approved product, such as ANKTIVA plus BCG, may limit the demand for our approved product.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also party to agreements that may require substantial payments upon the occurrence of certain milestones. As an example, 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March 31, 2025, Dr. Soon-Shiong and his related party hold approximately</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$139.8 million of net sales CVRs, and they have both irrevocably agreed to receive shares of the company’s common stock in satisfaction of their CVRs. We may be</w:t>
      </w: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required to pay the other prior Altor stockholders up to $164.2 million for their net sales CVRs should they choose to have their CVRs paid in cash instead of common stock. If this were to occur, we may need to seek additional sources of capital and any such financing activities may be restricted by the covenants included in the terms of the RIPA. As such, we may face difficulties raising additional capital and may have to accept unfavorable terms and as a result, we may not be able to achieve profitability or positive cash flow.</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financing in December 2023, we entered into the RIPA with Infinity and Oberland. Oberland has the right to receive quarterly Revenue Interest Payments from us based on, among other things, our worldwide net sales, excluding those in China, which are tiered payments ranging from 4.50% to 10.00%, subject to increase or decrease, following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payment True-Up Payment as described above. In addition to other considerations of the RIPA and the associated impact to our profitability and cash flow, if we were required to make a True-Up Payment, we may need to seek additional sources of capital, and we may not be able to achieve profitability or positive cash flow.</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delays or difficulties enrolling and/or maintaining patients in our clinical trials, our clinical development activities, and receipt of necessary marketing approvals could be delayed or otherwise adversely affected.</w:t>
      </w:r>
    </w:p>
    <w:p>
      <w:pPr>
        <w:spacing w:after="0" w:line="5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and retention in our clinical trials for a variety of reasons.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In addition, in the past we have engaged, and we intend to continue to engage, in clinical trial efforts outside of the U.S., which gives rise to additional potential complexity and challenges, and further reliance upon third parties in foreign jurisdictions.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 and other product candidates may cause undesirable side effects, adverse events, or have other properties or safety risks that could halt their clinical development, delay or prevent their regulatory approval, result in regulatory warning letters, product recalls, regulatory and manufacturing holds, or limit their commercial potential or result in other significant negative consequences.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other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 In addition, these serious adverse effects may not be appropriately</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recognized or managed by the treating medical staff, as toxicities resulting from our other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approved product and other product candidates is complex, and we may encounter difficulties in production, particularly with respect to process development, quality control, cGMP compliance, or scaling-up of our manufacturing capabilities. If we or our related parties, or any of our third-party manufacturers, encounter such difficulties, our ability to gain approval, or to provide adequate supply of our product candidates for clinical trials or our products for patients, if approved, could be delayed or stopped, or we may be unable to maintain a commercially viable cost structure.</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manufacture of our approved product and other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fusion proteins, DNA and vaccine vectors, and cell therapy products require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or other product candidates and quality assurance testing, shortages of qualified personnel, and compliance with strictly enforced federal, state, local, and foreign regulations. We may also find that the manufacture of our approved product or other product candidates is more difficult than anticipated, resulting in an inability to produce a sufficient amount of our other product candidates for our clinical trials or, if approved, commercial supply. Even minor deviations from normal manufacturing processes could result in reduced production yields, product defects, and other supply disruptions. Our approved product and other product candidates are manufactured using processes developed or modified by us, our affiliates, or by our third-party collaborators that we may not utilize for more advanced clinical trials or commercialization.</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Currently we manufacture our approved product and other product candidates in our own manufacturing facilities, facilities owned by entities affiliated with Dr. Soon-Shiong and/or through third-party CMOs. Our clinical trials will need to be conducted with product candidates and materials that were produced under cGMP and/or GTP regulations, which are enforced by regulatory authorities. Our approved product and other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approved product and other product candidates for us and willing to do so. If our third-party CMOs cease manufacturing for us, we would experience delays in obtaining sufficient quantities of our approved product for commercial supply and other product candidates for clinical trials and, if approved, commercial supply of such future products. Further, our third-party CMOs may breach, terminate, or not renew our agreements with them. If we were to need to find alternative manufacturing facilities or transfer between existing facilities it may take us significant time to find a replacement, if we are able to find a replacement at all and it would significantly impact our ability to develop, obtain regulatory approval for or market our approved product and/or other product candidates, if approved. The commercial terms of any new arrangement could be less favorable than our existing arrangements and the expenses relating to the transfer of necessary technology and processes could be significant.</w:t>
      </w:r>
    </w:p>
    <w:p>
      <w:pPr>
        <w:spacing w:after="0" w:line="19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and our suppliers and third-party CMOs must maintain compliance with cGMP requirements and other applicable regulatory requirements. Any failure to comply with these regulations may require us to cease sales of our approved product or repeat clinical trials, which would delay the regulatory review process of our other product candidates. We may not be able to demonstrate sufficient comparability between products manufactured in different runs at the same or at different facilities to allow for inclusion of the clinical results from patients treated with products from these different runs, in our product registrations or to ensure a cGMP process to qualify our other product candidates.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ClinicalTrials.gov, within specified timeframes. Failure to do so could result in enforcement actions and adverse publicity.</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08"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day-to-day control over the manufacturing process for our other product candidates as a result of using third-party manufacturers for all aspects of manufacturing activities;</w:t>
      </w:r>
    </w:p>
    <w:p>
      <w:pPr>
        <w:spacing w:after="0" w:line="107" w:lineRule="exact"/>
        <w:rPr>
          <w:rFonts w:ascii="Times New Roman" w:cs="Times New Roman" w:eastAsia="Times New Roman" w:hAnsi="Times New Roman"/>
          <w:sz w:val="18"/>
          <w:szCs w:val="18"/>
          <w:b w:val="1"/>
          <w:bCs w:val="1"/>
          <w:color w:val="auto"/>
        </w:rPr>
      </w:pPr>
    </w:p>
    <w:p>
      <w:pPr>
        <w:ind w:left="980" w:right="24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10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approved product or other product candidates; and</w:t>
      </w:r>
    </w:p>
    <w:p>
      <w:pPr>
        <w:spacing w:after="0" w:line="10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or personnel turnover at the manufacturer or supplier.</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any problems or delays we or our third-party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third-party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other product candidates to levels that will allow for an attractive return on investment if and when those product candidates are commercialized.</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and facilities for our approved product and any other products that we may develop are subject to FDA and foreign regulatory authority approval processes, and we or our third-party CMOs will need to meet all applicable FDA and foreign regulatory authority requirements, including cGMP, on an ongoing basis.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CMC documentation in support of a BLA or NDA on a timely basis. Our or our third-party CMOs’ manufacturing facilities may be unable to comply with our specifications, cGMP, and with other FDA, state, and foreign regulatory requirements, and there is no guarantee that we or our third-party CMOs will be able to successfully pass all aspects of a pre-approval or continued inspection by the FDA or other foreign regulatory authorities. For example,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The CRL we received in response to our initial BLA submission required us to resubmit the BLA to the FDA addressing the issues in the CRL, resulting in additional expense and delay. On April 22, 2024, the FDA approved ANKTIVA with BCG for the treatment of adult patients with BCG-unresponsive NMIBC with CIS with or without papillary tumors.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Poor control of production processes can lead to the introduction of adventitious agents or other contaminants, or to inadvertent changes in the properties or stability of our product or other product candidates that may not be detectable in final product testing. If microbial, viral, environmental, or other contaminants are discovered in our product or other product candidates or in the manufacturing facilities in which our product or other product candidates are made, such manufacturing facilities may need to be closed for an extended period of time to investigate and remedy the contamination which could delay commercial sales and clinical trials and adversely harm our business. If we or our third-party CMOs are unable to reliably produce products to specifications acceptable to the FDA or other regulatory authorities, or in accordance with the strict regulatory requirements, we may not obtain or maintain the initial or continued approvals we need to commercialize such products. There is no assurance that either we or our third-party CMOs will be able to manufacture our approved product or any subsequently approved product candidate to specifications acceptable to the FDA or other regulatory authorities, to produce our product or other product candidates in sufficient quantities to meet the requirements for the launch of such products, or to meet potential future demand.</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or other product candidates to perform differently and affect our commercial sales or the results of planned clinical trials or other future clinical trials conducted with the altered materials. This could cause commercial sales to cease, delay completion of clinical trials, require the conduct of bridging clinical trials or the repetition of one or more clinical trials, increase clinical trial costs, delay approval of our product candidates, and jeopardize our ability to commercialize our other product candidates, if approved, and generate revenues.</w:t>
      </w:r>
    </w:p>
    <w:p>
      <w:pPr>
        <w:spacing w:after="0" w:line="18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To the extent we use third-party CMOs, we are ultimately responsible for the manufacture of our products, once approved, and our other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FCA, corporate integrity agreements, consent decrees, or withdrawal of product approval.</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Any of these challenges could cause us to cease commercial sales,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managing the build-out of our manufacturing facilities and associated costs or satisfying manufacturing-related regulatory requirements.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 and it could take longer, and cost more, than currently expected. Significant delays and/or cost overruns would result in higher expenditures and could be disruptive to operations, any of which could have a negative impact on our financial condition or results of operations. For example, during the first quarter of 2022 we acquired a leasehold interest in the 409,000 square foot Dunkirk Facility as described below. While we believe that governmental funding will assist in funding a small portion of the further build-out of the Dunkirk Facility, we will need to plan and fund most of the additional build-out of, and purchase additional equipment for, the Dunkirk Facility in connection with our planned full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w:t>
      </w:r>
    </w:p>
    <w:p>
      <w:pPr>
        <w:spacing w:after="0" w:line="19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may not successfully realize the anticipated benefits from the capital expenditure at such facilities based on factors such as delays and uncertainties regarding development, regulatory approval, and commercialization of our product candidates, as well as the potential to lose access to the leased facilities.</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Further, in the future if we transition from our current third-party CMOs to our own manufacturing facilities, or to alternative third-party CMOs, for one or more of our products or other product candidates, including our approved product, we will need to conduct additional preclinical, analytical and/or clinical testing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or other product candidates could negatively impact our ability to sell our approved product, complete clinical trials, obtain regulatory approval, and commercialize our other product candidates. A product shortfall could have a material adverse effect on our business, financial condition and results of operations and adversely affect our ability to satisfy demand for our product or other product candidates, which could materially and adversely affect our revenue and results of operations.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approved product and any future products, if approved.</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a small number of suppliers for some of the materials used in, and processes required to develop, our approved product and other product candidates. For some of these reagents, equipment, and materials used in the manufacture of our approved product and other product candidates, we rely and we may in the future rely on sole source vendors or a limited number of vendors. Some of these suppliers may not have the capacity to support commercial scale or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approved product and other product candidates, which could adversely and materially affect our product sales and operating results or our ability to conduct clinical trials, either of which could significantly harm our business.</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our approved product and other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approved product and other product candidates, which may impact public perception of us and our approved product and other product candidates and which may adversely affect our ability to conduct our business and implement our business plans.</w:t>
      </w:r>
    </w:p>
    <w:p>
      <w:pPr>
        <w:spacing w:after="0" w:line="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We use relatively novel technologies involving ANKTIVA, hAd5 and yeast constructs,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approved product and other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other product candidates is obtained. Finally, after increased usage, we may find that our product or other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commercialization of our approved product and development and commercialization of our product candidates or demand for our product 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is no assurance that the approaches offered by our approved product or other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other product candidates, and could cause a decrease in the demand for our approved product and any other products we may develop. Moreover, our success will depend upon physicians specializing in the treatment of those diseases that our product or other product candidates target prescribing, and their patients being willing to receive treatments that involve the use of our product or other product candidates in lieu of, or in addition to, existing treatments they are already familiar with and for which greater clinical data may be available. The market for any products that we successfully develop will also depend on the cost of the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 or potential products, we will not become profitable, which would materially and adversely affect the value of our common stock. Our ANKTIVA therapies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approved product or other product candidates.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commercialization of our approved product and clinical development, testing and manufacturing of our other product candidates. For example, we may be sued if our approved product or other product candidates cause or are perceived to cause injury or are found to be otherwise unsuitable during clinical testing, manufacturing, marketing or sale. Any such product liability claim may include allegations of defects in manufacturing, defects in design, a failure to warn of dangers inherent in the product, negligence, strict liability, or a breach of warranties. Claims could also be asserted under state consumer protection acts. Large judgments have been awarded in class action lawsuits based on therapeutics that had unanticipated side effects. If we cannot successfully defend ourselves against product liability claims, we may incur substantial liabilities or be required to limit commercialization of our approved product or other product candidates. Even successful defense would require significant financial and management resources. Regardless of the merits or eventual outcome, liability claims may result in 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spacing w:after="0" w:line="1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our approved product or other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significant competition from other biotechnology and pharmaceutical companies and from non-profit institutions.</w:t>
      </w:r>
    </w:p>
    <w:p>
      <w:pPr>
        <w:spacing w:after="0" w:line="1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Competition in the field of cancer and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approved product or other product candidates. Research and discoveries by others may result in breakthroughs which may render our approved product or other product candidates obsolete even before they generate any revenues. We believe that a significant number of products are currently under development, and may become commercially available in the future, for the treatment of conditions for which our product treats or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availability and price of our competitors’ products could limit the demand and the price we are able to charge for our approved product or any of our other product candidates, if approved. The level of generic competition and the availability of reimbursement from government and other third-party payors will also significantly affect the pricing and competitiveness of our products.</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implement our business plan if the acceptance of our approved product or other product candidates is inhibited by price competition or the reluctance of physicians to switch from other methods of treatment to our approved product, or if physicians switch to other new therapies, drugs or biologic products or choose to reserve our products for use in limited circumstances. We may be adversely impacted if any of these competitors gain market share as a result of new technologies, commercialization strategies or otherwise.</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Fast Track or RMAT designations or other designation from the FDA or comparable non-U.S. regulatory authorities for one or more of our product candidates, but even if any such designation or status is granted, it may not lead to a faster development process or regulatory review and may not increase the likelihood that our product candidates will receive marketing approval, and we may be subject to significant costs including those associated with EAPs, and be unable to maintain any benefits associated with such designations or status, including market exclusivity.</w:t>
      </w:r>
    </w:p>
    <w:p>
      <w:pPr>
        <w:spacing w:after="0" w:line="7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We have been awarded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and RMAT designations, and may seek in the future such designations for current or future product candidates. Receipt of a designation to facilitate product candidate development is within the discretion of the FDA. Accordingly, even if we believe one of our product candidates meets the criteria for a designation, the FDA may disagree. If we are unable to obtain such approval, we may be required to conduct additional preclinical studies or clinical trials beyond those that we contemplate, which could increase the expense of obtaining, and delay the receipt of, necessary marketing approvals. In any event, the receipt of such a designation for our product candidates may not result in a faster development process, review, or approval compared to product candidates considered for approval under conventional FDA procedures and does not ensure ultimate marketing approval by the FDA. In addition, the FDA may later decide that the product candidates no longer meet the designation conditions.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Regulation—BLA/NDA Submission and Review by the FDA</w:t>
      </w:r>
      <w:r>
        <w:rPr>
          <w:rFonts w:ascii="Times New Roman" w:cs="Times New Roman" w:eastAsia="Times New Roman" w:hAnsi="Times New Roman"/>
          <w:sz w:val="18"/>
          <w:szCs w:val="18"/>
          <w:color w:val="auto"/>
        </w:rPr>
        <w:t>” of our Annual Report filed with the SEC on March 3, 2025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these designations.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the FDA has increased authority to withdraw approval of a drug granted accelerated approval on an expedited basis if the sponsor fails to conduct such studies in a timely manner, or send the necessary updates to the FDA, or if such post-approval studies fail to verify the drug’s predicted clinical benefit. Prior to seeking accelerated approval, we will seek feedback from the FDA or comparable non-U.S. regulatory authorities and will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comparable non-U.S.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non-U.S. regulatory authorities could also require us to provide expensive investigational drug at non-commercial pricing or at no cost as part of a designation associated required EAP. The FDA or other comparable non-U.S.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the FDA to withdraw our approval.</w:t>
      </w:r>
    </w:p>
    <w:p>
      <w:pPr>
        <w:spacing w:after="0" w:line="200" w:lineRule="exact"/>
        <w:rPr>
          <w:sz w:val="20"/>
          <w:szCs w:val="20"/>
          <w:color w:val="auto"/>
        </w:rPr>
      </w:pPr>
    </w:p>
    <w:p>
      <w:pPr>
        <w:spacing w:after="0" w:line="3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In response to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FDA clarified in a January 2023 notice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5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trials. In connection with the regulatory approval of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the FDA by the end of 2029. If we receive approval of our other product candidates, the FDA may determine that similar or additional or more burdensome post-approval requirements are necessary to ensure that our product candidates are safe, pure and potent.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our approved product,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other product candidates, if they are approved, and as a result, we may be unable to generate product revenues.</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little to no prior experience in the marketing, sale and distribution of biopharmaceutical products. To achieve commercial success for our approved product and other product candidates, which we may license to others, we may rely on the assistance and guidance of those collaborators. In order to commercialize our approved product and our other product candidates for which we retain commercialization rights and marketing approval, if approved, we must continue to build out our marketing, sales and distribution capabilities, including a comprehensive healthcare compliance program, and/or arrange with third parties to perform these services, which will continue to take time and require significant financial expenditures, and could delay any product launch and we may not be successful in doing so. There are significant risks involved with building and managing a commercial infrastructure. We, or our collaborators and third-party contractors,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w:t>
      </w: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commercial launch of our approved product or any other product candidate for which we or our third-party contractors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and/or our potential partners and/or third-party contractors are able to effectively establish a sales force and develop a marketing and sales infrastructure, such sales force and marketing teams may not be successful in commercializing our approved product or any other current or future product candidates. To the extent we rely on third parties to commercialize any products for which we obtain regulatory approval, which we are doing to a certain extent in connection with our approved product launch, we may have less control over their sales efforts and could be held liable if they failed to comply with applicable legal or regulatory requirements.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approved product or any of our other product candidates do not achieve broad market acceptance, the revenues that we generate from their sales will be limited.</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in the process of commercializing our approved product. Our approved product and other product candidates, if approved by the appropriate regulatory authorities for marketing and sale, may not gain acceptance among physicians, patients, third-party payors, and others in the medical community. If our approved product or any other product candidate for which we obtain regulatory approval does not gain an adequate level of market acceptance, we may not generate significant product revenues or become profitable. Market acceptance of our approved product or any other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third-party payors on the benefits of our approved product and other product candidates may require significant resources and may not be successful. Even if the medical community accepts that our approved product and other product candidates are safe and effective for their approved indications, physicians and patients may not immediately be receptive to such approved product or other product candidates and may be slow to adopt them as an accepted treatment of the approved indications, including, for example, if third-party payors require high co-payments or if physicians perceive that reimbursement will not be available on a timely basis or at all. If our product or any of our other product candidates is approved but does not achieve an adequate level of market acceptance, we may not generate significant revenues and we may not become profitable. The degree of market acceptance of our approved product or any of our other product candidates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continued safety and efficacy of our approved product or other product candidates;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adverse events associated with such approved product or other product candidates;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 or distribution and use restrictions imposed by the FDA with respect to such approved product or other product candidates or to which we agree as part of a mandatory REMS or voluntary risk management plan;</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standard of care for the targeted indications for such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relative difficulty of administration of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offer our approved product or other product candidates for sale at competitive prices, including the cost of treatment versus economic and clinical benefit in relation to alternative treatments or therapies;</w:t>
      </w:r>
    </w:p>
    <w:p>
      <w:pPr>
        <w:spacing w:after="0" w:line="107"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marketing and distribution of such approved product or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14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market introduction of our approved product or other product candidates, as well as competitive products;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product liability claims.</w:t>
      </w:r>
    </w:p>
    <w:p>
      <w:pPr>
        <w:spacing w:after="0" w:line="17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If our approved product or any other product candidate that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approved product and our product candidates may face competition sooner than anticipated.</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enactment of the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approved product and/or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our approved product or any other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approved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our small molecular product candidates, if qualified, the regulatory exclusivity period is less than for our biologic product candidates. The FD&amp;C Act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which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in the U.S.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will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p>
    <w:p>
      <w:pPr>
        <w:spacing w:after="0" w:line="6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are and will be dependent upon information technology systems, infrastructure, and data. In the ordinary course of our business, we will directly or indirectly collect, store, transmit, and otherwise process sensitive and confidential information, including intellectual property, preclinical, and clinical trial data, proprietary business information, and personal information of our clinical trial patients and employees, including in our data centers and on our systems and networks or on those of third parties. The secure maintenance, transmission, and processing of data is critical to our operations. The multitude and complexity of our systems and those of our CROs, CMOs, clinical sites, or other contractors or consultants may subject them to various threats, including interruption, destruction, malicious intrusion, and random attack. Privacy or security breaches or other incidents, including by</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employees, contractors or others, may pose a risk that sensitive or confidential information, including our intellectual property, trade secrets or personal information of our employees, patients, or other business partners may be exposed to unauthorized persons or to the public. Further, as many of our employees work remotely, our reliance on our and third-party systems has increased substantially and is expected to continue to increase.</w:t>
      </w:r>
    </w:p>
    <w:p>
      <w:pPr>
        <w:spacing w:after="0" w:line="18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systems, infrastructure and data, and those of our CROs, CMOs, clinical sites and other contractors and consultants, are subject to risks relating to cyberattacks, security breaches, or other incidents, including through viruses and other malware, employee error, unauthorized access, natural disasters, terrorism, war, fire, telecommunication and electrical failures, denial of service attacks, social engineering (including phishing attacks) and other means.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affect service reliability and threaten data confidentiality, integrity and availability. While we and our shared services partner, NantWorks, have invested, and continue to invest, in the protection of our data, systems, and infrastructure, there can be no assurance that our efforts, or the efforts of our partners, vendors, CROs, CMOs, clinical sites and other contractors and consultants, will be successful. Any failure or perceived failure in our systems, infrastructure or data, or to identify or prevent cyberattacks, security breaches or other incidents, including service interruptions could adversely affect our business and operations, result in the loss, unavailability, misuse, unauthorized use or acquisition, or other unauthorized processing of critical or sensitive information, and result in financial, legal, business or reputational harm. In addition, our liability insurance may not be sufficient in type or amount to cover us against claims related to any such failures, security breaches, cyberattacks or other incidents.</w:t>
      </w:r>
    </w:p>
    <w:p>
      <w:pPr>
        <w:spacing w:after="0" w:line="200" w:lineRule="exact"/>
        <w:rPr>
          <w:sz w:val="20"/>
          <w:szCs w:val="20"/>
          <w:color w:val="auto"/>
        </w:rPr>
      </w:pPr>
    </w:p>
    <w:p>
      <w:pPr>
        <w:spacing w:after="0" w:line="3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If any such event were to occur, it could also cause interruptions in our operations, including a disruption of our product development programs. For example, the loss, corruption, or unavailability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Any such event could result in liability, delays in the development and commercialization of product candidates, claims, demands or proceedings initiated by regulatory authorities or private parties, violations of laws, including laws that protect the privacy or security of personal information, significant liabilities, including regulatory penalties, and damage to our reputation and a loss of confidence in us and our ability to conduct clinical trials.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the perception of its effects, may materially and adversely affect our business, operations and financial condition.</w:t>
      </w:r>
    </w:p>
    <w:p>
      <w:pPr>
        <w:spacing w:after="0" w:line="5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Public health outbreaks, such as epidemics or pandemics may significantly disrupt our business. Such outbreaks pose the risk that we or our employees, contractors, suppliers, and other partners may be prevented from conducting business activities for an indefinite period of time due to the spread of the disease, due to shutdowns that may be requested or mandated by federal, state, and local governmental authorities or certain employers, or due to the economic consequences associated with the pandemic. Business disruptions could include disruptions or restrictions on our ability to travel, as well as temporary closures of our facilities and the facilities of our partners, clinical trial sites, service providers, suppliers, or contract manufacturers. For example, the COVID-19 pandemic caused a temporary disruption in our ability to recruit participants for our clinical trials in the calendar year 2020 and the first quarter of 2021. While it is not possible to predict whether another pandemic, epidemic, or infectious disease outbreak similar to COVID-19 will materialize, any measures taken by governments and local authorities in response to such future health crises have the potential to disrupt and delay the initiation of new clinical trials, the progress of our ongoing clinical trials and our preclinical activities, and potentially the manufacture or shipment of both drug substance and finished drug product of our approved product and our other product candidates for preclinical testing and clinical trials, may adversely impact our business, financial condition, or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to comply with legal and regulatory requirements, to manufacture products in compliance with cGMP, or to conduct the clinical trials according to GCP guidelines, and in a timely manner, may delay or prevent our ability to commercialize our approved product, to seek or obtain regulatory approval for or commercialize our other product candidates or may subject us to regulatory sanctions.</w:t>
      </w:r>
    </w:p>
    <w:p>
      <w:pPr>
        <w:spacing w:after="0" w:line="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relied and will continue to rely on third parties and related parties to conduct some of our preclinical studies and clinical trials, manufacture our approved product and other product candidates, and perform many essential services for our approved product and any products that we commercialize. Any failure by a third party, related party, or by us to perform as expected, to comply with legal and regulatory requirements, to manufacture products in compliance with cGMP, or to conduct the clinical trials according to GCP guidelines, and in a timely manner, may delay or prevent our ability to commercialize our approved product, to seek or obtain regulatory approval for or commercialize our other product candidates, or may subject us to regulatory sanctions.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third-party CMOs to manufacture our approved product or other product candidates, which may force us to encounter delays and challenges that are outside of our control.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limited experience as a company in submitting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and for ensuring that our preclinical studies are conducted in accordance with GLP guidelines, as appropriate. Moreover, the FDA and comparable foreign regulatory authorities require us and the third parties upon which we intend to rely for conducting our clinical trials to comply with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guidelines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guidelines.</w:t>
      </w:r>
    </w:p>
    <w:p>
      <w:pPr>
        <w:spacing w:after="0" w:line="192"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package, label, and ship our approved product and some of our other product candidates for the clinical trials that we conduct. Any performance failure on the part of these third parties could delay commercialization of our approved product or other product candidates or the clinical development or marketing approval of our product candidates producing additional losses and depriving us of potential product revenues.</w:t>
      </w:r>
    </w:p>
    <w:p>
      <w:pPr>
        <w:spacing w:after="0" w:line="18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guidelines,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and we expect to continue to retain third-party service providers to perform a variety of functions related to the sale of our approved product and current or future product candidates, key aspects of which will be out of our direct control. These service providers may provide key services related to sales, market access, distribution, customer service, accounts receivable management, state reporting, compliance support, and cash collection. If we retain a service provider, we will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Additionally, we have contracted with one or more third parties to calculate and report pricing information mandated by various government programs, and may enter into further contracts in the future. If a third party fails to timely report or adjust prices as required or makes a mistake in calculating government pricing information from transactional data in our financial records, it could impact our discount and rebate liabilities, and potentially subject us to regulatory sanctions or FCA lawsuits.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our proprietary technology. We may also need the cooperation of our collaborators to enforce or defend any intellectual property we contribute to or that arises out of our collaborations, which may not be provided to us.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also anticipate that part of our strategy for pursuing the wide range of indications potentially addressed by ANKTIVA will involve further investigator-led clinical trials. While these trials generally provide us with valuable clinical data that can help 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investigator-led clinical trials, regardless of how the clinical trial was designed or conducted, could have a material adverse effect on our business and the perception of our product candidates.</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commercialize our approved product or any other product candidates, if approved.</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reliance on third-party manufacturers, wholesalers, and distributors exposes us to the following risks, any of which could delay FDA approval of our product candidates and commercialization of our approved product or any other product candidates, if approved, result in higher costs, or deprive us of potential product revenues:</w:t>
      </w:r>
    </w:p>
    <w:p>
      <w:pPr>
        <w:spacing w:after="0" w:line="122" w:lineRule="exact"/>
        <w:rPr>
          <w:sz w:val="20"/>
          <w:szCs w:val="20"/>
          <w:color w:val="auto"/>
        </w:rPr>
      </w:pPr>
    </w:p>
    <w:p>
      <w:pPr>
        <w:ind w:left="980" w:right="160" w:hanging="324"/>
        <w:spacing w:after="0" w:line="266"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spacing w:after="0" w:line="12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wholesalers and distributors could become unable to sell and deliver our approved product or other product candidates for regulatory, compliance, and other reasons;</w:t>
      </w:r>
    </w:p>
    <w:p>
      <w:pPr>
        <w:spacing w:after="0" w:line="10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could breach or default on their agreements with us to meet our requirements for commercialization of our approved product or other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not perform as agreed or may not remain in business for the time required to successfully produce, store, sell, and distribute our approved product or other product candidates and we may incur additional costs;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misappropriate our proprietary information; and</w:t>
      </w:r>
    </w:p>
    <w:p>
      <w:pPr>
        <w:spacing w:after="0" w:line="17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our CMOs, wholesalers, and distributors were to terminate our arrangements or fail to meet their contractual obligations, we may be forced to delay our commercial programs.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approved product and other product candidate development activities but does not relieve us of our responsibility to ensure compliance with all required legal, regulatory, and industry standards. For example, the FDA and other regulatory authorities require that our approved product, other product candidates and any other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CRL that we received in response to our initial BLA submission required us to resubmit the BLA to the FDA addressing the issues in the CRL. On April 22, 2024, the FDA approved ANKTIVA with BCG for the treatment of adult patients with BCG-unresponsive NMIBC with CIS with or without papillary tumors. Our third-party manufacturers are subject to periodic inspections by the FDA and other regulatory authorities, and failure to comply with cGMP could be the basis for the FDA to issue a warning or untitled letter, withdraw approvals for our approved product or our other product candidates previously granted to us, or take other regulatory or legal action, including a request to recall or seize our approved product or our other product candidates, total or partial suspension of production, suspension of clinical trials, refusal to approve pending applications or supplemental applications, detention of product, refusal to permit the import or export of other product candidates, injunction, imposing civil penalties or pursuing criminal prosecution.</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Additionally, as we scale up manufacturing of our approved product or other product candidates and conduct required stability testing, we may encounter additional challenges or cGMP issues. These issues may require refinement or resolution in order to proceed with commercial marketing of our approved product or any of our other product candidates, if approved. In addition, quality issues may arise during scale-up and validation of commercial manufacturing processes. Any issues in our manufacturing process could result in increased scrutiny by regulatory authorities, delays in our regulatory review process, increases in our operating expenses, or failure to obtain or maintain approval for our approved product or other product candidates. If such issues relate to an approved product, we may not be able to commercialize the approved product as we planned or fail to meet commercial demand, any of which can materially and adversely affect our position in the market.</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spacing w:after="0" w:line="6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w:t>
      </w:r>
    </w:p>
    <w:p>
      <w:pPr>
        <w:spacing w:after="0" w:line="217" w:lineRule="exact"/>
        <w:rPr>
          <w:sz w:val="20"/>
          <w:szCs w:val="20"/>
          <w:color w:val="auto"/>
        </w:rPr>
      </w:pPr>
      <w:r>
        <w:rPr>
          <w:rFonts w:ascii="Times New Roman" w:cs="Times New Roman" w:eastAsia="Times New Roman" w:hAnsi="Times New Roman"/>
          <w:sz w:val="18"/>
          <w:szCs w:val="18"/>
          <w:color w:val="auto"/>
        </w:rPr>
        <w:t>June 30, 2019, one of the company’s officers was an investigator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investigator for certain of the company’s trials conducted at the Clinic. NantWorks, which is wholly owned by our Founder, Executive Chairman and Global Chief Scientific and Medical Officer, Dr. Soon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Shiong, provides certain administrative services (and has loaned money) to the Clinic. Under certain circumstances, we may be required to report some of these relationships to the FDA.</w:t>
      </w:r>
    </w:p>
    <w:p>
      <w:pPr>
        <w:spacing w:after="0" w:line="20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spacing w:after="0" w:line="6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that we believe will complement or augment our development and commercialization efforts with respect to our approved product, other product candidates and any future product candidates that we may develop. We plan to collaborate with governmental, academic, and corporate partners, including affiliates, to improve and develop ANKTIVA and hAd5 constructs, and other cell therapies for new indications for use in combination with other therapies and to improve and develop other product candidates, which may expose us to additional risks, or we may not realize the benefits of such collaborations.</w:t>
      </w:r>
    </w:p>
    <w:p>
      <w:pPr>
        <w:spacing w:after="0" w:line="187"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some of our collaborations are conducted at outside laboratories, and we do not have complete control over how the studies are conducted or reported,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 candidates or proposed indications, even if such imputation is improper. Additionally, we may use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data to analyze, reach conclusions or make predictions or decisions with respect to our product candidates that may be incomplete, inaccurate or otherwise unreliable.</w:t>
      </w:r>
    </w:p>
    <w:p>
      <w:pPr>
        <w:spacing w:after="0" w:line="20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also plan to collaborate with governmental, academic and corporate partners, including affiliates, to improve and develop ANKTIVA and hAd5 constructs, cell therapies and other therapies for new indications for use in combination with other therapies and to improve and develop other product candidates, which may expose us to additional risks, or we may not realize the benefits of such collaborations.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Furthermore, conflicts may arise between us and our collaborators or strategic partners, and such strategic alliances, collaborations, or licensing arrangements may result in litigation, which is expensive and time consuming. For example, in 2019, Sorrento, with which we jointly established a new entity called NANTibody as a stand-alone biotechnology company, commenced litigation against us and certain of our officers and directors, alleging that we improperly caused NANTibody to acquire IgDraSol. Additionally, in 2020 we received a Request for Arbitration before the International Chamber of Commerce, International Court of Arbitration, served by Beike asserting a claim for breach of contract under our subsidiary Altor’s license agreement with them. See Part II, Item 1. “</w:t>
      </w:r>
      <w:r>
        <w:rPr>
          <w:rFonts w:ascii="Times New Roman" w:cs="Times New Roman" w:eastAsia="Times New Roman" w:hAnsi="Times New Roman"/>
          <w:sz w:val="18"/>
          <w:szCs w:val="18"/>
          <w:i w:val="1"/>
          <w:iCs w:val="1"/>
          <w:u w:val="single" w:color="auto"/>
          <w:color w:val="0000FF"/>
        </w:rPr>
        <w:t>Legal Proceedings</w:t>
      </w:r>
      <w:r>
        <w:rPr>
          <w:rFonts w:ascii="Times New Roman" w:cs="Times New Roman" w:eastAsia="Times New Roman" w:hAnsi="Times New Roman"/>
          <w:sz w:val="18"/>
          <w:szCs w:val="18"/>
          <w:color w:val="auto"/>
        </w:rPr>
        <w:t>” for more information regarding these disputes. Any such developments could harm our product development efforts, and additional disputes with our licensors or strategic collaborators may be expensive and time consuming.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collaborations involving our product candidates will be subject to numerous risks, which may include the following:</w:t>
      </w:r>
    </w:p>
    <w:p>
      <w:pPr>
        <w:spacing w:after="0" w:line="171"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including their related or affiliated companies, may be entitled to receive exclusive rights for or involving our products;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71"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42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07" w:lineRule="exact"/>
        <w:rPr>
          <w:rFonts w:ascii="Times New Roman" w:cs="Times New Roman" w:eastAsia="Times New Roman" w:hAnsi="Times New Roman"/>
          <w:sz w:val="18"/>
          <w:szCs w:val="18"/>
          <w:b w:val="1"/>
          <w:bCs w:val="1"/>
          <w:color w:val="auto"/>
        </w:rPr>
      </w:pPr>
    </w:p>
    <w:p>
      <w:pPr>
        <w:jc w:val="both"/>
        <w:ind w:left="980" w:right="40" w:hanging="324"/>
        <w:spacing w:after="0" w:line="266"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b w:val="1"/>
          <w:bCs w:val="1"/>
          <w:color w:val="auto"/>
        </w:rPr>
      </w:pPr>
    </w:p>
    <w:p>
      <w:pPr>
        <w:ind w:left="980" w:right="104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07" w:lineRule="exact"/>
        <w:rPr>
          <w:rFonts w:ascii="Times New Roman" w:cs="Times New Roman" w:eastAsia="Times New Roman" w:hAnsi="Times New Roman"/>
          <w:sz w:val="18"/>
          <w:szCs w:val="18"/>
          <w:b w:val="1"/>
          <w:bCs w:val="1"/>
          <w:color w:val="auto"/>
        </w:rPr>
      </w:pPr>
    </w:p>
    <w:p>
      <w:pPr>
        <w:jc w:val="both"/>
        <w:ind w:left="980" w:right="60" w:hanging="324"/>
        <w:spacing w:after="0" w:line="266"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spacing w:after="0" w:line="12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commercialization of our approved product and the development and commercialization of our other product candidates. Competing product candidates, either developed by the collaborators or strategic partners or to which the collaborators or strategic partners have rights, may result in the withdrawal of our collaborator’s or partner’s support for our product or product candidates.</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operate parts of our business through joint ventures, strategic partnerships, supply agreements, collaborations,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may divert management time and resources;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w:t>
      </w:r>
    </w:p>
    <w:p>
      <w:pPr>
        <w:spacing w:after="0" w:line="1" w:lineRule="exact"/>
        <w:rPr>
          <w:sz w:val="20"/>
          <w:szCs w:val="20"/>
          <w:color w:val="auto"/>
        </w:rPr>
      </w:pPr>
    </w:p>
    <w:p>
      <w:pPr>
        <w:ind w:right="220" w:firstLine="8"/>
        <w:spacing w:after="0" w:line="252" w:lineRule="auto"/>
        <w:tabs>
          <w:tab w:leader="none" w:pos="3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as a result of actions taken by the partner(s); (viii) conflicts may arise leading to disputes and efforts to terminate these arrangements and seek other remedies; and (ix) it may be difficult for us to exit if an impasse arises or if we desire to sell our interest for any reason. For example, in December 2021 we established a joint venture with Amyris. However, in August 2023, Amyris announced that it had filed for Chapter 11 bankruptcy protection. As of March 31, 2025, the carrying amount of our equity investment in the joint venture was zero. There can be no guarantee that the strategic partnerships that we currently have or may enter into will be successful. Furthermore, we may, in certain circumstances, be liable for the actions of our partners. Any of the foregoing risks could have a material adverse effect on our business, financial condition and results of operations.</w:t>
      </w:r>
    </w:p>
    <w:p>
      <w:pPr>
        <w:spacing w:after="0" w:line="186"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heavily dependent on our senior management, particularly Dr. Soon-Shiong, our Founder, Executive Chairman and Global Chief Scientific and Medical Officer, and a loss of a member of our senior management team in the future, even if only temporary, could harm our business.</w:t>
      </w:r>
    </w:p>
    <w:p>
      <w:pPr>
        <w:spacing w:after="0" w:line="2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operations will be dependent upon the services of our executives and our employees who are engaged in research and development. If we lose the services of members of our senior management, particularly Dr. Soon-Shiong, our Founder, Executive Chairman and Global Chief Scientific and Medical Officer,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Although Dr. Soon-Shiong focuses heavily on our matters and is highly active in our management, he devotes a significant amount of his time to a number of different endeavors and companies, including NantHealth, Inc., NantMedia Holdings, LLC (which operates the </w:t>
      </w:r>
      <w:r>
        <w:rPr>
          <w:rFonts w:ascii="Times New Roman" w:cs="Times New Roman" w:eastAsia="Times New Roman" w:hAnsi="Times New Roman"/>
          <w:sz w:val="18"/>
          <w:szCs w:val="18"/>
          <w:i w:val="1"/>
          <w:iCs w:val="1"/>
          <w:color w:val="auto"/>
        </w:rPr>
        <w:t>Los Angeles Times</w:t>
      </w:r>
      <w:r>
        <w:rPr>
          <w:rFonts w:ascii="Times New Roman" w:cs="Times New Roman" w:eastAsia="Times New Roman" w:hAnsi="Times New Roman"/>
          <w:sz w:val="18"/>
          <w:szCs w:val="18"/>
          <w:color w:val="auto"/>
        </w:rPr>
        <w:t>)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NEOs and do not maintain “key man” insurance policies on the lives of most of the members of our management.</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achieving and managing this growth.</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approved product and other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Future growth will impose significant added responsibilities on members of management, including:</w:t>
      </w:r>
    </w:p>
    <w:p>
      <w:pPr>
        <w:spacing w:after="0" w:line="134"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71"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7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commercialize our approved product or develop and commercialize our other product candidates and, accordingly, may not achieve our research, development, and commercialization goals on a timely basis, or at all.</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08" w:lineRule="exact"/>
        <w:rPr>
          <w:sz w:val="20"/>
          <w:szCs w:val="20"/>
          <w:color w:val="auto"/>
        </w:rPr>
      </w:pPr>
    </w:p>
    <w:p>
      <w:pPr>
        <w:ind w:left="980" w:right="5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upfront milestone and/or royalty payments from which we may not realize the anticipated benefits;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approved product and other product candidates internationally could materially adversely affect our business.</w:t>
      </w:r>
    </w:p>
    <w:p>
      <w:pPr>
        <w:spacing w:after="0" w:line="5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of our approved product and other product candidates outside of the U.S. and, accordingly, we expect that we will be subject to additional risks related to operating in foreign countries if we obtain the necessary approvals, including:</w:t>
      </w:r>
    </w:p>
    <w:p>
      <w:pPr>
        <w:spacing w:after="0" w:line="108"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regulatory requirements in foreign countries;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taxes, including withholding of payroll taxes;</w:t>
      </w:r>
    </w:p>
    <w:p>
      <w:pPr>
        <w:spacing w:after="0" w:line="171"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staffing and managing foreign operations;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71"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of public health epidemics on the global economy, such as the coronavirus pandemic;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 See “—</w:t>
      </w:r>
      <w:r>
        <w:rPr>
          <w:rFonts w:ascii="Times New Roman" w:cs="Times New Roman" w:eastAsia="Times New Roman" w:hAnsi="Times New Roman"/>
          <w:sz w:val="18"/>
          <w:szCs w:val="18"/>
          <w:i w:val="1"/>
          <w:iCs w:val="1"/>
          <w:u w:val="single" w:color="auto"/>
          <w:color w:val="0000FF"/>
        </w:rPr>
        <w:t>We are and will be subject to U.S. and certain foreign export and import controls, sanctions, embargoes, anti-corruption, 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laundering, data export, and foreign investment laws and regulations</w:t>
      </w:r>
      <w:r>
        <w:rPr>
          <w:rFonts w:ascii="Times New Roman" w:cs="Times New Roman" w:eastAsia="Times New Roman" w:hAnsi="Times New Roman"/>
          <w:sz w:val="18"/>
          <w:szCs w:val="18"/>
          <w:i w:val="1"/>
          <w:iCs w:val="1"/>
          <w:color w:val="000000"/>
        </w:rPr>
        <w:t>.”</w:t>
      </w:r>
    </w:p>
    <w:p>
      <w:pPr>
        <w:spacing w:after="0" w:line="176"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In particular, there is currently significant uncertainty about the future relationship between the U.S. and various other countries, most significantly China, as well as Mexico and Canada, with respect to trade policies, treaties, tariffs, taxes, and other limitations on cross-border operations. The</w:t>
      </w:r>
    </w:p>
    <w:p>
      <w:pPr>
        <w:spacing w:after="0" w:line="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public-private partnership regarding our manufacturing facility in Dunkirk, New York, and our failure to meet the obligations of those agreements could materially impact our development, operations and prospects.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14, 2022, we acquired a leasehold interest in the Dunkirk Facility from Athenex with a lease term that commenced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2021 (the Commencement Date). To the extent we are able to address the construction needs and resolve the employment covenant-related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with the lessor as described below, we believe this will provide us with a state-of-the-art biotech production center that will substantially expand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diversify our manufacturing capacity in the U.S. and the ability to scale production associated with certain of our product candidates.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paid approximately $40.0 million to Athenex, and the leasehold interest in the Dunkirk Facility was transferred to us. Our annual lease payment will be $2.00 per year for an initial 10-year term, with an option to renew the lease under substantially the same terms and conditions for an additional 10-year term. As part of the transaction, we assumed obligations under various third-party agreements, and committed to spend $1.52 billion on operational expenses during the initial term, and an additional $1.50 billion on operational expenses if we elect to renew the lease for the additional 10-year term. We also committed to hiring 450 employees at the Dunkirk Facility within the first five years following the Commencement Date, with 300 such employees to be hired within the first 2.5 years following the Commencement Date. We are eligible for certain sales-tax exemption savings during the development of the Dunkirk Facility, and certain property tax savings over the next 20 years, subject to certain terms and conditions, including performance of certain of the obligations described above.</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we believe that the Dunkirk Facility has construction needs that may require approximately 12 to 18 months to complete in order for it to be used as intended, and which needs remain as a result of an ongoing dispute with the Dunkirk Facility’s general contractor and a stay related to Athenex’s ongoing bankruptcy proceedings, as described below. Consequently, during the third quarter of 2022, we determined to conduct a reduction-in-force of a significant portion of the then-current employees at the Dunkirk Facility, which became effective in late December 2022. The construction period and reduction-in-force have adversely affected our ability to satisfy certain operational obligations described above, including the initial employee count requirement, which was not timely satisfied and remains unsatisfied, and in addition, while we believe we have complied with all applicable federal and state laws implicated by the reduction-in-force, we could become subject to litigation in connection with these measures.</w:t>
      </w:r>
    </w:p>
    <w:p>
      <w:pPr>
        <w:spacing w:after="0" w:line="18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potential recoupment of a percentage of the grant funding received by Athenex for construction of the Dunkirk Facility and other benefits received, subject to the terms and conditions of the applicable agreements. In November 2024, we received written notice from our landlord alleging non-compliance with the initial employee headcount requirement of our lease for the Dunkirk Facility. The landlord has agreed on a limited period of time to continue discussions regarding a potential resolution as well as a path forward to address the construction needs at the facility. If we are unable to remedy this alleged default or otherwise reach an acceptable resolution, the landlord may take action to terminate the lease and compel us to surrender the facility, among other remedies. While we are seeking to resolve this matter expeditiously, there can be no assurance that we will succeed in doing so. If we lose access to the Dunkirk Facility and related leased equipment, it could disrupt our operations and planned manufacturing activities, causing us to divert resources to find alternative facilities, which would not have any subsidies, and could have a significant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In addition, we were named as a defendant in a lawsuit filed during the fourth quarter of 2022 by Exyte, the general contractor for the Dunkirk Facility, in New York state court arising from a construction agreement Exyte entered with Athenex pertaining to construction of the Dunkirk Facility. We believe we are entitled to defense costs and indemnification and, accordingly, we have provided notice to Athenex. On May 14, 2023, Athenex, together with certain of its subsidiaries, filed voluntary petitions for relief under Chapter 11 of the United States Bankruptcy Court for the Southern District</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Texas. The lawsuit with Exyte has remained stayed as a result of Athenex’s bankruptcy proceedings and the construction needs of the Dunkirk Facility remain. The extent of the impact of the Athenex Proceedings and its automatic stay will have on any continuing obligations Athenex may have under the purchase agreement remain unclear. We further believe Exyte’s claims against us are without merit, and we intend to defend the claims vigorously. Further, the aforementioned litigation and bankruptcy have impacted our ability to address the construction needs at the Dunkirk Facility and may continue to have a negative impact on our efforts to operate the Dunkirk Facility.</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counterparties in the public-private partnership for the Dunkirk Facility may fail to meet their obligations, which could materially impact our development, operations and prospects for the facility.</w:t>
      </w:r>
    </w:p>
    <w:p>
      <w:pPr>
        <w:spacing w:after="0" w:line="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There is no guarantee that the counterparties to our public-private partnerships will comply with the terms of their agreements, including that their ability to fund their capital commitments under the agreements may be subject to their ability to raise additional capital and that further construction or operational timetables may not be met. Furthermore, while we believe that government funding will assist in funding a portion of the further buildout of the Dunkirk Facility, there can be no assurance as to the final acceptance and timing of the requests for government funding that we submit, and there may be disagreements in terms of the eligibility of reimbursement requests and related matters. Public-private partnerships are also subject to risks associated with government and government agency counterparties, including risks related to government relations compliance, sovereign immunity, shifts in the political environment, changing economic and legal conditions, and social dynamics.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contractors and subcontractors may place liens on our projects, and if they then successfully foreclose on such projects, we may not be able to use such assets for our business.</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general property law, any contractor or subcontractor doing work on a project may attach a lien on the property with respect to which it does work to secure the dollar value of all labor and material furnished to the project. A valid lien holder could, after the lien is perfected, institute a collection suit, according to the lien, and if it were successful in obtaining a judgment, the real property and the equipment thereon could be foreclosed upon. If a contractor were to successfully foreclose on such liens, we may not then be able to use such assets to manufacture our products, and our business could be materially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one FDA-approved product, we may be unable to obtain additional U.S. or foreign regulatory approval and, as a result, may be unable to commercialize our other product candidates. We are and will continue to be subject to ongoing extensive regulation, regulatory obligations and continued regulatory review, which may result in significant additional expense.</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approved product and other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review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We had previously received a CRL in response to our initial BLA submission, requiring us to resubmit the BLA to the FDA addressing the issues in the CRL. On April 22, 2024, the FDA approved ANKTIVA with BCG for the treatment of adult patients with BCG-unresponsive NMIBC with CIS with or without papillary tumors. We are required to comply with certain post-marketing commitments, including completion of our QUILT 3.032 clinical trial and annual reporting for up to four years, with a final report submission to the FDA by the end of 2029.</w:t>
      </w:r>
    </w:p>
    <w:p>
      <w:pPr>
        <w:spacing w:after="0" w:line="194"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18"/>
          <w:szCs w:val="18"/>
          <w:color w:val="auto"/>
        </w:rPr>
        <w:t>During the fourth quarter of 2024, we submitted MAAs for ANKTIVA with BCG for the treatment of patients with BCG-unresponsive NMIBC CIS to the EMA and the MHRA, which agencies accepted such MAAs for review in the first quarter of 2025. These are the first such submissions for us, the regulatory review process is uncertain, and there can be no assurance that the agencies will approve the MAAs on the anticipated timeline, or at all.</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Other than our approved product, we have not received regulatory approval from the FDA or comparable foreign authorities for any other product candidate, and we may never receive such regulatory approval for any of our other product candidates or regulatory approval that will allow us to successfully commercialize such other product candidates. In addition, regulatory agencies may lack experience with our technologies and products, which may lengthen the regulatory review process, increase our development costs and delay or prevent their commercialization.</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other product candidates.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Further, regulatory agency reorganizations, layoffs due to reduction in force initiatives and other similar measures, such as those implemented at the FDA during early 2025, may impact the normal operations of the FDA as well as other federal agencies. FDA staffing levels and resources may not meet current review, approval, and inspection schedules, which could delay our anticipated timelines. In addition, fewer agency guidance documents could interfere with FDA programs or lead to more CRLs or refusals to approve products. It is unclear how our industry, regulatory submissions and our clinical programs will be impacted by policies and regulations implemented under the current administration and FDA leadership. There is uncertainty in the industry and how federal agencies like the FDA will change in the coming years. To the extent the agency reorganization and other agency changes lead to disruptions in the FDA’s operations, our correspondence and regulatory review processes with the FDA may be materially delayed.</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approved product or other product candidates in one jurisdiction does not mean that we will be successful in obtaining or maintaining regulatory approval in other jurisdictions.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approved product or other product candidates in one jurisdiction does not mean that we will be successful in obtaining or maintaining regulatory approval in other jurisdictions, however a failure or delay in obtaining regulatory approval in one jurisdiction may have a negative effect on the regulatory review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spacing w:after="0" w:line="18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approved product or other product candidates in certain countries. If we fail to comply with the regulatory requirements in international markets and/or fail to receive applicable marketing approvals, our target market will be reduced and our ability to realize the full market potential of our approved product or other product candidates will be harmed.</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any targeted jurisdiction would prevent us from marketing our products to a larger patient population and reduce our commercial opportunities.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our products in the EU, UK, U.S. and other jurisdictions, we and any collaboration partners must obtain separate regulatory approvals and comply with numerous and varying regulatory requirements. The time required to obtain approval in other countries may differ from that required to obtain FDA approval. The foreign regulatory approval process may include all of the risks associated with obtaining FDA approval as well as additional or different risks, and we may not obtain foreign regulatory approvals on a timely basis, if at all. Approval by the European Commission, MHRA or the FDA does not ensure approval by regulatory authorities in other countries, and approval by one foreign regulatory authority does not ensure approval by regulatory authorities in other foreign countries or by the FDA. We or any collaboration partners may not be able to file for regulatory approvals and may not receive necessary approvals to commercialize our products in the EU, UK and other foreign jurisdictions or for new product candidates and/or new indications in the U.S. Failure to obtain these approvals would harm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received regulatory approval for our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other product candidates.</w:t>
      </w:r>
    </w:p>
    <w:p>
      <w:pPr>
        <w:spacing w:after="0" w:line="72"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including our current product, will be subject to extensive and ongoing regulatory requirements. These requirements include submissions of safety and other post-marketing information and reports, including reporting of certain adverse events as well as continued compliance with cGMP for the drug products, and GCP guidelines for any clinical trials that we conduct post-approval.</w:t>
      </w:r>
    </w:p>
    <w:p>
      <w:pPr>
        <w:spacing w:after="0" w:line="17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54"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holds on clinical trials;</w:t>
      </w:r>
    </w:p>
    <w:p>
      <w:pPr>
        <w:spacing w:after="0" w:line="117"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fines, warning or untitled letters;</w:t>
      </w:r>
    </w:p>
    <w:p>
      <w:pPr>
        <w:spacing w:after="0" w:line="11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withdrawal of product approvals;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 or refusal to permit the import or export of product candidates;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we may not be successful commercializing our approved product or our other product candidates if and when they are approved.</w:t>
      </w:r>
    </w:p>
    <w:p>
      <w:pPr>
        <w:spacing w:after="0" w:line="5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implementing our sales and marketing personnel hiring plan and building out key commercialization infrastructure for the commercialization of our approved product. To achieve commercial success for any other product for which we obtain marketing approval, we may need to hire additional sales and marketing personnel.</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build, a focused sales and marketing infrastructure to market our approved product and potentially other product candidates in the U.S., if and when they are approved, including by partnering with experienced third party contractors. There are risks involved with establishing our own sales, marketing and distribution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For example, we had previously hired sales and marketing personnel for a launch of our now-approved product, but we received a CRL from the FDA in May 2023.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approved product and other product candidates, if approved, on our own include:</w:t>
      </w:r>
    </w:p>
    <w:p>
      <w:pPr>
        <w:spacing w:after="0" w:line="171" w:lineRule="exact"/>
        <w:rPr>
          <w:sz w:val="20"/>
          <w:szCs w:val="20"/>
          <w:color w:val="auto"/>
        </w:rPr>
      </w:pPr>
    </w:p>
    <w:p>
      <w:pPr>
        <w:ind w:left="980" w:right="8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107"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sales personnel to obtain access to physicians or increase market acceptance of our approved product or any other product candidate, if approved;</w:t>
      </w:r>
    </w:p>
    <w:p>
      <w:pPr>
        <w:spacing w:after="0" w:line="107"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reimbursement professionals to negotiate arrangements for coverage or adequate reimbursement by payors for our approved product or any other product candidate, if approved;</w:t>
      </w:r>
    </w:p>
    <w:p>
      <w:pPr>
        <w:spacing w:after="0" w:line="107"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price our approved product or any other product candidates, if approved, at a sufficient price point to ensure an adequate and attractive level of profitability;</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or closed distribution channels that make it difficult to distribute our approved product or any other product candidates, if approved, to segments of the patient population;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7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we will not be successful in commercializing our approved product or any other product candidates, if approved.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related to large-scale commercial manufacturing could cause delays in product launches, an increase in product costs, product recalls or product shortages.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Manufacturing finished drug products, especially in large quantities, is complex. Our product, and if our other product candidates receive regulatory approval, will require several manufacturing steps and may involve complex techniques to ensure quality and sufficient quantity, especially as the manufacturing scale increases. Our approved product and other product candidates will need to be made consistently and in compliance with a clearly defined manufacturing process pursuant to FDA regulations. Accordingly, it will be essential to be able to validate and control the manufacturing process to ensure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cause recalls, lead to delays in our clinical trials or result in litigation or regulatory action. Such actions would hinder our ability to meet contractual obligations and could cause material adverse consequences for our business.</w:t>
      </w: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have or may receive and subject us to other penalties that could materially harm our business. For example, our GMP-in-a-Box may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72"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consuming, complex and uncertain. For instance, before a new medical device, or a new intended use for an existing device, can be marketed in the U.S., a company must first submit a pre-market submission, such as a pre-market notification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PMA, and receive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or approval from the FDA, unless an exemption applies.</w:t>
      </w:r>
    </w:p>
    <w:p>
      <w:pPr>
        <w:spacing w:after="0" w:line="20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approved product and other product candidates will require surveillance to monitor the safety and efficacy of the product. The FDA and similar agencies have significant pre- and post-market authority, including requirements related to product design, development, testing, laboratory and preclinical studies, clinical trials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w:t>
      </w:r>
    </w:p>
    <w:p>
      <w:pPr>
        <w:spacing w:after="0" w:line="188"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Medical devices regulated by the FDA are subject to general controls which include: registration with the FDA; listing commercially distributed products with the FDA; complying with cGMP under QSR; filing reports with the FDA of and keeping records relative to certain types of adverse events associated with devices under the medical device reporting regulation; assuring that device labeling complies with device labeling requirements; and reporting certain device field removals and corrections to the FDA. In addition to the general controls, some Class 2 medical devices are also subject to special controls. Most medical devices that require pre-market review by the FDA, including most Class 2 medical devices, require the submission of a 510(k)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and obtaining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prior to marketing the device. Some devices known as 510(k)-exempt devices can be marketed without prior clearance or approval from the FDA. Most Class 3 devices are subject to the FDA’s PMA requirement. Further, in February 2024, the FDA issued a final rule replacing the QSR with the QMSR, which incorporates by reference the quality management system requirements of ISO 13485:2016. The FDA has stated that the standards contained in ISO 13485:2016 are substantially similar to those set forth in the existing QSR. This final rule does not go into effect until February 2026.</w:t>
      </w:r>
    </w:p>
    <w:p>
      <w:pPr>
        <w:spacing w:after="0" w:line="19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FDA can also refuse to clear or approve pre-market submissions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spacing w:after="0" w:line="180"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200" w:lineRule="exact"/>
        <w:rPr>
          <w:sz w:val="20"/>
          <w:szCs w:val="20"/>
          <w:color w:val="auto"/>
        </w:rPr>
      </w:pPr>
    </w:p>
    <w:p>
      <w:pPr>
        <w:spacing w:after="0" w:line="3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FDA or comparable foreign regulatory authorities become aware of new safety information or previously unknown problems after approval of our approved product or any of our other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it would have a material and adverse effect on our business, financial condition and results of operations.</w:t>
      </w:r>
    </w:p>
    <w:p>
      <w:pPr>
        <w:spacing w:after="0" w:line="22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pre-approval promotion and the promotion of off-label uses. If we or our sales and marketing partners violate these laws and regulations, we could face civil liability or encounter regulatory investigations and significant regulatory penalties and sanctions.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FDA prohibits the pre-approval promotion of drugs as safe and effective for the purposes for which they are under investigation. Similarly, the FDA prohibits the promotion of approved drugs for new or unapproved indications. If the FDA finds that we have engaged in pre-approval promotion of our future product candidates, or if our approved product or any of our other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approved product and other product candidates, if approved. In particular, an approved product may not be promoted for uses that are not approved by the FDA or such other regulatory agencies as reflected in the product’s approved labeling. However, physicians may nevertheless prescribe our product, or any future approved product, to their patients in a manner that is inconsistent with the approved label, which is within their purview as part of their practice of medicine. If we are found to have promoted such off-label uses, however,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The FDA may also issue a public warning letter or untitled letter to the company. If we cannot successfully manage the promotion of our product or any future approved products, we could become subject to significant liability, which would materially adversely affect our business and financial condition.</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Inappropriate assumptions may be drawn based on results for patients who receive access to any of our non-approved product candidates through compassionate use, EAPs, or right to try access, which should not be viewed as representative of how the product candidate will perform in a well-controlled clinical trial.</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often receive requests for compassionate use access to our investigational drugs by patients that do not meet the entry criteria for enrollment into our clinical trials. Generally, patients requesting compassionate use have no other treatment alternatives for life-threatening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our compassionate use program may not be used to establish safety or efficacy or regulatory approval.</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some patients who receive access to product candidates prior to their commercial approval through compassionate use, EAPs, or right to try access have life-threatening illnesses and have exhausted all other available therapies. The risk for serious adverse events in this patient population is high, which could have a negative impact on the safety profile of ANKTIVA or future product candidates, which could cause significant delays or an inability to successfully commercialize ANKTIVA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ANKTIVA or future product candidates, which could prompt adverse publicity or other disruptions related to current or potential participants in such programs.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U.S. and certain foreign export and import controls, sanctions, embargoes, anti-corruption, anti-money laundering, data export, and foreign investment laws and regulations. Compliance with these legal standards could impair our ability to compete in domestic and international markets. We can face criminal and/or civil liability and other serious consequences for violations, which can harm our business.</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Our approved product and our other product candidates will be subject to export control and import laws and regulations, including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U.S. Export Administration Regulations, U.S. Customs regulations and various economic and trade sanctions regulations administered by the OFAC, the FCPA, the U.S. domestic bribery statute contained in 18 U.S.C. §201, the U.S. Travel Act, the USA PATRIOT Act and possibly other state and national anti-bribery, anti-money laundering, and foreign investment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use CROs abroad for clinical trials. In addition, we may engage third-party intermediaries to sell our approved product or other product candidates and solutions abroad once we enter a commercialization phase for our approved product or such other product candidates and/or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If we fail to comply with these laws and regulations, we and certain of our employees could be subject to substantial civil or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adopted an anti-corruption policy, which mandates compliance with the FCPA and other anti-corruption laws applicable to our business throughout the world. However, there can be no assurance that our employees and third-party intermediaries will comply with this policy or such anti-corruption laws. Non-compliance with anti-corruption and anti-money laundering laws could subject us to whistleblower complaints, investigations, sanctions, settlements, prosecution, other investigations, or other enforcement actions. If such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products and technologies are subject to export control laws and regulations, including the Export Administration Regulations administered by the U.S. Department of Commerce, and our products, technologies, and activities are subject to trade and economic sanctions, including those administered by the U.S. Treasury Department’s Office of Foreign Assets Control, or OFAC, as well as regulations administered by the governments of other countries in which we do business. As such, licenses and notices may be required to import products, technologies, and services from or export or re-export products, technologies, and services to certain countries and end users and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In addition, on January 15, 2025, the U.S. Department of Commerce, Bureau of Industry and Security issued an interim final rule implementing targeted export controls on certain analytical instruments that are highly suitable for generating large, detailed biological datasets based upon the potential to exploit these techniques for asymmetric military advantage.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19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negatively impact U.S. trade. For example, proposed legislation in Congress known as the BIOSECURE Act has been introduced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This new or proposed legislation, or similar legislation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Other new regulations could affect the transfer of certain types of data abroad, including to China; for example, the Department of Justice recently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cannot predict what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w:t>
      </w:r>
    </w:p>
    <w:p>
      <w:pPr>
        <w:spacing w:after="0" w:line="2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further changes in the tariff and trade policies of the United States or of other countries could increase manufacturing and sourcing costs, decrease demand for our offerings, disrupt supply chains, or otherwise adversely affect our business and financial condition.</w:t>
      </w:r>
    </w:p>
    <w:p>
      <w:pPr>
        <w:spacing w:after="0" w:line="5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its trading partners, most significantly China, with respect to trade policies, tariffs, taxes, and similar policies affecting cross-border operations. For example, the U.S. government has made and continues to make significant additional changes in U.S. trade policy, specifically tariffs, and may continue to take future actions that could negatively impact our business. The U.S. government recently escalated tariffs on the import of goods from most U.S. trading partners. For example, since</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March 2025, the United States has placed an additional 20% tariff on most goods from China, imposed an additional 25% tariff on most products of Canada and Mexico (with an exception for goods that qualify for duty-free treatment under the U.S.-Mexico-Canada Agreement), and implemented</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25% Section 232 tariffs on various articles of steel and aluminum. In April 2025, the U.S. government imposed 25% Section 232 tariffs on passenger vehicles and light trucks (with similar Section 232 tariffs on components for such vehicles expected to be</w:t>
      </w: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imposed beginning in May 2025); an additional reciprocal tariff of 125% on most imports from China; and an additional reciprocal tariff of 10% on most imports from U.S. trading partners other than China, Canada, Mexico, and countries with which the U.S. does not have normal trade relations. While certain products were excluded from some of these reciprocal tariff measures, including items subject to Section 232 tariffs; certain pharmaceuticals and pharmaceutical products; and certain semiconductors, computers, consumer electronics, and other products derivative of critical minerals, the scope of these exclusions is subject to change. In addition, the U.S. Department of Commerce has recently initiated Section 232 investigations into additional products, including semiconductors and related manufacturing equipment, processed critical minerals and derivative products; and medium-duty and heavy-duty trucks and parts therefor. When these investigations are complete, the U.S. government may decide to levy additional tariffs on such products.</w:t>
      </w:r>
    </w:p>
    <w:p>
      <w:pPr>
        <w:spacing w:after="0" w:line="17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In response to these and other U.S. trade measures, China, Canada, and other affected countries have taken retaliatory actions to respond, with measures that include the imposition of retaliatory tariffs on imports of products of U.S. origin, the imposition of export controls on a wide array of products (including rare earth metals and other critical minerals), and other actions. The adoption of retaliatory actions by China prompted the United States to further increase its tariff measures, and continued escalation of tariffs and trade measures could result in the outbreak of a trade war.</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trade and tariff policies of the United States and other countries are currently fluid and subject to further changes. While we will make efforts to mitigate the impacts of escalated tariffs on our business, we may be unsuccessful in fully mitigating these effects, or unable to do so at reasonable cost. Recent increases in the tariffs imposed by the U.S.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further clarity in the tariff landscape; and (iv) have other effects. In addition, these tariff actions may also indirectly affect our business through impacts on our customers, vendors, suppliers, and other counterparties, who may themselves be directly affected by some or all of these tariff actions, or indirectly affected by macroeconomic effects resulting from these or other tariff related actions, including potential risks associated with inflation or economic recession. Should the trade relationships between the United States and its trading partners remain strained or worsen, our business, liquidity, financial condition, and/or results of operations may therefore be materially and adversely affected.</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national and/or international privacy and security laws and regulations could lead to government enforcement actions and significant penalties against us, and adversely impact our operating results.</w:t>
      </w:r>
    </w:p>
    <w:p>
      <w:pPr>
        <w:spacing w:after="0" w:line="51"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7"/>
          <w:szCs w:val="17"/>
          <w:color w:val="auto"/>
        </w:rPr>
        <w:t>There are numerous laws and regulations at the federal and state levels addressing privacy and security concerns, and some state laws apply more broadly than HIPAA and associated regulations. For example, the CCPA, which went into effect on January 1, 2020, provides, among other things, new privacy and security obligations for covered companies and new privacy rights to California consumers, including the right to opt out of certain sales of their personal information. The CCPA also provides for civil penalties as well as a private right of action with statutory damages for certain data breaches, thereby potentially increasing risks associated with a data breach. Although the CCPA includes limited exceptions, including for certain personal information collected as part of certain clinical trials or other biomedical research studies, it may regulate or impact our processing of personal information depending on the context. Additionally, the CPRA was approved by California voters in November 2020. The CPRA significantly modifies the CCPA, which may require us to modify our practices and policies and may further increase our compliance costs and potential liability. Certain states have also enacted or proposed privacy laws governing health information, including for example, Washington’s My Health, My Data Act and Nevada’s Senate</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Bill 370, and all 50 states have enacted laws imposing obligations to provide notification of certain security breaches of personal information. Additionally, several states have enacted or proposed laws similar to the CCPA, such as in in Colorado, Connecticut, Delaware, Florida, Indiana, Iowa, Kentucky, Minnesota, Montana, Nebraska, New Hampshire, New Jersey, New York, Rhode Island, Tennessee, Texas, Utah, and Virginia. These laws reflect a trend toward more stringent privacy laws in the U.S. and have prompted a number of proposals for new federal and state-level privacy laws. We cannot yet determine the impact these laws or changes may have on our business and operations, but anticipate they could increase our compliance costs and potential liability, impair our ability to collect, use or otherwise process personal information, expose us to greater liability and require us to modify our practices and policies in an effort to comply.</w:t>
      </w: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relating to privacy and security. For example, EU member states and other foreign jurisdictions, including the UK and Switzerland, have adopted data protection laws and regulations which impose significant compliance obligations on us. The collection, use, and other processing of personal data, including patient or health data, in the European Economic Area, may be governed by the GDPR. The GDPR, which is wide-ranging in scope and applies extraterritorially, imposes, among other things, requirements relating to the consent of the individuals to whom the personal data relates, the notices provided to such individuals, the security and confidentiality of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data protection authorities with enforcement authority and imposes large penalties for non-compliance, including the potential for fines of up to €20 million or up to 4% of the total worldwide annual global revenues of the noncompliant entity, whichever is greater. GDPR requirements apply not only to third-party personal data transfers, but also to transfers of personal data between us and our subsidiaries, including employee information. In addition, in January 2021, following its exit from the EU, the UK transposed the GDPR into its domestic law with its own version of the GDPR (combining the GDPR and the UK GDPR), which currently imposes the same obligations as the GDPR in most material respects and provides for fines of up £17.5 million or up to 4% of the total worldwide annual global revenues of the noncompliant entity, whichever is greater. Numerous other jurisdictions worldwide maintain laws and regulations relating to cross-border data transfer, data localization, and other aspects of privacy, security, and data protection.</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Complying with numerous, complex, and changing laws and regulations is expensive and difficult. Any actual or alleged failure to comply with any privacy or security law or regulation, or security breach or other incident, including those involving the misappropriation, loss, or other unauthorized use, disclosure or other processing of sensitive or confidential patient, consumer or other personal information, whether by us, one of our CROs or business associates or another third party, could adversely affect our business, financial condition, and results of operations, and could subject us to investigations, litigation, and other proceedings, material fines and penalties, compensatory, special, punitive and statutory damages,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enactment of, and changes to, privacy and security laws and regulations have increased our responsibility and potential liability, including in relation to the personal data that we process and our clinical trials, and we may be required to put in place additional mechanisms in an effort to comply with applicable laws and regulations, which could divert management’s attention and increase our cost of doing business. In addition, any new law or regulation relating to privacy and security, or any applicable industry standard, may increase our costs of doing business. In this regard, we expect that there will continue to be new proposed laws, regulations and industry standards relating to privacy and security in the U.S., the UK, the EU, and other jurisdictions, and we cannot determine the impact such future laws, regulations and standards may have on our business.</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our CROs or other third-party service providers with access to our or our customers’, suppliers’, trial patients’ and employees’ personal information or other sensitive or confidential information will not breach applicable laws or regulations or contractual obligations imposed by us, or that they will not experience security breaches or incidents, which could have a corresponding effect on our business, including putting us in breach of our obligations under privacy and security laws and regulations and/or which could in turn adversely affect our business, results of operations and financial condition. We cannot assure you that the measures and safeguards we have taken will protect us from the foregoing risks, any of which could have a material adverse effect on our business, financial condition, results of operations and prospects.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approved product or other product candidates, which could make it difficult for us to sell our approved product or other product candidates profitably.</w:t>
      </w:r>
    </w:p>
    <w:p>
      <w:pPr>
        <w:spacing w:after="0" w:line="51"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In both domestic and foreign markets, sales of our approved product or other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approved product or other product candidates unless coverage is provided, and reimbursement is adequate to cover a significant portion of the cost of our approved product or other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approved product and other product candidates represent new approaches to the treatment of cancer, we cannot accurately estimate the potential revenues from our approved product or other product candidates.</w:t>
      </w:r>
    </w:p>
    <w:p>
      <w:pPr>
        <w:spacing w:after="0" w:line="2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approved product or other future products, if any, as cost-effective, and coverage and reimbursement may not be available to our customers, or those of our collaborators, or may not be sufficient to allow our approved product or other future approved products, if any, to be marketed on a competitive basis. If reimbursement is not available, or is available only to limited levels, our product and other product candidates may be competitively disadvantaged, and we, or our collaborators, may not be able to successfully commercialize our approved product or other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34"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covered benefit under its health plan;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 effective and medically necessary;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 for the specific patient;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cost-effective;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experimental nor investigational.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approved product and our other product candidates, if approved,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has considered and may continue to consider legislation that, if passed, could have significant impact on prices of prescription drugs covered by Medicare, including limitations on drug price increases. The impact of these regulations and any future healthcare measures and agency rules on us and the pharmaceutical industry as a whole is currently unknown. Further, changes in the leadership of the FDA and other federal agencies may lead to new policies, changes in regulations, or disruptions to the operations of the federal agencies, any of which may impact our clinical development plans. The implementation of cost containment measures or other healthcare reforms may prevent us from being able to generate revenue, attain profitability, or commercialize our approved product and other product candidates if approved. Complying with any new legislation and regulatory changes could be time-intensive and expensive, resulting in a material adverse effect on our business.</w:t>
      </w:r>
    </w:p>
    <w:p>
      <w:pPr>
        <w:spacing w:after="0" w:line="19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 BLA or NDA, in the form of mandatory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rebates and/or discounts if commercial prices increase at a rate greater than the Consumer Price Index-Urban, and these rebates and/or discounts, which 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substantial, may impact our ability to raise commercial prices. For example, under the American Rescue Plan Act of 2021, the statutory cap on Medicaid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Rebate Program rebates that manufacturers pay to state Medicaid programs has been eliminated. Elimination of this cap may require pharmaceutical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to pay more in rebates than they receive on the sale of products, which could have a material impact on our business. In August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Congress passed the IRA, which includes prescription drug provisions that have significant implications for the pharmaceutical industry and Medicare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beneficiaries, including allowing the federal government to negotiate a maximum fair price for certain high-priced single source Medicare drugs, imposing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and excise tax for manufacturers that fail to comply with the drug price negotiation requirements, requiring inflation rebates for all Medicare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B and Part D drugs, with limited exceptions, if their drug prices increase faster than inflation, and redesigning Medicare Part D to reduce out-of-pocket</w:t>
      </w:r>
    </w:p>
    <w:p>
      <w:pPr>
        <w:spacing w:after="0" w:line="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prescription drug costs for beneficiaries, among other changes. Only high-expenditure single-source drugs that have been approved for at least 7 years (11 years for single-source biologics) can qualify for negotiation, with the negotiated price taking effect 2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Medicare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on us and the pharmaceutical industry as a whole is unclear. Cost control initiatives could cause us, or our collaborators, to decrease, discount, or rebate a portion of the price we, or they, might establish for products, which could result in lower than anticipated product revenues. If the prices realized for our approved product or other product candidates, if any, decrease or if governmental and other third-party payors do not provide adequate coverage or reimbursement, our prospects for revenues and profitability will suffer.</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approved product or other product candidates to maximum payment amounts or impose limitations that make it difficult to obtain reimbursement, providers may choose to use therapies which are less expensive when compared to our approved product or other product candidates. Additionally, if payors require high co-payments, beneficiaries may decline our therapies and seek alternative therapies and physicians may be reluctant to recommend our approved product to their patients. We may need to conduct post-marketing studies in order to demonstrate the cost-effectiveness of any future products to the satisfaction of physicians and other target customers and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and our collaborators, cannot be sure that coverage will be available for our approved product or any other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26"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demand for our approved product or other product candidates if we obtain regulatory approval;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set a price that we believe is fair for our approved product and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level of taxes that we are required to pay;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possible challenge for our approved product and other product candidates arises from the fact that they may potentially be used in an inpatient setting. Inpatient reimbursement generally relies on stringent packaging rules that may mean that there is no separate payment for our approved product or other product candidates. Additionally, data used to set the payment rates for inpatient admissions is usually several years old and would not take into account all of the additional therapy costs associated with the administration of our other product candidates. If special rules are not created for reimbursement for immunotherapy treatments such as our approved product or other product candidates, hospitals might not receive enough reimbursement to cover their costs of treatment, which will have a negative effect on their adoption of our approved product or other product candidates.</w:t>
      </w:r>
    </w:p>
    <w:p>
      <w:pPr>
        <w:spacing w:after="0" w:line="192"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Further, the codes used by providers to bill for our approved product could also affect reimbursement. J-codes are codes maintained by the CMS, which are a component of the HCPCS and are typically used to report injectable drugs that ordinarily cannot be self-administered. In October 2024, we were assigned a J-code for ANKTIVA, which became effective on January 1, 2025. To date, we do not have a specific J-code for any of our other product candidates. We cannot guarantee that a J-code will be granted for any of our other product candidates, if approved. To the extent separate coverage or reimbursement is available for our product candidates, if approved, and a specific J-code is not available, physicians would need to use a non-</w:t>
      </w: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 and as a result, we may experience slower than expected commercial sales for such product candidates if approved and until a J-code is assigned.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approved product or other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spacing w:after="0" w:line="187" w:lineRule="exact"/>
        <w:rPr>
          <w:sz w:val="20"/>
          <w:szCs w:val="20"/>
          <w:color w:val="auto"/>
        </w:rPr>
      </w:pPr>
    </w:p>
    <w:p>
      <w:pPr>
        <w:ind w:right="120" w:firstLine="648"/>
        <w:spacing w:after="0" w:line="219" w:lineRule="exact"/>
        <w:rPr>
          <w:sz w:val="20"/>
          <w:szCs w:val="20"/>
          <w:color w:val="auto"/>
        </w:rPr>
      </w:pPr>
      <w:r>
        <w:rPr>
          <w:rFonts w:ascii="Times New Roman" w:cs="Times New Roman" w:eastAsia="Times New Roman" w:hAnsi="Times New Roman"/>
          <w:sz w:val="18"/>
          <w:szCs w:val="18"/>
          <w:color w:val="auto"/>
        </w:rPr>
        <w:t>Since enactment of the ACA in 2010, in both the U.S. and certain foreign jurisdictions, there have been a number of legislative and regulatory changes to the health care system that could impact our ability to sell our approved product or other product candidates profitably. These changes included aggregate reductions of Medicare payments to providers of up to 2% per fiscal year, effective April 1, 2013, which, due to subsequent legislative amendments, will stay in effect through 2032, with the exception of a temporary suspension implemented under various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relief legislation. In January 2013, the ATRA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approved product or other product candidates, if approved, and accordingly, our financial operations.</w:t>
      </w:r>
    </w:p>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Since its enactment, various portions of the ACA have been subject to judicial and constitutional challenges.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future litigation or healthcare measures will impact our business, financial condition and results of operations. Complying with any new legislation or reversing changes implemented under the ACA could be time-intensive and expensive, resulting in a material adverse effect on our business.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approved product or other product candidates.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approved product or other product candidates, if any, may be. In addition, increased scrutiny by Congress of the FDA’s approval process may significantly delay or prevent marketing approval, as well as subject us to more stringent product labeling and post-marketing testing and other requirements. Recently, the United States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have initiated lawsuits against the federal government asserting that the price negotiation provisions of the IRA are unconstitutional. The impact of these judicial challenges, future litigation in view of the Supreme Court’s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decision, legislative, executive, and administrative actions and any future healthcare measures and agency rules implemented by the government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spacing w:after="0" w:line="19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21"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or other product candidates is unavailable or limited in scope or amount, or if pricing is set at unsatisfactory levels, our business could be harmed, possibly materially.</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CROs, CMOs,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principal investigators, CROs, CMOs,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As we begin commercializing our approved product and may in the future commercialize our other product candidates, if any, in</w:t>
      </w: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security laws. If we are unable to comply, or have not fully complied, with such laws, we could face significant penalties and liabilities.</w:t>
      </w:r>
    </w:p>
    <w:p>
      <w:pPr>
        <w:spacing w:after="0" w:line="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fraud and abuse laws, including, without limitation, the federal Anti-Kickback Statute and the federal FCA.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security with respect to patient or health data. The laws that may affect our ability to operate include, but are not limited to:</w:t>
      </w:r>
    </w:p>
    <w:p>
      <w:pPr>
        <w:spacing w:after="0" w:line="129" w:lineRule="exact"/>
        <w:rPr>
          <w:sz w:val="20"/>
          <w:szCs w:val="20"/>
          <w:color w:val="auto"/>
        </w:rPr>
      </w:pPr>
    </w:p>
    <w:p>
      <w:pPr>
        <w:ind w:left="980" w:right="40" w:hanging="324"/>
        <w:spacing w:after="0" w:line="266"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spacing w:after="0" w:line="121" w:lineRule="exact"/>
        <w:rPr>
          <w:rFonts w:ascii="Times New Roman" w:cs="Times New Roman" w:eastAsia="Times New Roman" w:hAnsi="Times New Roman"/>
          <w:sz w:val="18"/>
          <w:szCs w:val="18"/>
          <w:b w:val="1"/>
          <w:bCs w:val="1"/>
          <w:color w:val="auto"/>
        </w:rPr>
      </w:pPr>
    </w:p>
    <w:p>
      <w:pPr>
        <w:ind w:left="980" w:right="180" w:hanging="324"/>
        <w:spacing w:after="0" w:line="261"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false claims and civil monetary penalties laws, including the federal civil FCA,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w:t>
      </w:r>
    </w:p>
    <w:p>
      <w:pPr>
        <w:spacing w:after="0" w:line="125"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which created additional federal criminal statutes that prohibit, among other things, knowingly and willfully executing or attempting to execute a scheme to defraud healthcare programs, as well as;</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as amended by HITECH, which imposes requirements on certain types of people and entities relating to the privacy, security, and transmission of PHI, and requires notification to affected individuals and regulatory authorities of certain breaches of the privacy or security of PHI, and other U.S. laws and foreign laws that govern the privacy or security of health or patient data;</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20" w:hanging="324"/>
        <w:spacing w:after="0" w:line="256" w:lineRule="auto"/>
        <w:tabs>
          <w:tab w:leader="none" w:pos="97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to report annually to the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w:t>
      </w:r>
    </w:p>
    <w:p>
      <w:pPr>
        <w:spacing w:after="0" w:line="133" w:lineRule="exact"/>
        <w:rPr>
          <w:rFonts w:ascii="Times New Roman" w:cs="Times New Roman" w:eastAsia="Times New Roman" w:hAnsi="Times New Roman"/>
          <w:sz w:val="18"/>
          <w:szCs w:val="18"/>
          <w:b w:val="1"/>
          <w:bCs w:val="1"/>
          <w:color w:val="auto"/>
        </w:rPr>
      </w:pPr>
    </w:p>
    <w:p>
      <w:pPr>
        <w:ind w:left="980" w:right="380" w:hanging="324"/>
        <w:spacing w:after="0" w:line="282" w:lineRule="auto"/>
        <w:tabs>
          <w:tab w:leader="none" w:pos="97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or causing to be made, false statements relating to healthcare matters;</w:t>
      </w:r>
    </w:p>
    <w:p>
      <w:pPr>
        <w:spacing w:after="0" w:line="107" w:lineRule="exact"/>
        <w:rPr>
          <w:rFonts w:ascii="Times New Roman" w:cs="Times New Roman" w:eastAsia="Times New Roman" w:hAnsi="Times New Roman"/>
          <w:sz w:val="18"/>
          <w:szCs w:val="18"/>
          <w:b w:val="1"/>
          <w:bCs w:val="1"/>
          <w:color w:val="auto"/>
        </w:rPr>
      </w:pPr>
    </w:p>
    <w:p>
      <w:pPr>
        <w:ind w:left="980" w:right="180" w:hanging="324"/>
        <w:spacing w:after="0" w:line="266" w:lineRule="auto"/>
        <w:tabs>
          <w:tab w:leader="none" w:pos="97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FCPA, the U.K. Bribery Act of 2010, and other local anti-corruption laws that apply to our international activities;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line="256" w:lineRule="auto"/>
        <w:tabs>
          <w:tab w:leader="none" w:pos="97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or health data, privacy or security. Other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we grow our business and expand our sales organization or rely on distributors outside of the U.S.,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17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Personnel changes, disruptions at the FDA, the SEC and other government agencies caused by layoffs, agency reorganizations, funding cuts or shortages could hinder their ability to hire and retain key leadership and other personnel, prevent new products from being developed or commercialized in a timely manner, or otherwise prevent those agencies from performing normal business functions, which could negatively impact our business and the approval of our future BLA submissions, as well as adversely affect the U.S. and global economy and our liquidity, financial condition and earnings.</w:t>
      </w:r>
    </w:p>
    <w:p>
      <w:pPr>
        <w:spacing w:after="0" w:line="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and related government shutdowns,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Changes in the leadership of the FDA and other federal agencies may also lead to new policies and changes in the regulations and operations of the FDA, including resignations, mass layoffs, Agency reorganization, and measures implemented by the Department of Government Efficiency, any of which may impact our clinical development plans.</w:t>
      </w: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including disruptions due to public health concerns, resurgence of COVID-19 cases, travel restrictions, or staffing shortages,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in the future, including as a result of any failure by the U.S. federal government to increase the debt ceiling,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 financial condition and results of operations and/or our BLA submissions.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protection and other proprietary rights for our approved product and other product candidates and technologies, we may not be able to compete effectively or operate profitably and may lose our ability to prevent our competitors from commercializing similar or identical technology and our approved product and other product candidates would be adversely affected.</w:t>
      </w:r>
    </w:p>
    <w:p>
      <w:pPr>
        <w:spacing w:after="0" w:line="6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obtaining, maintaining, protecting and enforcing patents and other proprietary rights in the U.S. and other countries with respect to our approved product and other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ANKTIVA and hAd5 constructs, cell-based therapies or other product candidates and technologies that effectively prevent others from commercializing competitive technologies and product candidates.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ANKTIVA and hAd5 constructs,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 consuming, even if we were successful in stopping the violation of our patent rights.</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We or our licensors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which challenge our or our licensor’s priority of invention or other features of patentability with respect to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patent protection of our ANKTIVA and hAd5 constructs, cell-based therapies or other product candidates and technologies. An adverse determination in any of the type of submissions described above, proceeding or litigation could reduce the scope of, or invalidate or render unenforceable,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 rights, allow third parties to commercialize our ANKTIVA and hAd5 constructs, cell-based therapies or other product candidates or technologies and compete directly with us, without payment to us, or result in our inability to manufacture or commercialize products without infringing third-party patent rights.</w:t>
      </w:r>
    </w:p>
    <w:p>
      <w:pPr>
        <w:spacing w:after="0" w:line="20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third parties, and such cooperation may not be provided to us. Any of the foregoing could have a material adverse effect on our competitive position, business, financial conditions, results of operations and growth prospects.</w:t>
      </w:r>
    </w:p>
    <w:p>
      <w:pPr>
        <w:spacing w:after="0" w:line="200" w:lineRule="exact"/>
        <w:rPr>
          <w:sz w:val="20"/>
          <w:szCs w:val="20"/>
          <w:color w:val="auto"/>
        </w:rPr>
      </w:pPr>
    </w:p>
    <w:p>
      <w:pPr>
        <w:spacing w:after="0" w:line="35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owned or in-licensed patent applications do not issue as patents in any jurisdiction, we may not be able to compete effectively.</w:t>
      </w:r>
    </w:p>
    <w:p>
      <w:pPr>
        <w:spacing w:after="0" w:line="22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18 months after filing, or in some cases not at all. Therefore, we cannot be certain whether we or our licensors were the first to make the inventions claimed in any of our owned or licensed patents or pending patent applications, or that we or our licensors were the first to file for patent protection of such inventions.</w:t>
      </w:r>
    </w:p>
    <w:p>
      <w:pPr>
        <w:spacing w:after="0" w:line="182"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7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w:t>
      </w: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adverse result in any litigation or defense proceeding could put one or more of our owned or licensed patents at risk of being invalidated, held unenforceable, or interpreted narrowly, and could put our patent applications at risk of not being issued.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our technology and product or our other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product candidates and technologies.</w:t>
      </w:r>
    </w:p>
    <w:p>
      <w:pPr>
        <w:spacing w:after="0" w:line="6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approved product or other product candidates, pay licensing fees or cease our development and commercialization activities with respect to the applicable approved product or product candidates or technologies. If our approved product or other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200" w:lineRule="exact"/>
        <w:rPr>
          <w:sz w:val="20"/>
          <w:szCs w:val="20"/>
          <w:color w:val="auto"/>
        </w:rPr>
      </w:pPr>
    </w:p>
    <w:p>
      <w:pPr>
        <w:spacing w:after="0" w:line="37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have conducted FTO analyses of the patent landscape with respect to our approved product or other product candidates and continue to undertake FTO analyses of our manufacturing processes, no FTO analysis can be considered exhausted because patent applications do not publish for</w:t>
      </w:r>
    </w:p>
    <w:p>
      <w:pPr>
        <w:ind w:right="80"/>
        <w:spacing w:after="0" w:line="252" w:lineRule="auto"/>
        <w:rPr>
          <w:sz w:val="20"/>
          <w:szCs w:val="20"/>
          <w:color w:val="auto"/>
        </w:rPr>
      </w:pPr>
      <w:r>
        <w:rPr>
          <w:rFonts w:ascii="Times New Roman" w:cs="Times New Roman" w:eastAsia="Times New Roman" w:hAnsi="Times New Roman"/>
          <w:sz w:val="18"/>
          <w:szCs w:val="18"/>
          <w:color w:val="auto"/>
        </w:rPr>
        <w:t>18 months and the claims of patent applications can change over time. We may not be aware of patents that have already been issued and that a competitor or other third party might assert are infringed by our approved product or other product candidates or technologies. It is also possible that we could be found to have infringed patents owned by third parties of which we are aware, but which we do not believe are relevant to our approved product or other product candidates or technologies. In addition, because patent applications can take many years to issue, there may be currently pending patent applications that may later result in issued patents that our approved product or other product candidates or technologies may infringe. Furthermore, patent and other intellectual property rights in biotechnology remains an evolving area with many risks and uncertainties. As such, we may not be able to ensure that we can market our approved product or other product candidates without conflict with the rights of others.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approved product and other product candidates.</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is the case with other immunotherapy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third party that files a patent application in the USPTO after March 2013, but before us could therefore be awarded a patent covering an invention of ours even if we had made the invention before such third party made it.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w:t>
      </w:r>
      <w:r>
        <w:rPr>
          <w:rFonts w:ascii="Times New Roman" w:cs="Times New Roman" w:eastAsia="Times New Roman" w:hAnsi="Times New Roman"/>
          <w:sz w:val="18"/>
          <w:szCs w:val="18"/>
          <w:color w:val="auto"/>
        </w:rPr>
        <w:t>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United States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For example, the United States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 While we do not believe that any of the patents owned or licensed by us will be found invalid based on the foregoing, we cannot predict how future decisions by Congress, the federal courts or the USPTO may impact the value of our patents.</w:t>
      </w:r>
    </w:p>
    <w:p>
      <w:pPr>
        <w:spacing w:after="0" w:line="18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License agreements may not provide exclusive rights to use certain licensed intellectual property and technology in all relevant fields of use and in all territories in which we may wish to commercialize our technology and product candidates in the future. As a result, we may not be able to prevent competitors or other third parties from developing and commercializing competitive products that also utilize technology that we have in-licensed.</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our approved product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certain of our in-licensed intellectual property was funded in part by the U.S. government. As a result, the U.S. government may have certain rights to such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w:t>
      </w: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in certain circumstances if this requirement is not waived. Any exercise by the U.S. government of such rights or by any third party of its reserved rights could have a material adverse effect on our competitive position, business, financial condition, results of operations and growth prospects.</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commercialization of our approved product or the development and commercialization of certain of our other product candidates. Any of the foregoing could have a material adverse effect on our competitive position, business, financial conditions, results of operations and growth prospects.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71"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priority of invention of patented 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growth prospects.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in various jurisdictions throughout the world.</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our approved product and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or our other product candidates and our patents or other intellectual property rights may not be effective or sufficient to prevent them from competing.</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U.S. and other countries that Russia has deemed unfriendly without consent or compensation. Consequently, we would not</w:t>
      </w:r>
    </w:p>
    <w:p>
      <w:pPr>
        <w:spacing w:after="0" w:line="200" w:lineRule="exact"/>
        <w:rPr>
          <w:sz w:val="20"/>
          <w:szCs w:val="20"/>
          <w:color w:val="auto"/>
        </w:rPr>
      </w:pPr>
    </w:p>
    <w:p>
      <w:pPr>
        <w:spacing w:after="0" w:line="36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 able to prevent third parties from practicing our inventions in Russia or from selling or importing products made using our inventions in and into Russia. In another example, in April of 2025, the Brazilian government enacted a law allowing for the suspension of obligations related to foreign entity’s intellectual property rights in response to actions by foreign countries, including the United States. Also, in March of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5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8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or acquire new or necessary intellectual property rights or technology from third parties.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approved product or any other product candidates we may develop, our business may be materially harmed.</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including our approved product,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rights in our patents and other intellectual property.</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ANKTIVA, hAd5 technologies and constructs,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980" w:right="4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be able to make products that are similar to our approved product or other product candidates or utilize similar technology but that are not covered by the claims of the patents that we license or may own;</w:t>
      </w:r>
    </w:p>
    <w:p>
      <w:pPr>
        <w:spacing w:after="0" w:line="10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0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10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on our owned or licensed intellectual property rights;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0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Soon-Shiong, our Founder, Executive Chairman, Global Chief Scientific and Medical Officer and principal stockholder, has significant interests in other companies which may conflict with our interests.</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Founder, Executive Chairman and Global Chief Scientific and Medical Officer, Dr. Soon-Shiong, is also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 that is at least proportional to the cost that we will incur in commercializing the product candidate.</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shared services agreements with NantWorks, pursuant to which the respective parties and their affiliates provide corporate, general and administrative and other support services to each other.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new employees and/or new service providers lack of familiarity with business processes, operating requirements, policies and procedures, and we may incur additional costs as new employees and/or service providers gain necessary experience. In addition, the loss of the services of NantWorks might significantly delay or prevent the commercialization of our approved product or the development of our other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Soon-Shiong, through his voting control of the company, has the ability to control actions that require stockholder approval.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Soon-Shiong, through his direct and indirect ownership of the company’s common stock, has voting control of the company. As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March 31, 2025, Dr. Soon-Shiong and his affiliates owned approximately 76.1% of our common stock outstanding. Dr. Soon-Shiong and his affiliates also own our outstanding convertible promissory note, certain warrants and stock options to purchase shares of our common stock, and certain CVRs as described under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—Conversion of our related-party promissory notes, exercise of outstanding warrants and options to purchase our common stock,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achievement of the milestone under our outstanding CVRs, and potential additional equity issuances may dilute the ownership interest of existing stockholders or may otherwise depress the price of our common stock</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below.</w:t>
      </w:r>
    </w:p>
    <w:p>
      <w:pPr>
        <w:spacing w:after="0" w:line="18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Dr. Soon-Shiong is in a position to control the outcome of corporate actions that require, or may be accomplished by, stockholder approval, including amending the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w:t>
      </w: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Nominating Agreement between us and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spacing w:after="0" w:line="6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our indebtedness was comprised of a $505.0 million December 2024 Promissory Note held by an entity affiliated with Dr. Soon-Shiong that is convertible into shares of our common stock under certain circumstances. The December 2024 Promissory Note bears interest at Term SOFR plus 8.0% per annum, which provides that the noteholder has the option to convert all (but not less than all) of the outstanding principal amount and accrued but unpaid interest into shares of the company’s common stock at a conversion price of $5.4270 per share (subject to appropriate adjustment from time to time for any stock dividend, stock split, combination of shares, reorganization, recapitalization, reclassification, or other similar event)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of March 31, 2025, we had outstanding warrants, stock options and unvested RSU awards covering the issuance of up to:</w:t>
      </w:r>
    </w:p>
    <w:p>
      <w:pPr>
        <w:spacing w:after="0" w:line="171" w:lineRule="exact"/>
        <w:rPr>
          <w:sz w:val="20"/>
          <w:szCs w:val="20"/>
          <w:color w:val="auto"/>
        </w:rPr>
      </w:pPr>
    </w:p>
    <w:p>
      <w:pPr>
        <w:ind w:left="980" w:right="280" w:hanging="324"/>
        <w:spacing w:after="0" w:line="282" w:lineRule="auto"/>
        <w:tabs>
          <w:tab w:leader="none" w:pos="9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6,399,171 shares of our common stock at an exercise price of $3.2946 per share, which are currently exercisable with an expiration date of July 24, 2026 (these warrants were issued to certain institutional investors);</w:t>
      </w:r>
    </w:p>
    <w:p>
      <w:pPr>
        <w:spacing w:after="0" w:line="107" w:lineRule="exact"/>
        <w:rPr>
          <w:rFonts w:ascii="Times New Roman" w:cs="Times New Roman" w:eastAsia="Times New Roman" w:hAnsi="Times New Roman"/>
          <w:sz w:val="18"/>
          <w:szCs w:val="18"/>
          <w:b w:val="1"/>
          <w:bCs w:val="1"/>
          <w:color w:val="auto"/>
        </w:rPr>
      </w:pPr>
    </w:p>
    <w:p>
      <w:pPr>
        <w:ind w:left="980" w:right="80" w:hanging="324"/>
        <w:spacing w:after="0" w:line="261" w:lineRule="auto"/>
        <w:tabs>
          <w:tab w:leader="none" w:pos="975"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25" w:lineRule="exact"/>
        <w:rPr>
          <w:rFonts w:ascii="Times New Roman" w:cs="Times New Roman" w:eastAsia="Times New Roman" w:hAnsi="Times New Roman"/>
          <w:sz w:val="18"/>
          <w:szCs w:val="18"/>
          <w:b w:val="1"/>
          <w:bCs w:val="1"/>
          <w:i w:val="1"/>
          <w:iCs w:val="1"/>
          <w:color w:val="auto"/>
        </w:rPr>
      </w:pPr>
    </w:p>
    <w:p>
      <w:pPr>
        <w:ind w:left="980" w:right="60" w:hanging="324"/>
        <w:spacing w:after="0" w:line="282" w:lineRule="auto"/>
        <w:tabs>
          <w:tab w:leader="none" w:pos="9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6,683,187 stock options and RSU awards issued to Dr. Soon-Shiong that are outstanding as of March 31, 2025, of which 2,023,929 are vested and exercisable and 4,659,258 are unvested and unexercisable; and</w:t>
      </w:r>
    </w:p>
    <w:p>
      <w:pPr>
        <w:spacing w:after="0" w:line="107" w:lineRule="exact"/>
        <w:rPr>
          <w:rFonts w:ascii="Times New Roman" w:cs="Times New Roman" w:eastAsia="Times New Roman" w:hAnsi="Times New Roman"/>
          <w:sz w:val="18"/>
          <w:szCs w:val="18"/>
          <w:b w:val="1"/>
          <w:bCs w:val="1"/>
          <w:color w:val="auto"/>
        </w:rPr>
      </w:pPr>
    </w:p>
    <w:p>
      <w:pPr>
        <w:ind w:left="980" w:right="40" w:hanging="324"/>
        <w:spacing w:after="0" w:line="261" w:lineRule="auto"/>
        <w:tabs>
          <w:tab w:leader="none" w:pos="97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1,638,000 shares of our common stock at an exercise price of $3.24 per share exercisable from the 30th day following the achievement of a performance-based vesting condition pertaining to building manufacturing capacity to support supply requirements for ANKTIVA (which has not yet been satisfied) with an expiration date on the tenth anniversary of such initial exercise date (this warrant was issued to an affiliate of Dr. Soon-Shiong).</w:t>
      </w:r>
    </w:p>
    <w:p>
      <w:pPr>
        <w:spacing w:after="0" w:line="12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addition, as of March 31, 2025, we had outstanding an aggregate of approximately $300.6 million CVRs outstanding that were issued to the former stockholders of Altor, including Dr. Soon-Shiong and certain affiliates, which such stockholders may choose to receive either in cash or shares of our common stock based upon an average of closing prices on a 20-trading day trailing period, upon the first calendar year prior to December 31, 2026 in which worldwide net sales of ANKTIVA exceed $1.0 billion. ANKTIVA with BCG for the treatment of adult patients with BCG-unresponsive NMIBC with CIS with or without papillary tumors was approved for commercial sale in April 2024, but there can be no assurance that such sales milestone will be achieved. Dr. Soon-Shiong and his related party hold approximately $139.8 million of such CVRs, and have irrevocably agreed to receive shares of the company’s common stock in satisfaction of their CVRs.</w:t>
      </w:r>
    </w:p>
    <w:p>
      <w:pPr>
        <w:spacing w:after="0" w:line="18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conversion or exchange of some or all of our outstanding promissory note into shares of our common stock, the exercise of any of our outstanding warrants and stock options, and the decision of the holders of our CVRs to receive shares of our common stock could dilute the ownership interests of existing stockholders. Any sales in the public market of our outstanding promissory note or warrants, or our common stock issuable upon conversion of our outstanding promissory note or exercise of the warrants or options, could adversely affect prevailing market prices of our common stock.</w:t>
      </w:r>
    </w:p>
    <w:p>
      <w:pPr>
        <w:spacing w:after="0" w:line="200" w:lineRule="exact"/>
        <w:rPr>
          <w:sz w:val="20"/>
          <w:szCs w:val="20"/>
          <w:color w:val="auto"/>
        </w:rPr>
      </w:pPr>
    </w:p>
    <w:p>
      <w:pPr>
        <w:spacing w:after="0" w:line="34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investors may have difficulty selling their shares.</w:t>
      </w:r>
    </w:p>
    <w:p>
      <w:pPr>
        <w:spacing w:after="0" w:line="12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122" w:lineRule="exact"/>
        <w:rPr>
          <w:sz w:val="20"/>
          <w:szCs w:val="20"/>
          <w:color w:val="auto"/>
        </w:rPr>
      </w:pPr>
    </w:p>
    <w:p>
      <w:pPr>
        <w:ind w:left="980" w:right="3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commencement, enrollment or results of the planned clinical trials of our non-FDA-approved product candidates or any future clinical trials we may conduct, or changes in the development status of such product candidates;</w:t>
      </w:r>
    </w:p>
    <w:p>
      <w:pPr>
        <w:spacing w:after="0" w:line="107" w:lineRule="exact"/>
        <w:rPr>
          <w:rFonts w:ascii="Times New Roman" w:cs="Times New Roman" w:eastAsia="Times New Roman" w:hAnsi="Times New Roman"/>
          <w:sz w:val="18"/>
          <w:szCs w:val="18"/>
          <w:b w:val="1"/>
          <w:bCs w:val="1"/>
          <w:color w:val="auto"/>
        </w:rPr>
      </w:pPr>
    </w:p>
    <w:p>
      <w:pPr>
        <w:ind w:left="980" w:right="140" w:hanging="324"/>
        <w:spacing w:after="0" w:line="266"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 in our regulatory submissions for our product candidates and any adverse development or perceived adverse development with respect to the applicable regulatory authority’s review of such submissions, including, without limitation, the FDA’s issuance of a CRL or an RTF letter or a request for additional information;</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results or delays in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laws or regulations applicable to our approved product or other product candidates, including but not limited to clinical trial requirements for approvals;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commercialize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unanticipated serious safety concerns related to the use of our approved product or other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or capital commitments;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manage our growth;</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in our quarterly operating results, including those driven by liability accounting associated with embedded derivatives;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liquidity position, RIPA liability covenants, and the amount and nature of any debt we may incur;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that our revenue or income are below or that costs or losses are greater than analysts’ expectations;</w:t>
      </w:r>
    </w:p>
    <w:p>
      <w:pPr>
        <w:spacing w:after="0" w:line="171" w:lineRule="exact"/>
        <w:rPr>
          <w:rFonts w:ascii="Times New Roman" w:cs="Times New Roman" w:eastAsia="Times New Roman" w:hAnsi="Times New Roman"/>
          <w:sz w:val="18"/>
          <w:szCs w:val="18"/>
          <w:b w:val="1"/>
          <w:bCs w:val="1"/>
          <w:color w:val="auto"/>
        </w:rPr>
      </w:pPr>
    </w:p>
    <w:p>
      <w:pPr>
        <w:ind w:left="980" w:right="76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stock market prices and volumes;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right="480" w:hanging="324"/>
        <w:spacing w:after="0" w:line="282"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perception of our clinical trial results by retail investors, which investors may be subject to the influence of information provided by third party investor websites and independent authors distributing information on the internet;</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slowdowns;</w:t>
      </w:r>
    </w:p>
    <w:p>
      <w:pPr>
        <w:spacing w:after="0" w:line="117"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government-imposed lockdowns, supply chain disruptions, and adverse economic effects from a potential pandemic, epidemic, or outbreak of an infectious disease, in the U.S. and abroad;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geopolitical tensions and war, including the war in Ukraine and ongoing conflicts in Gaza and Yemen;</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coordinated actions by independent third-party actors to affect the price of certain stocks, coordinated via the internet and otherwise; and</w:t>
      </w:r>
    </w:p>
    <w:p>
      <w:pPr>
        <w:spacing w:after="0" w:line="11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7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securities class action litigation and other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w:t>
      </w:r>
    </w:p>
    <w:p>
      <w:pPr>
        <w:spacing w:after="0" w:line="6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various legal proceedings and claims that arise in or outside the ordinary course of business. The results of the securities class action lawsuit, the derivative action and any future legal proceedings cannot be predicted with certainty. Also, our insurance coverage may be insufficient, our assets may be insufficient to cover any amounts that exceed our insurance coverage, and we may have to pay damage awards or otherwise may enter into a settlement arrangement in connection with such claim.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9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example, on June 30, 2023, a putative securities class action complaint, captioned </w:t>
      </w:r>
      <w:r>
        <w:rPr>
          <w:rFonts w:ascii="Times New Roman" w:cs="Times New Roman" w:eastAsia="Times New Roman" w:hAnsi="Times New Roman"/>
          <w:sz w:val="18"/>
          <w:szCs w:val="18"/>
          <w:i w:val="1"/>
          <w:iCs w:val="1"/>
          <w:color w:val="auto"/>
        </w:rPr>
        <w:t>Salzman v. ImmunityBio, Inc. et al.</w:t>
      </w:r>
      <w:r>
        <w:rPr>
          <w:rFonts w:ascii="Times New Roman" w:cs="Times New Roman" w:eastAsia="Times New Roman" w:hAnsi="Times New Roman"/>
          <w:sz w:val="18"/>
          <w:szCs w:val="18"/>
          <w:color w:val="auto"/>
        </w:rPr>
        <w:t xml:space="preserve">, No. 3:23-cv-01216-BEN-WVG, was filed in the United States District Court for the Southern District of California against the company and three of its officers and/or directors, asserting violations of Sections 10(b) and 20(a) of the Exchange Act stemming from the company’s disclosure on May 11, 2023 that it had received an FDA CRL stating, among other things, that it could not approve the company’s original BLA submission in its initial form due to deficiencies related to its pre-license inspection of the company’s third-party CMOs. On October 29, 2024, a shareholder derivative action was filed in the District Court for the Southern District of California against the members of our Board of Directors and certain officers, captioned </w:t>
      </w:r>
      <w:r>
        <w:rPr>
          <w:rFonts w:ascii="Times New Roman" w:cs="Times New Roman" w:eastAsia="Times New Roman" w:hAnsi="Times New Roman"/>
          <w:sz w:val="18"/>
          <w:szCs w:val="18"/>
          <w:i w:val="1"/>
          <w:iCs w:val="1"/>
          <w:color w:val="auto"/>
        </w:rPr>
        <w:t>Van Luven v. Soon-Shiong et al.</w:t>
      </w:r>
      <w:r>
        <w:rPr>
          <w:rFonts w:ascii="Times New Roman" w:cs="Times New Roman" w:eastAsia="Times New Roman" w:hAnsi="Times New Roman"/>
          <w:sz w:val="18"/>
          <w:szCs w:val="18"/>
          <w:color w:val="auto"/>
        </w:rPr>
        <w:t xml:space="preserve">, Case No. 3:24-cv-02014-L-AHG, on February 25, 2025, a second shareholder derivative action was filed in the United States District Court for the Southern District of California against certain members of our Board of Directors and certain officers, captioned </w:t>
      </w:r>
      <w:r>
        <w:rPr>
          <w:rFonts w:ascii="Times New Roman" w:cs="Times New Roman" w:eastAsia="Times New Roman" w:hAnsi="Times New Roman"/>
          <w:sz w:val="18"/>
          <w:szCs w:val="18"/>
          <w:i w:val="1"/>
          <w:iCs w:val="1"/>
          <w:color w:val="auto"/>
        </w:rPr>
        <w:t>Barbieri v. Soon-Shiong, et al.</w:t>
      </w:r>
      <w:r>
        <w:rPr>
          <w:rFonts w:ascii="Times New Roman" w:cs="Times New Roman" w:eastAsia="Times New Roman" w:hAnsi="Times New Roman"/>
          <w:sz w:val="18"/>
          <w:szCs w:val="18"/>
          <w:color w:val="auto"/>
        </w:rPr>
        <w:t xml:space="preserve">, Case No. 3:25-cv-00416-AGS-JB, and on February 26, 2025, a third shareholder derivative action was filed in the United States District Court for the Southern District of California against certain current and former members of our Board of Directors and certain officers, captioned </w:t>
      </w:r>
      <w:r>
        <w:rPr>
          <w:rFonts w:ascii="Times New Roman" w:cs="Times New Roman" w:eastAsia="Times New Roman" w:hAnsi="Times New Roman"/>
          <w:sz w:val="18"/>
          <w:szCs w:val="18"/>
          <w:i w:val="1"/>
          <w:iCs w:val="1"/>
          <w:color w:val="auto"/>
        </w:rPr>
        <w:t>Shin v. Soon-Shiong, et al</w:t>
      </w:r>
      <w:r>
        <w:rPr>
          <w:rFonts w:ascii="Times New Roman" w:cs="Times New Roman" w:eastAsia="Times New Roman" w:hAnsi="Times New Roman"/>
          <w:sz w:val="18"/>
          <w:szCs w:val="18"/>
          <w:color w:val="auto"/>
        </w:rPr>
        <w:t>., Case No. 3:25-cv-00423-JAH-DDL. Stemming from the company’s May 11, 2023 disclosure, that it had received an FDA CRL stating, among other things, that it could not approve the company’s BLA for its then product candidate, ANKTIVA, in its present form due to deficiencies related to its pre-license inspection of the company’s third-party CMOs, the derivative complaint alleges that the individual defendants authorized or permitted materially false and misleading statements and/or omitted material adverse facts regarding ImmunityBio’s third-party CMOs and the prospects for regulatory approval of the ANKTIVA BLA. See Part II, Item 1. “</w:t>
      </w:r>
      <w:r>
        <w:rPr>
          <w:rFonts w:ascii="Times New Roman" w:cs="Times New Roman" w:eastAsia="Times New Roman" w:hAnsi="Times New Roman"/>
          <w:sz w:val="18"/>
          <w:szCs w:val="18"/>
          <w:i w:val="1"/>
          <w:iCs w:val="1"/>
          <w:u w:val="single" w:color="auto"/>
          <w:color w:val="0000FF"/>
        </w:rPr>
        <w:t>Legal Proceedings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37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76.1% of our common stock outstanding as of March 31, 2025. Sales of stock by Dr. Soon-Shiong and his affiliates could have an adverse effect on the trading price of our common stock.</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expect that additional capital may be needed in the future to continue our planned operations, including conducting clinical trials, regulatory approval efforts, pre-commercialization and commercialization activities, expanded research and development activities, and costs associated with operating as a public company. To raise capital, we may sell common stock, convertible securities, or other equity securities (including warrants) in one or more transactions at prices and in a manner we determine from time to time. If we sell common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spacing w:after="0" w:line="1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spacing w:after="0" w:line="6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Sarbanes-Oxley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As of June 30, 2024, the market value of our common stock held by non-affiliates exceeded $700.0 million. Consequently, we became a large accelerated filer and ceased to be a smaller reporting company effective December 31, 2024, until such time as we may qualify again as a smaller reporting company. As a result of this transition, we are no longer able to rely on the scaled disclosure exemptions available to smaller reporting companies and are now subject to certain disclosure and compliance requirements that apply to other public companies which did not previously apply to us due to our status as a smaller reporting company and expect to incur additional legal and financial compliance costs as a result.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in the U.S., we are required, pursuant to Section 404 of Sarbanes-Oxley to furnish a report by management on, among other things, the effectiveness of our internal control over financial reporting, and as a large accelerated filer, we expect that compliance with the auditor attestation requirements of Section 404(b) of the Sarbanes-Oxley Act will substantially increase our compliance costs.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fully comply with Section 404, we may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spacing w:after="0" w:line="18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restatement of our consolidated financial statements were to occur, our stockholders’ confidence in the company’s financial reporting in the future may be affected, which could in turn have a material adverse effect on our business and stock price.</w:t>
      </w:r>
    </w:p>
    <w:p>
      <w:pPr>
        <w:spacing w:after="0" w:line="5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5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51"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Our Founder,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w:t>
      </w:r>
    </w:p>
    <w:p>
      <w:pPr>
        <w:spacing w:after="0" w:line="200" w:lineRule="exact"/>
        <w:rPr>
          <w:sz w:val="20"/>
          <w:szCs w:val="20"/>
          <w:color w:val="auto"/>
        </w:rPr>
      </w:pPr>
    </w:p>
    <w:p>
      <w:pPr>
        <w:spacing w:after="0" w:line="3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CVRs that are payable contingent upon us achieving certain milestones may not receive any further consideration.</w:t>
      </w:r>
    </w:p>
    <w:p>
      <w:pPr>
        <w:spacing w:after="0" w:line="12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approximately $304.0 million of contingent consideration upon calendar-year worldwide sales of ANKTIVA exceeding $1.0 billion prior to December 31, 2026, with amounts payable in cash or shares of our common stock or a combination thereof.</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regulatory milestone CVR agreement, the FDA approved our BLA in April 2024, which was after the milestone date set forth in such CVR agreement. The FDA did not approve our BLA on or before December 31, 2022, and therefore the regulatory milestone was not met, and the regulatory milestone CVR agreement terminated in accordance with its terms. With respect to the sales milestone CVR agreement, there can be no assurance that such sales milestone will be achieved. Accordingly, holders of our CVRs that are payable contingent upon us achieving the aforementioned milestones may not receive any further consideration. Further, failure to achieve the milestones set forth in our CVR agreements may give rise to disputes with the holders of such CVRs. For example, the shareholder representative for the holders of regulatory milestone CVRs has notified us that it is exploring, and may intend to pursue, claims on behalf of such holders based on our alleged failure to use commercially reasonable efforts to secure FDA approval of the BLA on or before the December 31, 2022 milestone date, and the parties are currently engaged in an arbitration seeking to compel us to produce additional documents related to our efforts. The arbitration does not seek monetary relief. To the extent further claims are filed regarding our CVR agreements, we could be subject to monetary awards that may be substantial notwithstanding our vigorous defense, and even if such claims are not successful, litigation could result in substantial costs, adversely impact our reputation, and divert management’s attention and resources, which could have a material adverse effect on our business, operating results,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subject to the provisions of Section 203 of the DGCL, which could negatively affect your investment.</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Founder, Executive Chairman and Global Chief Scientific and Medical Officer (who, with members of his immediate family and entities affiliated with him, owned, in the aggregate, approximately 76.1% of our common stock outstanding as of March 31, 2025)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spacing w:after="0" w:line="200" w:lineRule="exact"/>
        <w:rPr>
          <w:sz w:val="20"/>
          <w:szCs w:val="20"/>
          <w:color w:val="auto"/>
        </w:rPr>
      </w:pP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spacing w:after="0" w:line="122"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special meetings of stockholders be called only by the board of directors, president or chief executive officer;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 and</w:t>
      </w:r>
    </w:p>
    <w:p>
      <w:pPr>
        <w:spacing w:after="0" w:line="1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122" w:lineRule="exact"/>
        <w:rPr>
          <w:sz w:val="20"/>
          <w:szCs w:val="20"/>
          <w:color w:val="auto"/>
        </w:rPr>
      </w:pPr>
    </w:p>
    <w:p>
      <w:pPr>
        <w:ind w:left="980" w:right="160" w:hanging="324"/>
        <w:spacing w:after="0" w:line="261"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71" w:lineRule="exact"/>
        <w:rPr>
          <w:rFonts w:ascii="Times New Roman" w:cs="Times New Roman" w:eastAsia="Times New Roman" w:hAnsi="Times New Roman"/>
          <w:sz w:val="18"/>
          <w:szCs w:val="18"/>
          <w:b w:val="1"/>
          <w:bCs w:val="1"/>
          <w:color w:val="auto"/>
        </w:rPr>
      </w:pPr>
    </w:p>
    <w:p>
      <w:pPr>
        <w:jc w:val="both"/>
        <w:ind w:left="980" w:right="24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2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17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 claim for indemnification is brought by any of our directors or officers, it would reduce the amount of funds available for use in our business.</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Delaware Court of Chancery is the exclusive forum for substantially all disputes between us and our stockholders, which could limit our stockholders’ ability to obtain a favorable judicial forum for disputes with us or our directors, officers or other employees.</w:t>
      </w:r>
    </w:p>
    <w:p>
      <w:pPr>
        <w:spacing w:after="0" w:line="5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bylaws provides that the Delaware Court of Chancery (or, if the Delaware Court of Chancery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w:t>
      </w:r>
    </w:p>
    <w:p>
      <w:pPr>
        <w:spacing w:after="0" w:line="1" w:lineRule="exact"/>
        <w:rPr>
          <w:sz w:val="20"/>
          <w:szCs w:val="20"/>
          <w:color w:val="auto"/>
        </w:rPr>
      </w:pPr>
    </w:p>
    <w:p>
      <w:pPr>
        <w:jc w:val="both"/>
        <w:ind w:right="120" w:firstLine="8"/>
        <w:spacing w:after="0" w:line="265" w:lineRule="auto"/>
        <w:tabs>
          <w:tab w:leader="none" w:pos="3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pursuant to any provisions of the DGCL, or as to which the DGCL confers jurisdiction on the Delaware Court of Chancery, our amended and restated certificate of incorporation or our bylaws (including the interpretation, validity or enforceability thereof), or</w:t>
      </w:r>
    </w:p>
    <w:p>
      <w:pPr>
        <w:ind w:right="120" w:firstLine="8"/>
        <w:spacing w:after="0" w:line="250"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w:t>
      </w:r>
    </w:p>
    <w:p>
      <w:pPr>
        <w:spacing w:after="0" w:line="1"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common stock shall be deemed to have notice of and to have consented to the provisions of our bylaws described above.</w:t>
      </w:r>
    </w:p>
    <w:p>
      <w:pPr>
        <w:spacing w:after="0" w:line="2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660" w:right="7920" w:hanging="652"/>
        <w:spacing w:after="0" w:line="412" w:lineRule="auto"/>
        <w:tabs>
          <w:tab w:leader="none" w:pos="402"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i w:val="1"/>
          <w:iCs w:val="1"/>
          <w:color w:val="auto"/>
        </w:rPr>
      </w:pPr>
    </w:p>
    <w:p>
      <w:pPr>
        <w:ind w:left="660" w:right="8060" w:hanging="652"/>
        <w:spacing w:after="0" w:line="412" w:lineRule="auto"/>
        <w:tabs>
          <w:tab w:leader="none" w:pos="402"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Adoption and Termination (including Modification) of Rule 10b5-1 and Certain Other Trading Arrangements by Directors and Officers</w:t>
      </w:r>
    </w:p>
    <w:p>
      <w:pPr>
        <w:spacing w:after="0" w:line="121"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Exchange Act, adopted or terminated a Rule 10b5-1 trading plan or arrangement or a non-Rule 10b5-1 trading plan or arrangement, as defined in Item 408(c) of Regulation S-K, during the three months ended March 31, 2025.</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300" w:firstLine="648"/>
        <w:spacing w:after="0" w:line="239" w:lineRule="exact"/>
        <w:rPr>
          <w:sz w:val="20"/>
          <w:szCs w:val="20"/>
          <w:color w:val="auto"/>
        </w:rPr>
      </w:pPr>
      <w:r>
        <w:rPr>
          <w:rFonts w:ascii="Times New Roman" w:cs="Times New Roman" w:eastAsia="Times New Roman" w:hAnsi="Times New Roman"/>
          <w:sz w:val="18"/>
          <w:szCs w:val="18"/>
          <w:color w:val="auto"/>
        </w:rPr>
        <w:t>The documents listed below are incorporated by reference or are filed or furnished with this Quarterly Report, in each case as indicated therein (numbered in accordance with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ectPr>
          <w:pgSz w:w="11900" w:h="16838" w:orient="portrait"/>
          <w:cols w:equalWidth="0" w:num="1">
            <w:col w:w="11240"/>
          </w:cols>
          <w:pgMar w:left="320" w:top="445" w:right="339" w:bottom="1440" w:gutter="0" w:footer="0" w:header="0"/>
        </w:sectPr>
      </w:pP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826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41910</wp:posOffset>
            </wp:positionV>
            <wp:extent cx="7132320"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09"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Amended and Restated Certificate of Incorporation of ImmunityBio, Inc.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Current Report on Form 8-K filed with the SEC on August 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28575</wp:posOffset>
            </wp:positionV>
            <wp:extent cx="7132320" cy="308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4" w:lineRule="exact"/>
        <w:rPr>
          <w:sz w:val="20"/>
          <w:szCs w:val="20"/>
          <w:color w:val="auto"/>
        </w:rPr>
      </w:pPr>
    </w:p>
    <w:p>
      <w:pPr>
        <w:ind w:right="500"/>
        <w:spacing w:after="0" w:line="312" w:lineRule="auto"/>
        <w:rPr>
          <w:rFonts w:ascii="Times New Roman" w:cs="Times New Roman" w:eastAsia="Times New Roman" w:hAnsi="Times New Roman"/>
          <w:sz w:val="17"/>
          <w:szCs w:val="17"/>
          <w:u w:val="single" w:color="auto"/>
          <w:color w:val="0000FF"/>
        </w:rPr>
      </w:pPr>
      <w:hyperlink r:id="rId218">
        <w:r>
          <w:rPr>
            <w:rFonts w:ascii="Times New Roman" w:cs="Times New Roman" w:eastAsia="Times New Roman" w:hAnsi="Times New Roman"/>
            <w:sz w:val="17"/>
            <w:szCs w:val="17"/>
            <w:u w:val="single" w:color="auto"/>
            <w:color w:val="0000FF"/>
          </w:rPr>
          <w:t>Certificate of Amendment of Amended and Restated Certificate of Incorporation of ImmunityBio, Inc. dated March 9, 2021</w:t>
        </w:r>
      </w:hyperlink>
      <w:r>
        <w:rPr>
          <w:rFonts w:ascii="Times New Roman" w:cs="Times New Roman" w:eastAsia="Times New Roman" w:hAnsi="Times New Roman"/>
          <w:sz w:val="17"/>
          <w:szCs w:val="17"/>
          <w:u w:val="single" w:color="auto"/>
          <w:color w:val="0000FF"/>
        </w:rPr>
        <w:t xml:space="preserve"> </w:t>
      </w:r>
      <w:hyperlink r:id="rId218">
        <w:r>
          <w:rPr>
            <w:rFonts w:ascii="Times New Roman" w:cs="Times New Roman" w:eastAsia="Times New Roman" w:hAnsi="Times New Roman"/>
            <w:sz w:val="17"/>
            <w:szCs w:val="17"/>
            <w:u w:val="single" w:color="auto"/>
            <w:color w:val="0000FF"/>
          </w:rPr>
          <w:t>(incorporated by reference to Exhibit 3.1 to the company’s Current Report on Form 8-K filed with the SEC on March 10, 2021).</w:t>
        </w:r>
      </w:hyperlink>
    </w:p>
    <w:p>
      <w:pPr>
        <w:spacing w:after="0" w:line="19" w:lineRule="exact"/>
        <w:rPr>
          <w:sz w:val="20"/>
          <w:szCs w:val="20"/>
          <w:color w:val="auto"/>
        </w:rPr>
      </w:pPr>
    </w:p>
    <w:p>
      <w:pPr>
        <w:sectPr>
          <w:pgSz w:w="11900" w:h="16838" w:orient="portrait"/>
          <w:cols w:equalWidth="0" w:num="2">
            <w:col w:w="960" w:space="560"/>
            <w:col w:w="972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9100" w:type="dxa"/>
            <w:vAlign w:val="bottom"/>
            <w:tcBorders>
              <w:bottom w:val="single" w:sz="8" w:color="0000FF"/>
            </w:tcBorders>
            <w:gridSpan w:val="7"/>
            <w:shd w:val="clear" w:color="auto" w:fill="CCEEFF"/>
          </w:tcPr>
          <w:p>
            <w:pPr>
              <w:spacing w:after="0"/>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Certificate of Amendment of Amended and Restated Certificate of Incorporation of ImmunityBio, Inc. dated February 1, 2022</w:t>
              </w:r>
            </w:hyperlink>
          </w:p>
        </w:tc>
        <w:tc>
          <w:tcPr>
            <w:tcW w:w="620" w:type="dxa"/>
            <w:vAlign w:val="bottom"/>
            <w:tcBorders>
              <w:bottom w:val="single" w:sz="8" w:color="CCEEFF"/>
            </w:tcBorders>
            <w:gridSpan w:val="9"/>
            <w:shd w:val="clear" w:color="auto" w:fill="CCEEFF"/>
          </w:tcPr>
          <w:p>
            <w:pPr>
              <w:spacing w:after="0"/>
              <w:rPr>
                <w:sz w:val="17"/>
                <w:szCs w:val="17"/>
                <w:color w:val="auto"/>
              </w:rPr>
            </w:pPr>
          </w:p>
        </w:tc>
      </w:tr>
      <w:tr>
        <w:trPr>
          <w:trHeight w:val="244"/>
        </w:trPr>
        <w:tc>
          <w:tcPr>
            <w:tcW w:w="1520" w:type="dxa"/>
            <w:vAlign w:val="bottom"/>
            <w:shd w:val="clear" w:color="auto" w:fill="CCEEFF"/>
          </w:tcPr>
          <w:p>
            <w:pPr>
              <w:spacing w:after="0"/>
              <w:rPr>
                <w:sz w:val="21"/>
                <w:szCs w:val="21"/>
                <w:color w:val="auto"/>
              </w:rPr>
            </w:pPr>
          </w:p>
        </w:tc>
        <w:tc>
          <w:tcPr>
            <w:tcW w:w="972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Exhibit 3.3 to the company’s POSASR filed with the SEC on March 1, 2022).</w:t>
              </w:r>
            </w:hyperlink>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2"/>
        </w:trPr>
        <w:tc>
          <w:tcPr>
            <w:tcW w:w="152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9140" w:type="dxa"/>
            <w:vAlign w:val="bottom"/>
            <w:tcBorders>
              <w:bottom w:val="single" w:sz="8" w:color="0000FF"/>
            </w:tcBorders>
            <w:gridSpan w:val="9"/>
            <w:shd w:val="clear" w:color="auto" w:fill="CCEEFF"/>
          </w:tcPr>
          <w:p>
            <w:pPr>
              <w:spacing w:after="0" w:line="202"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Certificate of Amendment of Amended and Restated Certificate of Incorporation of ImmunityBio, Inc. dated October 18, 2023</w:t>
              </w:r>
            </w:hyperlink>
          </w:p>
        </w:tc>
        <w:tc>
          <w:tcPr>
            <w:tcW w:w="580" w:type="dxa"/>
            <w:vAlign w:val="bottom"/>
            <w:tcBorders>
              <w:bottom w:val="single" w:sz="8" w:color="CCEEFF"/>
            </w:tcBorders>
            <w:gridSpan w:val="7"/>
            <w:shd w:val="clear" w:color="auto" w:fill="CCEEFF"/>
          </w:tcPr>
          <w:p>
            <w:pPr>
              <w:spacing w:after="0"/>
              <w:rPr>
                <w:sz w:val="17"/>
                <w:szCs w:val="17"/>
                <w:color w:val="auto"/>
              </w:rPr>
            </w:pPr>
          </w:p>
        </w:tc>
      </w:tr>
      <w:tr>
        <w:trPr>
          <w:trHeight w:val="244"/>
        </w:trPr>
        <w:tc>
          <w:tcPr>
            <w:tcW w:w="1520" w:type="dxa"/>
            <w:vAlign w:val="bottom"/>
            <w:shd w:val="clear" w:color="auto" w:fill="CCEEFF"/>
          </w:tcPr>
          <w:p>
            <w:pPr>
              <w:spacing w:after="0"/>
              <w:rPr>
                <w:sz w:val="21"/>
                <w:szCs w:val="21"/>
                <w:color w:val="auto"/>
              </w:rPr>
            </w:pPr>
          </w:p>
        </w:tc>
        <w:tc>
          <w:tcPr>
            <w:tcW w:w="972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to Exhibit 3.4 to the company’s Quarterly Report on Form 10-Q filed with the SEC on November 9, 2023).</w:t>
              </w:r>
            </w:hyperlink>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2"/>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9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 and Restated Bylaws of ImmunityBio, Inc. effective as of March 10, 2021 (incorporated by reference to Exhibit 3.2 to the</w:t>
              </w:r>
            </w:hyperlink>
          </w:p>
        </w:tc>
      </w:tr>
      <w:tr>
        <w:trPr>
          <w:trHeight w:val="244"/>
        </w:trPr>
        <w:tc>
          <w:tcPr>
            <w:tcW w:w="1520" w:type="dxa"/>
            <w:vAlign w:val="bottom"/>
            <w:tcBorders>
              <w:top w:val="single" w:sz="8" w:color="CCEEFF"/>
            </w:tcBorders>
            <w:shd w:val="clear" w:color="auto" w:fill="CCEEFF"/>
          </w:tcPr>
          <w:p>
            <w:pPr>
              <w:spacing w:after="0"/>
              <w:rPr>
                <w:sz w:val="21"/>
                <w:szCs w:val="21"/>
                <w:color w:val="auto"/>
              </w:rPr>
            </w:pPr>
          </w:p>
        </w:tc>
        <w:tc>
          <w:tcPr>
            <w:tcW w:w="9500" w:type="dxa"/>
            <w:vAlign w:val="bottom"/>
            <w:tcBorders>
              <w:top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company’s Quarterly Report on Form 10-Q filed with SEC on August 12, 2021).</w:t>
              </w:r>
            </w:hyperlink>
          </w:p>
        </w:tc>
        <w:tc>
          <w:tcPr>
            <w:tcW w:w="220" w:type="dxa"/>
            <w:vAlign w:val="bottom"/>
            <w:tcBorders>
              <w:top w:val="single" w:sz="8" w:color="CCEEFF"/>
            </w:tcBorders>
            <w:gridSpan w:val="4"/>
            <w:shd w:val="clear" w:color="auto" w:fill="CCEEFF"/>
          </w:tcPr>
          <w:p>
            <w:pPr>
              <w:spacing w:after="0"/>
              <w:rPr>
                <w:sz w:val="21"/>
                <w:szCs w:val="21"/>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2"/>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9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 xml:space="preserve">Form of April 2025 Common Stock Purchase Warrant (incorporated by reference to Exhibit 4.1 to the company’s Current Report </w:t>
              </w:r>
            </w:hyperlink>
            <w:r>
              <w:rPr>
                <w:rFonts w:ascii="Times New Roman" w:cs="Times New Roman" w:eastAsia="Times New Roman" w:hAnsi="Times New Roman"/>
                <w:sz w:val="18"/>
                <w:szCs w:val="18"/>
                <w:color w:val="0000FF"/>
              </w:rPr>
              <w:t>on</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4920" w:type="dxa"/>
            <w:vAlign w:val="bottom"/>
            <w:tcBorders>
              <w:top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8-K filed with the SEC on April 8, 2025)</w:t>
              </w:r>
              <w:r>
                <w:rPr>
                  <w:rFonts w:ascii="Times New Roman" w:cs="Times New Roman" w:eastAsia="Times New Roman" w:hAnsi="Times New Roman"/>
                  <w:sz w:val="18"/>
                  <w:szCs w:val="18"/>
                  <w:u w:val="single" w:color="auto"/>
                  <w:color w:val="0000FF"/>
                </w:rPr>
                <w:t>.</w:t>
              </w:r>
            </w:hyperlink>
          </w:p>
        </w:tc>
        <w:tc>
          <w:tcPr>
            <w:tcW w:w="2820" w:type="dxa"/>
            <w:vAlign w:val="bottom"/>
            <w:tcBorders>
              <w:top w:val="single" w:sz="8" w:color="0000FF"/>
            </w:tcBorders>
            <w:gridSpan w:val="2"/>
            <w:shd w:val="clear" w:color="auto" w:fill="CCEEFF"/>
          </w:tcPr>
          <w:p>
            <w:pPr>
              <w:spacing w:after="0"/>
              <w:rPr>
                <w:sz w:val="20"/>
                <w:szCs w:val="20"/>
                <w:color w:val="auto"/>
              </w:rPr>
            </w:pPr>
          </w:p>
        </w:tc>
        <w:tc>
          <w:tcPr>
            <w:tcW w:w="1380" w:type="dxa"/>
            <w:vAlign w:val="bottom"/>
            <w:tcBorders>
              <w:top w:val="single" w:sz="8" w:color="0000FF"/>
            </w:tcBorders>
            <w:gridSpan w:val="2"/>
            <w:shd w:val="clear" w:color="auto" w:fill="CCEEFF"/>
          </w:tcPr>
          <w:p>
            <w:pPr>
              <w:spacing w:after="0"/>
              <w:rPr>
                <w:sz w:val="20"/>
                <w:szCs w:val="20"/>
                <w:color w:val="auto"/>
              </w:rPr>
            </w:pPr>
          </w:p>
        </w:tc>
        <w:tc>
          <w:tcPr>
            <w:tcW w:w="40" w:type="dxa"/>
            <w:vAlign w:val="bottom"/>
            <w:tcBorders>
              <w:top w:val="single" w:sz="8" w:color="0000FF"/>
            </w:tcBorders>
            <w:gridSpan w:val="2"/>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Securities Purchase Agreement, dated as of April 7, 2025 (incorporated by reference to Exhibit 10.1 to the company’s Current Report</w:t>
              </w:r>
            </w:hyperlink>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600" w:type="dxa"/>
            <w:vAlign w:val="bottom"/>
            <w:tcBorders>
              <w:top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on Form 8-K filed with the SEC on April 8, 2025).</w:t>
              </w:r>
            </w:hyperlink>
          </w:p>
        </w:tc>
        <w:tc>
          <w:tcPr>
            <w:tcW w:w="120" w:type="dxa"/>
            <w:vAlign w:val="bottom"/>
            <w:tcBorders>
              <w:top w:val="single" w:sz="8" w:color="CCEEFF"/>
            </w:tcBorders>
            <w:gridSpan w:val="2"/>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of the Securities Act, as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160" w:type="dxa"/>
            <w:vAlign w:val="bottom"/>
            <w:tcBorders>
              <w:top w:val="single" w:sz="8" w:color="0000FF"/>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3"/>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of the Securities Act, as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120" w:type="dxa"/>
            <w:vAlign w:val="bottom"/>
            <w:tcBorders>
              <w:top w:val="single" w:sz="8" w:color="0000FF"/>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60" w:type="dxa"/>
            <w:vAlign w:val="bottom"/>
            <w:tcBorders>
              <w:top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CCEEFF"/>
            </w:tcBorders>
            <w:gridSpan w:val="3"/>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2"/>
        </w:trPr>
        <w:tc>
          <w:tcPr>
            <w:tcW w:w="15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30"/>
        </w:trPr>
        <w:tc>
          <w:tcPr>
            <w:tcW w:w="1520" w:type="dxa"/>
            <w:vAlign w:val="bottom"/>
            <w:tcBorders>
              <w:top w:val="single" w:sz="8" w:color="CCEEFF"/>
            </w:tcBorders>
            <w:shd w:val="clear" w:color="auto" w:fill="CCEEFF"/>
          </w:tcPr>
          <w:p>
            <w:pPr>
              <w:spacing w:after="0"/>
              <w:rPr>
                <w:sz w:val="20"/>
                <w:szCs w:val="20"/>
                <w:color w:val="auto"/>
              </w:rPr>
            </w:pPr>
          </w:p>
        </w:tc>
        <w:tc>
          <w:tcPr>
            <w:tcW w:w="9520" w:type="dxa"/>
            <w:vAlign w:val="bottom"/>
            <w:tcBorders>
              <w:top w:val="single" w:sz="8" w:color="0000FF"/>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Borders>
              <w:top w:val="single" w:sz="8" w:color="CCEEFF"/>
            </w:tcBorders>
            <w:gridSpan w:val="3"/>
            <w:shd w:val="clear" w:color="auto" w:fill="CCEEFF"/>
          </w:tcPr>
          <w:p>
            <w:pPr>
              <w:spacing w:after="0"/>
              <w:rPr>
                <w:sz w:val="20"/>
                <w:szCs w:val="20"/>
                <w:color w:val="auto"/>
              </w:rPr>
            </w:pP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9480" w:type="dxa"/>
            <w:vAlign w:val="bottom"/>
            <w:tcBorders>
              <w:bottom w:val="single" w:sz="8" w:color="0000FF"/>
            </w:tcBorders>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240" w:type="dxa"/>
            <w:vAlign w:val="bottom"/>
            <w:tcBorders>
              <w:bottom w:val="single" w:sz="8" w:color="CCEEFF"/>
            </w:tcBorders>
            <w:gridSpan w:val="5"/>
            <w:shd w:val="clear" w:color="auto" w:fill="CCEEFF"/>
          </w:tcPr>
          <w:p>
            <w:pPr>
              <w:spacing w:after="0"/>
              <w:rPr>
                <w:sz w:val="17"/>
                <w:szCs w:val="17"/>
                <w:color w:val="auto"/>
              </w:rPr>
            </w:pPr>
          </w:p>
        </w:tc>
      </w:tr>
      <w:tr>
        <w:trPr>
          <w:trHeight w:val="243"/>
        </w:trPr>
        <w:tc>
          <w:tcPr>
            <w:tcW w:w="1520" w:type="dxa"/>
            <w:vAlign w:val="bottom"/>
            <w:shd w:val="clear" w:color="auto" w:fill="CCEEFF"/>
          </w:tcPr>
          <w:p>
            <w:pPr>
              <w:spacing w:after="0"/>
              <w:rPr>
                <w:sz w:val="21"/>
                <w:szCs w:val="21"/>
                <w:color w:val="auto"/>
              </w:rPr>
            </w:pPr>
          </w:p>
        </w:tc>
        <w:tc>
          <w:tcPr>
            <w:tcW w:w="972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54"/>
        </w:trPr>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200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80" w:type="dxa"/>
            <w:vAlign w:val="bottom"/>
            <w:tcBorders>
              <w:top w:val="single" w:sz="8" w:color="CCEE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194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r>
      <w:tr>
        <w:trPr>
          <w:trHeight w:val="211"/>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r>
      <w:tr>
        <w:trPr>
          <w:trHeight w:val="248"/>
        </w:trPr>
        <w:tc>
          <w:tcPr>
            <w:tcW w:w="1520" w:type="dxa"/>
            <w:vAlign w:val="bottom"/>
            <w:shd w:val="clear" w:color="auto" w:fill="CCEEFF"/>
          </w:tcPr>
          <w:p>
            <w:pPr>
              <w:spacing w:after="0"/>
              <w:rPr>
                <w:sz w:val="21"/>
                <w:szCs w:val="21"/>
                <w:color w:val="auto"/>
              </w:rPr>
            </w:pP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5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8" w:lineRule="exact"/>
        <w:rPr>
          <w:sz w:val="20"/>
          <w:szCs w:val="20"/>
          <w:color w:val="auto"/>
        </w:rPr>
      </w:pPr>
    </w:p>
    <w:p>
      <w:pPr>
        <w:ind w:left="560" w:right="500" w:hanging="534"/>
        <w:spacing w:after="0" w:line="232" w:lineRule="auto"/>
        <w:tabs>
          <w:tab w:leader="none" w:pos="5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Quarterly Report are deemed furnished and not filed with the SEC and are not to be incorporated by reference into any filing of ImmunityBio, Inc. under the Securities Act or the Exchange Act, whether made before or after the date of this Quarterly Report, irrespective of any general incorporation language contained in such filing.</w:t>
      </w:r>
    </w:p>
    <w:p>
      <w:pPr>
        <w:sectPr>
          <w:pgSz w:w="11900" w:h="16838" w:orient="portrait"/>
          <w:cols w:equalWidth="0" w:num="1">
            <w:col w:w="11240"/>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0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IMMUNITYBIO, INC.</w:t>
            </w:r>
          </w:p>
        </w:tc>
      </w:tr>
      <w:tr>
        <w:trPr>
          <w:trHeight w:val="270"/>
        </w:trPr>
        <w:tc>
          <w:tcPr>
            <w:tcW w:w="3620" w:type="dxa"/>
            <w:vAlign w:val="bottom"/>
          </w:tcPr>
          <w:p>
            <w:pPr>
              <w:spacing w:after="0"/>
              <w:rPr>
                <w:sz w:val="23"/>
                <w:szCs w:val="23"/>
                <w:color w:val="auto"/>
              </w:rPr>
            </w:pPr>
          </w:p>
        </w:tc>
        <w:tc>
          <w:tcPr>
            <w:tcW w:w="7600" w:type="dxa"/>
            <w:vAlign w:val="bottom"/>
            <w:gridSpan w:val="2"/>
          </w:tcPr>
          <w:p>
            <w:pPr>
              <w:ind w:left="2440"/>
              <w:spacing w:after="0"/>
              <w:rPr>
                <w:sz w:val="20"/>
                <w:szCs w:val="20"/>
                <w:color w:val="auto"/>
              </w:rPr>
            </w:pPr>
            <w:r>
              <w:rPr>
                <w:rFonts w:ascii="Times New Roman" w:cs="Times New Roman" w:eastAsia="Times New Roman" w:hAnsi="Times New Roman"/>
                <w:sz w:val="18"/>
                <w:szCs w:val="18"/>
                <w:i w:val="1"/>
                <w:iCs w:val="1"/>
                <w:color w:val="auto"/>
              </w:rPr>
              <w:t>Registrant</w:t>
            </w:r>
          </w:p>
        </w:tc>
      </w:tr>
      <w:tr>
        <w:trPr>
          <w:trHeight w:val="56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37"/>
        </w:trPr>
        <w:tc>
          <w:tcPr>
            <w:tcW w:w="36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70"/>
        </w:trPr>
        <w:tc>
          <w:tcPr>
            <w:tcW w:w="36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6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7"/>
        </w:trPr>
        <w:tc>
          <w:tcPr>
            <w:tcW w:w="3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Sachs</w:t>
            </w:r>
          </w:p>
        </w:tc>
      </w:tr>
      <w:tr>
        <w:trPr>
          <w:trHeight w:val="270"/>
        </w:trPr>
        <w:tc>
          <w:tcPr>
            <w:tcW w:w="36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6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32"/>
        </w:trPr>
        <w:tc>
          <w:tcPr>
            <w:tcW w:w="3620" w:type="dxa"/>
            <w:vAlign w:val="bottom"/>
          </w:tcPr>
          <w:p>
            <w:pPr>
              <w:spacing w:after="0"/>
              <w:rPr>
                <w:sz w:val="24"/>
                <w:szCs w:val="24"/>
                <w:color w:val="auto"/>
              </w:rPr>
            </w:pPr>
          </w:p>
        </w:tc>
        <w:tc>
          <w:tcPr>
            <w:tcW w:w="28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157</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Adcock,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5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Sachs,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7"/>
        </w:trPr>
        <w:tc>
          <w:tcPr>
            <w:tcW w:w="3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Richard Adcock, the Chief Executive Officer of ImmunityBio, Inc. (the “Company”), hereby certify, that, to my knowledge:</w:t>
      </w:r>
    </w:p>
    <w:p>
      <w:pPr>
        <w:spacing w:after="0" w:line="162" w:lineRule="exact"/>
        <w:rPr>
          <w:sz w:val="20"/>
          <w:szCs w:val="20"/>
          <w:color w:val="auto"/>
        </w:rPr>
      </w:pPr>
    </w:p>
    <w:p>
      <w:pPr>
        <w:ind w:left="660" w:right="20" w:hanging="328"/>
        <w:spacing w:after="0" w:line="282" w:lineRule="auto"/>
        <w:tabs>
          <w:tab w:leader="none" w:pos="6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5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David C. Sachs, the Chief Financial Officer of ImmunityBio, Inc. (the “Company”), hereby certify, that, to my knowledge:</w:t>
      </w:r>
    </w:p>
    <w:p>
      <w:pPr>
        <w:spacing w:after="0" w:line="162" w:lineRule="exact"/>
        <w:rPr>
          <w:sz w:val="20"/>
          <w:szCs w:val="20"/>
          <w:color w:val="auto"/>
        </w:rPr>
      </w:pPr>
    </w:p>
    <w:p>
      <w:pPr>
        <w:ind w:left="660" w:right="20" w:hanging="328"/>
        <w:spacing w:after="0" w:line="282"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March 31,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lowerLetter"/>
      <w:start w:val="2"/>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11"/>
    </w:lvl>
  </w:abstractNum>
  <w:abstractNum w:abstractNumId="6">
    <w:nsid w:val="2463B9EA"/>
    <w:multiLevelType w:val="hybridMultilevel"/>
    <w:lvl w:ilvl="0">
      <w:lvlJc w:val="left"/>
      <w:lvlText w:val="(%1)"/>
      <w:numFmt w:val="lowerRoman"/>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lowerRoman"/>
      <w:start w:val="1"/>
    </w:lvl>
    <w:lvl w:ilvl="1">
      <w:lvlJc w:val="left"/>
      <w:lvlText w:val="(%2)"/>
      <w:numFmt w:val="lowerLetter"/>
      <w:start w:val="1"/>
    </w:lvl>
  </w:abstractNum>
  <w:abstractNum w:abstractNumId="14">
    <w:nsid w:val="6A2342EC"/>
    <w:multiLevelType w:val="hybridMultilevel"/>
    <w:lvl w:ilvl="0">
      <w:lvlJc w:val="left"/>
      <w:lvlText w:val="%1."/>
      <w:numFmt w:val="lowerRoman"/>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lowerRoman"/>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lowerRoman"/>
      <w:start w:val="7"/>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lowerRoman"/>
      <w:start w:val="3"/>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7" Type="http://schemas.openxmlformats.org/officeDocument/2006/relationships/image" Target="media/image209.png"/><Relationship Id="rId224" Type="http://schemas.openxmlformats.org/officeDocument/2006/relationships/image" Target="media/image210.png"/><Relationship Id="rId216" Type="http://schemas.openxmlformats.org/officeDocument/2006/relationships/hyperlink" Target="https://www.sec.gov/Archives/edgar/data/1326110/000119312515275314/d158803dex31.htm" TargetMode="External"/><Relationship Id="rId218" Type="http://schemas.openxmlformats.org/officeDocument/2006/relationships/hyperlink" Target="https://www.sec.gov/Archives/edgar/data/1326110/000119312521075243/d307217dex31.htm" TargetMode="External"/><Relationship Id="rId219" Type="http://schemas.openxmlformats.org/officeDocument/2006/relationships/hyperlink" Target="https://www.sec.gov/Archives/edgar/data/1326110/000119312522061324/d283375dex33.htm" TargetMode="External"/><Relationship Id="rId220" Type="http://schemas.openxmlformats.org/officeDocument/2006/relationships/hyperlink" Target="https://www.sec.gov/Archives/edgar/data/1326110/000132611023000147/ibrx-2023930x10qexhibit34.htm" TargetMode="External"/><Relationship Id="rId221" Type="http://schemas.openxmlformats.org/officeDocument/2006/relationships/hyperlink" Target="https://www.sec.gov/Archives/edgar/data/1326110/000156459021044008/ibrx-ex32_717.htm" TargetMode="External"/><Relationship Id="rId222" Type="http://schemas.openxmlformats.org/officeDocument/2006/relationships/hyperlink" Target="https://www.sec.gov/Archives/edgar/data/1326110/000119312525075102/d943675dex41.htm" TargetMode="External"/><Relationship Id="rId223" Type="http://schemas.openxmlformats.org/officeDocument/2006/relationships/hyperlink" Target="https://www.sec.gov/Archives/edgar/data/1326110/000119312525075102/d9436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2025-05-12T05:52:33Z</dcterms:created>
  <dcterms:modified xsi:type="dcterms:W3CDTF">2025-05-12T05:52:33Z</dcterms:modified>
</cp:coreProperties>
</file>