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-222885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60" w:type="dxa"/>
            <w:vAlign w:val="bottom"/>
            <w:vMerge w:val="restart"/>
          </w:tcPr>
          <w:p>
            <w:pPr>
              <w:jc w:val="center"/>
              <w:ind w:right="34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41"/>
              <w:spacing w:after="0" w:line="176"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6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5184775</wp:posOffset>
            </wp:positionH>
            <wp:positionV relativeFrom="paragraph">
              <wp:posOffset>-593725</wp:posOffset>
            </wp:positionV>
            <wp:extent cx="56515" cy="60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06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-593725</wp:posOffset>
            </wp:positionV>
            <wp:extent cx="5651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06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-1727835</wp:posOffset>
            </wp:positionH>
            <wp:positionV relativeFrom="paragraph">
              <wp:posOffset>24130</wp:posOffset>
            </wp:positionV>
            <wp:extent cx="7000875" cy="945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94551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40" w:space="560"/>
            <w:col w:w="838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SOON-SHIONG PATRICK</w:t>
        </w:r>
      </w:hyperlink>
    </w:p>
    <w:p>
      <w:pPr>
        <w:spacing w:after="0" w:line="274"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right="1020"/>
        <w:spacing w:after="0" w:line="388" w:lineRule="auto"/>
        <w:rPr>
          <w:sz w:val="20"/>
          <w:szCs w:val="20"/>
          <w:color w:val="auto"/>
        </w:rPr>
      </w:pPr>
      <w:r>
        <w:rPr>
          <w:rFonts w:ascii="Times New Roman" w:cs="Times New Roman" w:eastAsia="Times New Roman" w:hAnsi="Times New Roman"/>
          <w:sz w:val="15"/>
          <w:szCs w:val="15"/>
          <w:color w:val="0000FF"/>
        </w:rPr>
        <w:t>C/O IMMUNITYBIO, INC. 3530 JOHN HOPKINS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ImmunityBio,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IBRX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12/12/2022</w:t>
      </w:r>
    </w:p>
    <w:p>
      <w:pPr>
        <w:spacing w:after="0" w:line="20" w:lineRule="exact"/>
        <w:rPr>
          <w:sz w:val="24"/>
          <w:szCs w:val="24"/>
          <w:color w:val="auto"/>
        </w:rPr>
      </w:pPr>
      <w:r>
        <w:rPr>
          <w:sz w:val="24"/>
          <w:szCs w:val="24"/>
          <w:color w:val="auto"/>
        </w:rPr>
        <w:br w:type="column"/>
      </w:r>
    </w:p>
    <w:p>
      <w:pPr>
        <w:ind w:right="780"/>
        <w:spacing w:after="0" w:line="265"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Director</w:t>
            </w:r>
          </w:p>
        </w:tc>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280" w:type="dxa"/>
            <w:vAlign w:val="bottom"/>
          </w:tcPr>
          <w:p>
            <w:pPr>
              <w:ind w:left="52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109"/>
        </w:trPr>
        <w:tc>
          <w:tcPr>
            <w:tcW w:w="22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8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6"/>
          <w:szCs w:val="16"/>
          <w:color w:val="0000FF"/>
        </w:rPr>
        <w:t>See remarks</w:t>
      </w:r>
    </w:p>
    <w:p>
      <w:pPr>
        <w:spacing w:after="0" w:line="573" w:lineRule="exact"/>
        <w:rPr>
          <w:sz w:val="24"/>
          <w:szCs w:val="24"/>
          <w:color w:val="auto"/>
        </w:rPr>
      </w:pPr>
    </w:p>
    <w:p>
      <w:pPr>
        <w:sectPr>
          <w:pgSz w:w="11900" w:h="16838" w:orient="portrait"/>
          <w:cols w:equalWidth="0" w:num="3">
            <w:col w:w="3180" w:space="720"/>
            <w:col w:w="3100" w:space="720"/>
            <w:col w:w="3360"/>
          </w:cols>
          <w:pgMar w:left="460" w:top="212" w:right="35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80" w:type="dxa"/>
            <w:vAlign w:val="bottom"/>
            <w:gridSpan w:val="9"/>
          </w:tcPr>
          <w:p>
            <w:pPr>
              <w:jc w:val="center"/>
              <w:ind w:left="79"/>
              <w:spacing w:after="0"/>
              <w:rPr>
                <w:sz w:val="20"/>
                <w:szCs w:val="20"/>
                <w:color w:val="auto"/>
              </w:rPr>
            </w:pPr>
            <w:r>
              <w:rPr>
                <w:rFonts w:ascii="Arial" w:cs="Arial" w:eastAsia="Arial" w:hAnsi="Arial"/>
                <w:sz w:val="12"/>
                <w:szCs w:val="12"/>
                <w:color w:val="auto"/>
              </w:rPr>
              <w:t>4. If Amendment, Date of Original Filed (Month/Day/Year)</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60" w:type="dxa"/>
            <w:vAlign w:val="bottom"/>
            <w:gridSpan w:val="10"/>
          </w:tcPr>
          <w:p>
            <w:pPr>
              <w:ind w:left="1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3"/>
        </w:trPr>
        <w:tc>
          <w:tcPr>
            <w:tcW w:w="10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DIEGO</w:t>
            </w:r>
          </w:p>
        </w:tc>
        <w:tc>
          <w:tcPr>
            <w:tcW w:w="11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92121</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4"/>
          </w:tcPr>
          <w:p>
            <w:pPr>
              <w:ind w:left="12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60" w:type="dxa"/>
            <w:vAlign w:val="bottom"/>
            <w:gridSpan w:val="10"/>
          </w:tcPr>
          <w:p>
            <w:pPr>
              <w:ind w:left="300"/>
              <w:spacing w:after="0" w:line="140" w:lineRule="exact"/>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2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760" w:type="dxa"/>
            <w:vAlign w:val="bottom"/>
            <w:tcBorders>
              <w:bottom w:val="single" w:sz="8" w:color="2C2C2C"/>
            </w:tcBorders>
            <w:gridSpan w:val="9"/>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7"/>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3"/>
                <w:szCs w:val="13"/>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1"/>
                <w:szCs w:val="11"/>
                <w:b w:val="1"/>
                <w:bCs w:val="1"/>
                <w:color w:val="auto"/>
              </w:rPr>
              <w:t>3.</w:t>
            </w:r>
          </w:p>
        </w:tc>
        <w:tc>
          <w:tcPr>
            <w:tcW w:w="560" w:type="dxa"/>
            <w:vAlign w:val="bottom"/>
          </w:tcPr>
          <w:p>
            <w:pPr>
              <w:spacing w:after="0"/>
              <w:rPr>
                <w:sz w:val="13"/>
                <w:szCs w:val="13"/>
                <w:color w:val="auto"/>
              </w:rPr>
            </w:pPr>
          </w:p>
        </w:tc>
        <w:tc>
          <w:tcPr>
            <w:tcW w:w="200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44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5"/>
          </w:tcPr>
          <w:p>
            <w:pPr>
              <w:ind w:left="960"/>
              <w:spacing w:after="0" w:line="122"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gridSpan w:val="5"/>
          </w:tcPr>
          <w:p>
            <w:pPr>
              <w:ind w:left="9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60" w:type="dxa"/>
            <w:vAlign w:val="bottom"/>
          </w:tcPr>
          <w:p>
            <w:pPr>
              <w:spacing w:after="0"/>
              <w:rPr>
                <w:sz w:val="10"/>
                <w:szCs w:val="10"/>
                <w:color w:val="auto"/>
              </w:rPr>
            </w:pPr>
          </w:p>
        </w:tc>
        <w:tc>
          <w:tcPr>
            <w:tcW w:w="12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16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color w:val="0000FF"/>
                <w:w w:val="98"/>
              </w:rPr>
              <w:t>12/12/2022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w:t>
            </w:r>
          </w:p>
        </w:tc>
        <w:tc>
          <w:tcPr>
            <w:tcW w:w="120" w:type="dxa"/>
            <w:vAlign w:val="bottom"/>
          </w:tcPr>
          <w:p>
            <w:pPr>
              <w:spacing w:after="0"/>
              <w:rPr>
                <w:sz w:val="20"/>
                <w:szCs w:val="20"/>
                <w:color w:val="auto"/>
              </w:rPr>
            </w:pPr>
          </w:p>
        </w:tc>
        <w:tc>
          <w:tcPr>
            <w:tcW w:w="780" w:type="dxa"/>
            <w:vAlign w:val="bottom"/>
            <w:vMerge w:val="restart"/>
          </w:tcPr>
          <w:p>
            <w:pPr>
              <w:jc w:val="right"/>
              <w:ind w:right="77"/>
              <w:spacing w:after="0"/>
              <w:rPr>
                <w:sz w:val="20"/>
                <w:szCs w:val="20"/>
                <w:color w:val="auto"/>
              </w:rPr>
            </w:pPr>
            <w:r>
              <w:rPr>
                <w:rFonts w:ascii="Times New Roman" w:cs="Times New Roman" w:eastAsia="Times New Roman" w:hAnsi="Times New Roman"/>
                <w:sz w:val="16"/>
                <w:szCs w:val="16"/>
                <w:color w:val="0000FF"/>
                <w:w w:val="96"/>
              </w:rPr>
              <w:t>9,986,920</w:t>
            </w:r>
          </w:p>
        </w:tc>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A</w:t>
            </w:r>
          </w:p>
        </w:tc>
        <w:tc>
          <w:tcPr>
            <w:tcW w:w="80" w:type="dxa"/>
            <w:vAlign w:val="bottom"/>
          </w:tcPr>
          <w:p>
            <w:pPr>
              <w:spacing w:after="0"/>
              <w:rPr>
                <w:sz w:val="20"/>
                <w:szCs w:val="20"/>
                <w:color w:val="auto"/>
              </w:rPr>
            </w:pPr>
          </w:p>
        </w:tc>
        <w:tc>
          <w:tcPr>
            <w:tcW w:w="500" w:type="dxa"/>
            <w:vAlign w:val="bottom"/>
            <w:vMerge w:val="restart"/>
          </w:tcPr>
          <w:p>
            <w:pP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5.67</w:t>
            </w: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9,986,920</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2"/>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320" w:type="dxa"/>
            <w:vAlign w:val="bottom"/>
            <w:tcBorders>
              <w:top w:val="single" w:sz="8" w:color="2C2C2C"/>
            </w:tcBorders>
            <w:gridSpan w:val="3"/>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3"/>
          </w:tcPr>
          <w:p>
            <w:pPr>
              <w:jc w:val="center"/>
              <w:ind w:right="5"/>
              <w:spacing w:after="0"/>
              <w:rPr>
                <w:sz w:val="20"/>
                <w:szCs w:val="20"/>
                <w:color w:val="auto"/>
              </w:rPr>
            </w:pPr>
            <w:r>
              <w:rPr>
                <w:rFonts w:ascii="Times New Roman" w:cs="Times New Roman" w:eastAsia="Times New Roman" w:hAnsi="Times New Roman"/>
                <w:sz w:val="16"/>
                <w:szCs w:val="16"/>
                <w:color w:val="0000FF"/>
                <w:w w:val="99"/>
              </w:rPr>
              <w:t>29,473,932</w:t>
            </w: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jc w:val="center"/>
              <w:ind w:right="372"/>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261,705,814</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(2)</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8,383,414</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(3)</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7,976,159</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footnte</w:t>
            </w:r>
            <w:r>
              <w:rPr>
                <w:rFonts w:ascii="Times New Roman" w:cs="Times New Roman" w:eastAsia="Times New Roman" w:hAnsi="Times New Roman"/>
                <w:sz w:val="20"/>
                <w:szCs w:val="20"/>
                <w:color w:val="008000"/>
                <w:vertAlign w:val="superscript"/>
              </w:rPr>
              <w:t>(4)</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5,618,326</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(5)</w:t>
            </w:r>
          </w:p>
        </w:tc>
        <w:tc>
          <w:tcPr>
            <w:tcW w:w="1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3"/>
            <w:vMerge w:val="restart"/>
          </w:tcPr>
          <w:p>
            <w:pPr>
              <w:jc w:val="center"/>
              <w:ind w:right="5"/>
              <w:spacing w:after="0"/>
              <w:rPr>
                <w:sz w:val="20"/>
                <w:szCs w:val="20"/>
                <w:color w:val="auto"/>
              </w:rPr>
            </w:pPr>
            <w:r>
              <w:rPr>
                <w:rFonts w:ascii="Times New Roman" w:cs="Times New Roman" w:eastAsia="Times New Roman" w:hAnsi="Times New Roman"/>
                <w:sz w:val="16"/>
                <w:szCs w:val="16"/>
                <w:color w:val="0000FF"/>
                <w:w w:val="99"/>
              </w:rPr>
              <w:t>100,000</w:t>
            </w:r>
          </w:p>
        </w:tc>
        <w:tc>
          <w:tcPr>
            <w:tcW w:w="340" w:type="dxa"/>
            <w:vAlign w:val="bottom"/>
          </w:tcPr>
          <w:p>
            <w:pPr>
              <w:spacing w:after="0"/>
              <w:rPr>
                <w:sz w:val="20"/>
                <w:szCs w:val="20"/>
                <w:color w:val="auto"/>
              </w:rPr>
            </w:pPr>
          </w:p>
        </w:tc>
        <w:tc>
          <w:tcPr>
            <w:tcW w:w="600" w:type="dxa"/>
            <w:vAlign w:val="bottom"/>
            <w:vMerge w:val="restart"/>
          </w:tcPr>
          <w:p>
            <w:pPr>
              <w:jc w:val="center"/>
              <w:ind w:right="352"/>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0"/>
        </w:trPr>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tc>
        <w:tc>
          <w:tcPr>
            <w:tcW w:w="0" w:type="dxa"/>
            <w:vAlign w:val="bottom"/>
          </w:tcPr>
          <w:p>
            <w:pPr>
              <w:spacing w:after="0"/>
              <w:rPr>
                <w:sz w:val="1"/>
                <w:szCs w:val="1"/>
                <w:color w:val="auto"/>
              </w:rPr>
            </w:pPr>
          </w:p>
        </w:tc>
      </w:tr>
      <w:tr>
        <w:trPr>
          <w:trHeight w:val="192"/>
        </w:trPr>
        <w:tc>
          <w:tcPr>
            <w:tcW w:w="10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20" w:type="dxa"/>
            <w:vAlign w:val="bottom"/>
            <w:gridSpan w:val="17"/>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gridSpan w:val="15"/>
          </w:tcPr>
          <w:p>
            <w:pPr>
              <w:ind w:left="9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gridSpan w:val="3"/>
          </w:tcPr>
          <w:p>
            <w:pPr>
              <w:ind w:left="8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8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w:t>
            </w: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Derivative Securities</w:t>
            </w:r>
          </w:p>
        </w:tc>
        <w:tc>
          <w:tcPr>
            <w:tcW w:w="120" w:type="dxa"/>
            <w:vAlign w:val="bottom"/>
          </w:tcPr>
          <w:p>
            <w:pPr>
              <w:spacing w:after="0"/>
              <w:rPr>
                <w:sz w:val="10"/>
                <w:szCs w:val="10"/>
                <w:color w:val="auto"/>
              </w:rPr>
            </w:pPr>
          </w:p>
        </w:tc>
        <w:tc>
          <w:tcPr>
            <w:tcW w:w="14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6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8"/>
              </w:rPr>
              <w:t>Amount of</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2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28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 (Instr.</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Underlying</w:t>
            </w:r>
          </w:p>
        </w:tc>
        <w:tc>
          <w:tcPr>
            <w:tcW w:w="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2"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78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Exercisable</w:t>
            </w:r>
          </w:p>
        </w:tc>
        <w:tc>
          <w:tcPr>
            <w:tcW w:w="78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Second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Amended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and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0"/>
                <w:szCs w:val="10"/>
                <w:color w:val="008000"/>
                <w:w w:val="85"/>
              </w:rPr>
              <w:t>(8)</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62"/>
        </w:trPr>
        <w:tc>
          <w:tcPr>
            <w:tcW w:w="720" w:type="dxa"/>
            <w:vAlign w:val="bottom"/>
            <w:gridSpan w:val="2"/>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Restated</w:t>
            </w:r>
          </w:p>
        </w:tc>
        <w:tc>
          <w:tcPr>
            <w:tcW w:w="60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5.67</w:t>
            </w:r>
          </w:p>
        </w:tc>
        <w:tc>
          <w:tcPr>
            <w:tcW w:w="120" w:type="dxa"/>
            <w:vAlign w:val="bottom"/>
          </w:tcPr>
          <w:p>
            <w:pPr>
              <w:spacing w:after="0"/>
              <w:rPr>
                <w:sz w:val="5"/>
                <w:szCs w:val="5"/>
                <w:color w:val="auto"/>
              </w:rPr>
            </w:pPr>
          </w:p>
        </w:tc>
        <w:tc>
          <w:tcPr>
            <w:tcW w:w="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12/12/2022</w:t>
            </w: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60" w:type="dxa"/>
            <w:vAlign w:val="bottom"/>
            <w:gridSpan w:val="2"/>
            <w:vMerge w:val="restart"/>
          </w:tcPr>
          <w:p>
            <w:pPr>
              <w:ind w:left="30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56,625,841.51</w:t>
            </w:r>
          </w:p>
        </w:tc>
        <w:tc>
          <w:tcPr>
            <w:tcW w:w="180" w:type="dxa"/>
            <w:vAlign w:val="bottom"/>
            <w:gridSpan w:val="2"/>
            <w:vMerge w:val="continue"/>
          </w:tcPr>
          <w:p>
            <w:pPr>
              <w:spacing w:after="0"/>
              <w:rPr>
                <w:sz w:val="5"/>
                <w:szCs w:val="5"/>
                <w:color w:val="auto"/>
              </w:rPr>
            </w:pP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color w:val="0000FF"/>
              </w:rPr>
              <w:t>08/31/2022</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09/30/2025</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0"/>
                <w:szCs w:val="10"/>
                <w:color w:val="008000"/>
              </w:rPr>
              <w:t>(7)</w:t>
            </w:r>
          </w:p>
        </w:tc>
        <w:tc>
          <w:tcPr>
            <w:tcW w:w="740" w:type="dxa"/>
            <w:vAlign w:val="bottom"/>
            <w:gridSpan w:val="2"/>
            <w:vMerge w:val="restart"/>
          </w:tcPr>
          <w:p>
            <w:pPr>
              <w:jc w:val="right"/>
              <w:ind w:right="28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440" w:type="dxa"/>
            <w:vAlign w:val="bottom"/>
            <w:vMerge w:val="restart"/>
          </w:tcPr>
          <w:p>
            <w:pPr>
              <w:ind w:left="320"/>
              <w:spacing w:after="0"/>
              <w:rPr>
                <w:sz w:val="20"/>
                <w:szCs w:val="20"/>
                <w:color w:val="auto"/>
              </w:rPr>
            </w:pPr>
            <w:r>
              <w:rPr>
                <w:rFonts w:ascii="Arial" w:cs="Arial" w:eastAsia="Arial" w:hAnsi="Arial"/>
                <w:sz w:val="11"/>
                <w:szCs w:val="11"/>
                <w:color w:val="auto"/>
                <w:w w:val="82"/>
              </w:rPr>
              <w:t>$</w:t>
            </w:r>
            <w:r>
              <w:rPr>
                <w:rFonts w:ascii="Times New Roman" w:cs="Times New Roman" w:eastAsia="Times New Roman" w:hAnsi="Times New Roman"/>
                <w:sz w:val="12"/>
                <w:szCs w:val="12"/>
                <w:color w:val="0000FF"/>
                <w:w w:val="82"/>
              </w:rPr>
              <w:t>0</w:t>
            </w:r>
          </w:p>
        </w:tc>
        <w:tc>
          <w:tcPr>
            <w:tcW w:w="340" w:type="dxa"/>
            <w:vAlign w:val="bottom"/>
          </w:tcPr>
          <w:p>
            <w:pPr>
              <w:spacing w:after="0"/>
              <w:rPr>
                <w:sz w:val="5"/>
                <w:szCs w:val="5"/>
                <w:color w:val="auto"/>
              </w:rPr>
            </w:pPr>
          </w:p>
        </w:tc>
        <w:tc>
          <w:tcPr>
            <w:tcW w:w="60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1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Stock</w:t>
            </w: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80"/>
              <w:spacing w:after="0" w:line="207" w:lineRule="exact"/>
              <w:rPr>
                <w:sz w:val="20"/>
                <w:szCs w:val="20"/>
                <w:color w:val="auto"/>
              </w:rPr>
            </w:pPr>
            <w:r>
              <w:rPr>
                <w:rFonts w:ascii="Times New Roman" w:cs="Times New Roman" w:eastAsia="Times New Roman" w:hAnsi="Times New Roman"/>
                <w:sz w:val="12"/>
                <w:szCs w:val="12"/>
                <w:color w:val="0000FF"/>
              </w:rPr>
              <w:t>footnote</w:t>
            </w:r>
            <w:r>
              <w:rPr>
                <w:rFonts w:ascii="Times New Roman" w:cs="Times New Roman" w:eastAsia="Times New Roman" w:hAnsi="Times New Roman"/>
                <w:sz w:val="20"/>
                <w:szCs w:val="20"/>
                <w:color w:val="008000"/>
                <w:vertAlign w:val="superscript"/>
              </w:rPr>
              <w:t>(9)</w:t>
            </w:r>
          </w:p>
        </w:tc>
        <w:tc>
          <w:tcPr>
            <w:tcW w:w="0" w:type="dxa"/>
            <w:vAlign w:val="bottom"/>
          </w:tcPr>
          <w:p>
            <w:pPr>
              <w:spacing w:after="0"/>
              <w:rPr>
                <w:sz w:val="1"/>
                <w:szCs w:val="1"/>
                <w:color w:val="auto"/>
              </w:rPr>
            </w:pPr>
          </w:p>
        </w:tc>
      </w:tr>
      <w:tr>
        <w:trPr>
          <w:trHeight w:val="134"/>
        </w:trPr>
        <w:tc>
          <w:tcPr>
            <w:tcW w:w="72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Convertible</w:t>
            </w: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color w:val="0000FF"/>
              </w:rPr>
              <w:t>Promissory</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720" w:type="dxa"/>
            <w:vAlign w:val="bottom"/>
            <w:tcBorders>
              <w:bottom w:val="single" w:sz="8" w:color="2C2C2C"/>
            </w:tcBorders>
            <w:gridSpan w:val="2"/>
          </w:tcPr>
          <w:p>
            <w:pPr>
              <w:ind w:left="80"/>
              <w:spacing w:after="0" w:line="223" w:lineRule="exact"/>
              <w:rPr>
                <w:sz w:val="20"/>
                <w:szCs w:val="20"/>
                <w:color w:val="auto"/>
              </w:rPr>
            </w:pPr>
            <w:r>
              <w:rPr>
                <w:rFonts w:ascii="Times New Roman" w:cs="Times New Roman" w:eastAsia="Times New Roman" w:hAnsi="Times New Roman"/>
                <w:sz w:val="12"/>
                <w:szCs w:val="12"/>
                <w:color w:val="0000FF"/>
              </w:rPr>
              <w:t>Note</w:t>
            </w:r>
            <w:r>
              <w:rPr>
                <w:rFonts w:ascii="Times New Roman" w:cs="Times New Roman" w:eastAsia="Times New Roman" w:hAnsi="Times New Roman"/>
                <w:sz w:val="20"/>
                <w:szCs w:val="20"/>
                <w:color w:val="008000"/>
                <w:vertAlign w:val="superscript"/>
              </w:rPr>
              <w:t>(7)</w:t>
            </w:r>
          </w:p>
        </w:tc>
        <w:tc>
          <w:tcPr>
            <w:tcW w:w="6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440" w:type="dxa"/>
            <w:vAlign w:val="bottom"/>
            <w:gridSpan w:val="7"/>
          </w:tcPr>
          <w:p>
            <w:pPr>
              <w:ind w:left="80"/>
              <w:spacing w:after="0" w:line="216"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6"/>
          </w:tcPr>
          <w:p>
            <w:pPr>
              <w:spacing w:after="0" w:line="208"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SOON-SHIONG PATRICK</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tcPr>
          <w:p>
            <w:pPr>
              <w:ind w:left="4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IMMUNITYBIO, INC.</w:t>
            </w: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3530 JOHN HOPKINS COURT</w:t>
            </w: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72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SAN DIEGO</w:t>
            </w:r>
          </w:p>
        </w:tc>
        <w:tc>
          <w:tcPr>
            <w:tcW w:w="120" w:type="dxa"/>
            <w:vAlign w:val="bottom"/>
          </w:tcPr>
          <w:p>
            <w:pPr>
              <w:spacing w:after="0"/>
              <w:rPr>
                <w:sz w:val="18"/>
                <w:szCs w:val="18"/>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92121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(City)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color w:val="auto"/>
              </w:rPr>
              <w:t>(State)</w:t>
            </w:r>
          </w:p>
        </w:tc>
        <w:tc>
          <w:tcPr>
            <w:tcW w:w="1020" w:type="dxa"/>
            <w:vAlign w:val="bottom"/>
          </w:tcPr>
          <w:p>
            <w:pPr>
              <w:ind w:left="4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gridSpan w:val="4"/>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44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2340" w:type="dxa"/>
            <w:vAlign w:val="bottom"/>
            <w:gridSpan w:val="6"/>
          </w:tcPr>
          <w:p>
            <w:pPr>
              <w:spacing w:after="0" w:line="20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Cambridge Equities, LP</w:t>
              </w:r>
            </w:hyperlink>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0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2"/>
                <w:szCs w:val="12"/>
                <w:color w:val="auto"/>
              </w:rPr>
              <w:t>(First)</w:t>
            </w:r>
          </w:p>
        </w:tc>
        <w:tc>
          <w:tcPr>
            <w:tcW w:w="1020" w:type="dxa"/>
            <w:vAlign w:val="bottom"/>
          </w:tcPr>
          <w:p>
            <w:pPr>
              <w:ind w:left="4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-4264660</wp:posOffset>
            </wp:positionV>
            <wp:extent cx="27940" cy="2035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40" cy="2035175"/>
                    </a:xfrm>
                    <a:prstGeom prst="rect">
                      <a:avLst/>
                    </a:prstGeom>
                    <a:noFill/>
                  </pic:spPr>
                </pic:pic>
              </a:graphicData>
            </a:graphic>
          </wp:anchor>
        </w:drawing>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9922 JEFFERSON BLVD.</w:t>
      </w:r>
    </w:p>
    <w:p>
      <w:pPr>
        <w:sectPr>
          <w:pgSz w:w="11900" w:h="16838" w:orient="portrait"/>
          <w:cols w:equalWidth="0" w:num="1">
            <w:col w:w="11080"/>
          </w:cols>
          <w:pgMar w:left="460" w:top="212" w:right="359" w:bottom="0" w:gutter="0" w:footer="0" w:header="0"/>
          <w:type w:val="continuous"/>
        </w:sectPr>
      </w:pPr>
    </w:p>
    <w:p>
      <w:pPr>
        <w:spacing w:after="0" w:line="317" w:lineRule="exact"/>
        <w:rPr>
          <w:sz w:val="20"/>
          <w:szCs w:val="20"/>
          <w:color w:val="auto"/>
        </w:rPr>
      </w:pPr>
    </w:p>
    <w:p>
      <w:pPr>
        <w:ind w:left="80"/>
        <w:spacing w:after="0"/>
        <w:rPr>
          <w:sz w:val="20"/>
          <w:szCs w:val="20"/>
          <w:color w:val="auto"/>
        </w:rPr>
      </w:pPr>
      <w:r>
        <w:rPr>
          <w:rFonts w:ascii="Arial" w:cs="Arial" w:eastAsia="Arial" w:hAnsi="Arial"/>
          <w:sz w:val="11"/>
          <w:szCs w:val="11"/>
          <w:color w:val="auto"/>
        </w:rPr>
        <w:t>(Street)</w:t>
      </w:r>
    </w:p>
    <w:p>
      <w:pPr>
        <w:sectPr>
          <w:pgSz w:w="11900" w:h="16838" w:orient="portrait"/>
          <w:cols w:equalWidth="0" w:num="1">
            <w:col w:w="11080"/>
          </w:cols>
          <w:pgMar w:left="460" w:top="212"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CULVER CITY</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90232</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1"/>
        </w:trPr>
        <w:tc>
          <w:tcPr>
            <w:tcW w:w="266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560" w:type="dxa"/>
            <w:vAlign w:val="bottom"/>
            <w:gridSpan w:val="3"/>
          </w:tcPr>
          <w:p>
            <w:pPr>
              <w:spacing w:after="0" w:line="208"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MP 13 Ventures, LLC</w:t>
              </w:r>
            </w:hyperlink>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(First)</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9922 JEFFERSON BLVD.</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89"/>
        </w:trPr>
        <w:tc>
          <w:tcPr>
            <w:tcW w:w="10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6"/>
        </w:trPr>
        <w:tc>
          <w:tcPr>
            <w:tcW w:w="132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10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CULVER CITY</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90232</w:t>
            </w:r>
          </w:p>
        </w:tc>
        <w:tc>
          <w:tcPr>
            <w:tcW w:w="100" w:type="dxa"/>
            <w:vAlign w:val="bottom"/>
          </w:tcPr>
          <w:p>
            <w:pPr>
              <w:spacing w:after="0"/>
              <w:rPr>
                <w:sz w:val="18"/>
                <w:szCs w:val="18"/>
                <w:color w:val="auto"/>
              </w:rPr>
            </w:pPr>
          </w:p>
        </w:tc>
      </w:tr>
      <w:tr>
        <w:trPr>
          <w:trHeight w:val="140"/>
        </w:trPr>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2"/>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340" w:type="dxa"/>
            <w:vAlign w:val="bottom"/>
            <w:gridSpan w:val="2"/>
          </w:tcPr>
          <w:p>
            <w:pPr>
              <w:ind w:left="200"/>
              <w:spacing w:after="0"/>
              <w:rPr>
                <w:sz w:val="20"/>
                <w:szCs w:val="20"/>
                <w:color w:val="auto"/>
              </w:rPr>
            </w:pPr>
            <w:r>
              <w:rPr>
                <w:rFonts w:ascii="Arial" w:cs="Arial" w:eastAsia="Arial" w:hAnsi="Arial"/>
                <w:sz w:val="12"/>
                <w:szCs w:val="12"/>
                <w:color w:val="auto"/>
              </w:rPr>
              <w:t>(State)</w:t>
            </w:r>
          </w:p>
        </w:tc>
        <w:tc>
          <w:tcPr>
            <w:tcW w:w="1720" w:type="dxa"/>
            <w:vAlign w:val="bottom"/>
            <w:gridSpan w:val="2"/>
          </w:tcPr>
          <w:p>
            <w:pPr>
              <w:ind w:left="26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-1916430</wp:posOffset>
            </wp:positionV>
            <wp:extent cx="2810510" cy="3503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3503930"/>
                    </a:xfrm>
                    <a:prstGeom prst="rect">
                      <a:avLst/>
                    </a:prstGeom>
                    <a:noFill/>
                  </pic:spPr>
                </pic:pic>
              </a:graphicData>
            </a:graphic>
          </wp:anchor>
        </w:drawing>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CALIFORNIA CAPITAL EQUITY, LLC</w:t>
        </w:r>
      </w:hyperlink>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(Last)</w:t>
            </w:r>
          </w:p>
        </w:tc>
        <w:tc>
          <w:tcPr>
            <w:tcW w:w="1300" w:type="dxa"/>
            <w:vAlign w:val="bottom"/>
          </w:tcPr>
          <w:p>
            <w:pPr>
              <w:ind w:left="200"/>
              <w:spacing w:after="0"/>
              <w:rPr>
                <w:sz w:val="20"/>
                <w:szCs w:val="20"/>
                <w:color w:val="auto"/>
              </w:rPr>
            </w:pPr>
            <w:r>
              <w:rPr>
                <w:rFonts w:ascii="Arial" w:cs="Arial" w:eastAsia="Arial" w:hAnsi="Arial"/>
                <w:sz w:val="12"/>
                <w:szCs w:val="12"/>
                <w:color w:val="auto"/>
              </w:rPr>
              <w:t>(First)</w:t>
            </w:r>
          </w:p>
        </w:tc>
        <w:tc>
          <w:tcPr>
            <w:tcW w:w="1660" w:type="dxa"/>
            <w:vAlign w:val="bottom"/>
          </w:tcPr>
          <w:p>
            <w:pPr>
              <w:ind w:left="30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9922 JEFFERSON BOULEVARD</w:t>
            </w:r>
          </w:p>
        </w:tc>
        <w:tc>
          <w:tcPr>
            <w:tcW w:w="1660" w:type="dxa"/>
            <w:vAlign w:val="bottom"/>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r>
      <w:tr>
        <w:trPr>
          <w:trHeight w:val="246"/>
        </w:trPr>
        <w:tc>
          <w:tcPr>
            <w:tcW w:w="12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rPr>
              <w:t>CULVER CITY</w:t>
            </w:r>
          </w:p>
        </w:tc>
        <w:tc>
          <w:tcPr>
            <w:tcW w:w="13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90232</w:t>
            </w:r>
          </w:p>
        </w:tc>
      </w:tr>
      <w:tr>
        <w:trPr>
          <w:trHeight w:val="140"/>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200"/>
              <w:spacing w:after="0"/>
              <w:rPr>
                <w:sz w:val="20"/>
                <w:szCs w:val="20"/>
                <w:color w:val="auto"/>
              </w:rPr>
            </w:pPr>
            <w:r>
              <w:rPr>
                <w:rFonts w:ascii="Arial" w:cs="Arial" w:eastAsia="Arial" w:hAnsi="Arial"/>
                <w:sz w:val="12"/>
                <w:szCs w:val="12"/>
                <w:color w:val="auto"/>
              </w:rPr>
              <w:t>(State)</w:t>
            </w:r>
          </w:p>
        </w:tc>
        <w:tc>
          <w:tcPr>
            <w:tcW w:w="166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12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NantWorks, LLC ("NantWorks"). California Capital Equity, LLC ("CalCap") directly owns all of the equity interests of NantWorks and may be deemed to have beneficial ownership of the securities held by NantWorks. The reporting person directly owns all of the equity interests of CalCap and may be deemed to have voting and dispositive power over the securities held by NantWorks.</w:t>
      </w:r>
    </w:p>
    <w:p>
      <w:pPr>
        <w:spacing w:after="0" w:line="7" w:lineRule="exact"/>
        <w:rPr>
          <w:rFonts w:ascii="Times New Roman" w:cs="Times New Roman" w:eastAsia="Times New Roman" w:hAnsi="Times New Roman"/>
          <w:sz w:val="12"/>
          <w:szCs w:val="12"/>
          <w:color w:val="008000"/>
        </w:rPr>
      </w:pPr>
    </w:p>
    <w:p>
      <w:pPr>
        <w:ind w:left="4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Cambridge Equities, LP ("Cambridge Equities"). MP 13 Ventures, LLC ("MP 13 Ventures") is the general partner of Cambridge Equities and may be deemed to have beneficial ownership of the shares held by Cambridge Equities. The reporting person is the sole member of MP 13 Ventures and has voting and dispositive power over the shares held by Cambridge Equities.</w:t>
      </w:r>
    </w:p>
    <w:p>
      <w:pPr>
        <w:spacing w:after="0" w:line="7" w:lineRule="exact"/>
        <w:rPr>
          <w:rFonts w:ascii="Times New Roman" w:cs="Times New Roman" w:eastAsia="Times New Roman" w:hAnsi="Times New Roman"/>
          <w:sz w:val="12"/>
          <w:szCs w:val="12"/>
          <w:color w:val="008000"/>
        </w:rPr>
      </w:pPr>
    </w:p>
    <w:p>
      <w:pPr>
        <w:ind w:left="40" w:right="22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NantBio, Inc. ("NantBio"). NantWorks is the majority stockholder and may be deemed to have beneficial ownership of the shares held by NantBio. The reporting person is the chief executive officer of NantWorks and indirectly beneficially owns all of the equity interests in NantWorks and may be deemed to have voting and dispositive power over the shares held by NantBio.</w:t>
      </w:r>
    </w:p>
    <w:p>
      <w:pPr>
        <w:spacing w:after="0" w:line="7"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CalCap. The reporting person owns all of the equity interests of CalCap and has voting and dispositive power over the shares held by CalCap.</w:t>
      </w:r>
    </w:p>
    <w:p>
      <w:pPr>
        <w:spacing w:after="0" w:line="45" w:lineRule="exact"/>
        <w:rPr>
          <w:rFonts w:ascii="Times New Roman" w:cs="Times New Roman" w:eastAsia="Times New Roman" w:hAnsi="Times New Roman"/>
          <w:sz w:val="12"/>
          <w:szCs w:val="12"/>
          <w:color w:val="008000"/>
        </w:rPr>
      </w:pPr>
    </w:p>
    <w:p>
      <w:pPr>
        <w:ind w:left="40" w:right="8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the Chan Soon-Shiong Family Foundation, an exempt corporation organized under the laws of the State of Delaware (the "Foundation"). The Foundation has the sole power to vote and direct the disposition of all shares directly owned by the Foundation, except to the extent it may be deemed to share such power with the reporting person by virtue of the reporting person's control over the Foundation. The reporting person serves as Chairman of the Foundation.</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Nant Capital, LLC, an investment vehicle of the reporting person.</w:t>
      </w:r>
    </w:p>
    <w:p>
      <w:pPr>
        <w:spacing w:after="0" w:line="45" w:lineRule="exact"/>
        <w:rPr>
          <w:rFonts w:ascii="Times New Roman" w:cs="Times New Roman" w:eastAsia="Times New Roman" w:hAnsi="Times New Roman"/>
          <w:sz w:val="12"/>
          <w:szCs w:val="12"/>
          <w:color w:val="008000"/>
        </w:rPr>
      </w:pPr>
    </w:p>
    <w:p>
      <w:pPr>
        <w:ind w:left="40" w:right="60" w:hanging="6"/>
        <w:spacing w:after="0" w:line="251"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August 31, 2022, the terms of the original fixed-rate promissory note were amended and restated to include a conversion feature that gave the lender the right at any time, at its sole option, to convert the entire outstanding principal amount and accrued and unpaid interest due under the note at the time of conversion into shares of the Issuer's common stock at a price of $5.67 per share. On December 12, 2022, the lender converted $56,625,841.51 in outstanding principal and accrued unpaid interest into 9,986,920 shares of the Issuer's common stock at a price of $5.67 per share.</w:t>
      </w:r>
    </w:p>
    <w:p>
      <w:pPr>
        <w:spacing w:after="0" w:line="19"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entire outstanding principal amount and accrued and unpaid interest due as of December 12, 2022.</w:t>
      </w:r>
    </w:p>
    <w:p>
      <w:pPr>
        <w:spacing w:after="0" w:line="45" w:lineRule="exact"/>
        <w:rPr>
          <w:rFonts w:ascii="Times New Roman" w:cs="Times New Roman" w:eastAsia="Times New Roman" w:hAnsi="Times New Roman"/>
          <w:sz w:val="12"/>
          <w:szCs w:val="12"/>
          <w:color w:val="008000"/>
        </w:rPr>
      </w:pPr>
    </w:p>
    <w:p>
      <w:pPr>
        <w:ind w:left="40" w:right="100" w:hanging="6"/>
        <w:spacing w:after="0" w:line="27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Second Amended and Restated Convertible Promissory Note held by NantWorks. CalCap directly owns all of the equity interests of NantWorks and may be deemed to have beneficial ownership of the securities held by NantWorks. The reporting person directly owns all of the equity interests of CalCap and may be deemed to have voting and dispositive power over the securities held by NantWorks.</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Executive Chairman, Global Chief Scientific and Medical Officer</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Patrick Soon-Shiong,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10363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03630" cy="7620"/>
                    </a:xfrm>
                    <a:prstGeom prst="rect">
                      <a:avLst/>
                    </a:prstGeom>
                    <a:noFill/>
                  </pic:spPr>
                </pic:pic>
              </a:graphicData>
            </a:graphic>
          </wp:anchor>
        </w:drawing>
      </w:r>
    </w:p>
    <w:p>
      <w:pPr>
        <w:spacing w:after="0" w:line="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Charles Kenworthy,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985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MP 13 Ventures,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1874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87450"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itself and as General Partner of</w:t>
      </w:r>
      <w:r>
        <w:rPr>
          <w:sz w:val="20"/>
          <w:szCs w:val="20"/>
          <w:color w:val="auto"/>
        </w:rPr>
        <w:tab/>
      </w:r>
      <w:r>
        <w:rPr>
          <w:rFonts w:ascii="Times New Roman" w:cs="Times New Roman" w:eastAsia="Times New Roman" w:hAnsi="Times New Roman"/>
          <w:sz w:val="15"/>
          <w:szCs w:val="15"/>
          <w:color w:val="0000FF"/>
        </w:rPr>
        <w:t>12/14/2022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8561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8561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Cambridge Equities, and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1201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20140"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Charles Kenworthy,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985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857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California Capital Equity,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541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4125" cy="7620"/>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40" w:right="3860" w:hanging="6"/>
        <w:spacing w:after="0" w:line="318" w:lineRule="auto"/>
        <w:tabs>
          <w:tab w:leader="none" w:pos="16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6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12" Type="http://schemas.openxmlformats.org/officeDocument/2006/relationships/hyperlink" Target="http://www.sec.gov/cgi-bin/browse-edgar?action=getcompany&amp;CIK=0001189020" TargetMode="External"/><Relationship Id="rId13" Type="http://schemas.openxmlformats.org/officeDocument/2006/relationships/hyperlink" Target="http://www.sec.gov/cgi-bin/browse-edgar?action=getcompany&amp;CIK=0001326110" TargetMode="External"/><Relationship Id="rId14" Type="http://schemas.openxmlformats.org/officeDocument/2006/relationships/hyperlink" Target="http://www.sec.gov/cgi-bin/browse-edgar?action=getcompany&amp;CIK=0001629222" TargetMode="External"/><Relationship Id="rId16" Type="http://schemas.openxmlformats.org/officeDocument/2006/relationships/hyperlink" Target="http://www.sec.gov/cgi-bin/browse-edgar?action=getcompany&amp;CIK=0001629186" TargetMode="External"/><Relationship Id="rId18" Type="http://schemas.openxmlformats.org/officeDocument/2006/relationships/hyperlink" Target="http://www.sec.gov/cgi-bin/browse-edgar?action=getcompany&amp;CIK=00015177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2022-12-14T15:31:47Z</dcterms:created>
  <dcterms:modified xsi:type="dcterms:W3CDTF">2022-12-14T15:31:47Z</dcterms:modified>
</cp:coreProperties>
</file>