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116205</wp:posOffset>
            </wp:positionV>
            <wp:extent cx="2606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73025</wp:posOffset>
            </wp:positionV>
            <wp:extent cx="2606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001-37507</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1B4486"/>
        </w:rPr>
        <w:t>IMMUNITYBIO,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43-1979754</w:t>
            </w:r>
          </w:p>
        </w:tc>
      </w:tr>
      <w:tr>
        <w:trPr>
          <w:trHeight w:val="170"/>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3530 John Hopkins Court</w:t>
            </w:r>
          </w:p>
        </w:tc>
        <w:tc>
          <w:tcPr>
            <w:tcW w:w="3060" w:type="dxa"/>
            <w:vAlign w:val="bottom"/>
          </w:tcPr>
          <w:p>
            <w:pPr>
              <w:spacing w:after="0"/>
              <w:rPr>
                <w:sz w:val="21"/>
                <w:szCs w:val="21"/>
                <w:color w:val="auto"/>
              </w:rPr>
            </w:pPr>
          </w:p>
        </w:tc>
      </w:tr>
      <w:tr>
        <w:trPr>
          <w:trHeight w:val="212"/>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6"/>
                <w:szCs w:val="16"/>
                <w:b w:val="1"/>
                <w:bCs w:val="1"/>
                <w:color w:val="auto"/>
              </w:rPr>
              <w:t>San Diego, California</w:t>
            </w:r>
          </w:p>
        </w:tc>
        <w:tc>
          <w:tcPr>
            <w:tcW w:w="30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92121</w:t>
            </w:r>
          </w:p>
        </w:tc>
      </w:tr>
      <w:tr>
        <w:trPr>
          <w:trHeight w:val="226"/>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696-5235</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18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IBRX</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199"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360" w:type="dxa"/>
        <w:tblCellMar>
          <w:top w:w="0" w:type="dxa"/>
          <w:left w:w="0" w:type="dxa"/>
          <w:bottom w:w="0" w:type="dxa"/>
          <w:right w:w="0" w:type="dxa"/>
        </w:tblCellMar>
      </w:tblP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1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number of shares of the Registrant’s common stock outstanding as of August 7, 2024 was 696,533,418 (excluding 163,800 shares held by a majority owned subsidiary of ours which are treated as treasury shares for accounting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71151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33655</wp:posOffset>
            </wp:positionV>
            <wp:extent cx="951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I—FINANCIAL INFORMATION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7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92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As of June 30, 2024 and December 31,</w:t>
            </w:r>
          </w:p>
        </w:tc>
        <w:tc>
          <w:tcPr>
            <w:tcW w:w="660" w:type="dxa"/>
            <w:vAlign w:val="bottom"/>
            <w:gridSpan w:val="2"/>
          </w:tcPr>
          <w:p>
            <w:pPr>
              <w:jc w:val="right"/>
              <w:ind w:right="380"/>
              <w:spacing w:after="0" w:line="182" w:lineRule="exact"/>
              <w:rPr>
                <w:sz w:val="20"/>
                <w:szCs w:val="20"/>
                <w:color w:val="auto"/>
              </w:rPr>
            </w:pPr>
            <w:r>
              <w:rPr>
                <w:rFonts w:ascii="Times New Roman" w:cs="Times New Roman" w:eastAsia="Times New Roman" w:hAnsi="Times New Roman"/>
                <w:sz w:val="18"/>
                <w:szCs w:val="18"/>
                <w:color w:val="0000FF"/>
                <w:w w:val="72"/>
              </w:rPr>
              <w:t>2023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660" w:type="dxa"/>
            <w:vAlign w:val="bottom"/>
            <w:tcBorders>
              <w:top w:val="single" w:sz="8" w:color="0000FF"/>
            </w:tcBorders>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For the three and six months ended June 30, 2024</w:t>
            </w:r>
          </w:p>
        </w:tc>
        <w:tc>
          <w:tcPr>
            <w:tcW w:w="4120" w:type="dxa"/>
            <w:vAlign w:val="bottom"/>
            <w:tcBorders>
              <w:top w:val="single" w:sz="8" w:color="CCEEFF"/>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and 2023</w:t>
            </w:r>
          </w:p>
        </w:tc>
        <w:tc>
          <w:tcPr>
            <w:tcW w:w="1760" w:type="dxa"/>
            <w:vAlign w:val="bottom"/>
            <w:tcBorders>
              <w:top w:val="single" w:sz="8" w:color="CCEEFF"/>
            </w:tcBorders>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38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For the three and six months ended June 30, 2024 and 2023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400" w:type="dxa"/>
            <w:vAlign w:val="bottom"/>
            <w:tcBorders>
              <w:top w:val="single" w:sz="8" w:color="0000FF"/>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For the three and six months ended June 30, 2024 and 2023</w:t>
            </w:r>
          </w:p>
        </w:tc>
        <w:tc>
          <w:tcPr>
            <w:tcW w:w="2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70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For the six months ended June 30, 2024 and 2023</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4"/>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2"/>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3620" w:type="dxa"/>
            <w:vAlign w:val="bottom"/>
            <w:tcBorders>
              <w:top w:val="single" w:sz="8" w:color="CCEEFF"/>
            </w:tcBorders>
            <w:gridSpan w:val="7"/>
          </w:tcPr>
          <w:p>
            <w:pPr>
              <w:spacing w:after="0"/>
              <w:rPr>
                <w:sz w:val="17"/>
                <w:szCs w:val="17"/>
                <w:color w:val="auto"/>
              </w:rPr>
            </w:pPr>
          </w:p>
        </w:tc>
        <w:tc>
          <w:tcPr>
            <w:tcW w:w="176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02"/>
        </w:trPr>
        <w:tc>
          <w:tcPr>
            <w:tcW w:w="9440" w:type="dxa"/>
            <w:vAlign w:val="bottom"/>
            <w:gridSpan w:val="26"/>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7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0" w:type="dxa"/>
            <w:vAlign w:val="bottom"/>
            <w:tcBorders>
              <w:top w:val="single" w:sz="8" w:color="CCEEFF"/>
            </w:tcBorders>
            <w:gridSpan w:val="13"/>
          </w:tcPr>
          <w:p>
            <w:pPr>
              <w:spacing w:after="0"/>
              <w:rPr>
                <w:sz w:val="17"/>
                <w:szCs w:val="17"/>
                <w:color w:val="auto"/>
              </w:rPr>
            </w:pPr>
          </w:p>
        </w:tc>
        <w:tc>
          <w:tcPr>
            <w:tcW w:w="176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6600" w:type="dxa"/>
            <w:vAlign w:val="bottom"/>
            <w:tcBorders>
              <w:bottom w:val="single" w:sz="8" w:color="CCEEFF"/>
            </w:tcBorders>
            <w:gridSpan w:val="18"/>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Unless expressly indicated or the context required otherwise, the terms “ImmunityBio,” “the company,” “we,” “us,” and “our” in this Quarterly Report refer to ImmunityBio, Inc., a Delaware corporation, and, where appropriate, its subsidiaries. We have also used several other terms in this Quarterly Report, the unaudited condensed consolidated financial statements and accompanying notes included herein, most of which are defined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 Plan</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ImmunityBio, Inc. 2015 Equity Incentive Plan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3M IPC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3M Innovative Properties Company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3PL Agent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agent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AAHI</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 to Advanced Health Institute</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Affordable Care Act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Altor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Altor BioScience, LLC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 Invents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Leahy-Smith America Invents Act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Amyris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Amyris, Inc.</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ANKTIVA</w:t>
            </w:r>
            <w:r>
              <w:rPr>
                <w:rFonts w:ascii="Times New Roman" w:cs="Times New Roman" w:eastAsia="Times New Roman" w:hAnsi="Times New Roman"/>
                <w:sz w:val="20"/>
                <w:szCs w:val="20"/>
                <w:color w:val="auto"/>
                <w:vertAlign w:val="superscript"/>
              </w:rPr>
              <w:t>®</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Proprietary name for N-803 (formerly ALT-803), our novel IL-15 agonist complex</w:t>
            </w:r>
          </w:p>
        </w:tc>
      </w:tr>
      <w:tr>
        <w:trPr>
          <w:trHeight w:val="184"/>
        </w:trPr>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(nogapendekin alfa inbakicept-pmln) currently approved for use in the United States</w:t>
            </w:r>
          </w:p>
        </w:tc>
      </w:tr>
      <w:tr>
        <w:trPr>
          <w:trHeight w:val="180"/>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6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with BCG for the treatment of adult patients with BCG-unresponsive non-muscle invasive</w:t>
            </w:r>
          </w:p>
        </w:tc>
      </w:tr>
      <w:tr>
        <w:trPr>
          <w:trHeight w:val="176"/>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 xml:space="preserve">bladder cancer with </w:t>
            </w:r>
            <w:r>
              <w:rPr>
                <w:rFonts w:ascii="Times New Roman" w:cs="Times New Roman" w:eastAsia="Times New Roman" w:hAnsi="Times New Roman"/>
                <w:sz w:val="18"/>
                <w:szCs w:val="18"/>
                <w:i w:val="1"/>
                <w:iCs w:val="1"/>
                <w:color w:val="auto"/>
              </w:rPr>
              <w:t>carcinoma in situ</w:t>
            </w:r>
            <w:r>
              <w:rPr>
                <w:rFonts w:ascii="Times New Roman" w:cs="Times New Roman" w:eastAsia="Times New Roman" w:hAnsi="Times New Roman"/>
                <w:sz w:val="18"/>
                <w:szCs w:val="18"/>
                <w:color w:val="auto"/>
              </w:rPr>
              <w:t xml:space="preserve"> with or without papillary tumors, and currently in</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clinical development for other indications.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2023</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product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ANKTIVA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Athenex</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Athenex,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“at-the-market” sales agreement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ATRA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Taxpayer Relief Act of 2012</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BCG</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Bacillus Calmette-Guérin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Beike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Shenzhen Beike Biotechnology Co. Ltd.</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 License Application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BPCIA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Biologics Price Competition and Innovation Act of 2009</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Brink</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Brink Biologics, Inc.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Cambridge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Cambridge Equities, LP</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Consumer Privacy Act of 2018</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cGMP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Good Manufacturing Practice</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China</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when used in connection with the RIPA, People’s Republic of China, Hong Kong and</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any territories controlled by the People’s Republic of China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carcinoma in situ</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 Clinic, Inc.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Closing Date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used in connection with the RIPA, December 29, 2023</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Chemistry, Manufacturing and Controls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manufacturing organization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Centers for Medicare &amp; Medicaid Services</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90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ii</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CPRA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Privacy Rights Act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 response letter</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value right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DGCL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 General Corporation Law</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Duley Road</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Duley Road, LLC</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Dunkirk Facility</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 leasehold interest in a cGMP ISO Class 5 pharmaceutical manufacturing space in</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western New York</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Medicines Agency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Exyte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Exyte U.S., Inc.</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FCA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False Claims Act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FCPA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Foreign Corrupt Practices Act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FIFO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In First Out inventory method</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FSMC</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Fort Schuyler Management Corporation, a not-for-profit corporation affiliated with the</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freedom-to-operate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FVO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option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GBM</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glioblastoma multiforme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GCP</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Clinical Practice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GDPR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Data Protection Regulation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GLP</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Laboratory Practice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GMP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 Manufacturing Practice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GTP</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Tissue Practice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hAd5</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human adenovirus serotype 5</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Hatch-Waxman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Drug Price Competition and Patent Term Restoration Act of 1984</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HCW</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HCW Biologics,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HIPAA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Insurance Portability and Accountability Act of 1996</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HITECH</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Information Technology for Economic and Clinical Health Act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 immunodeficiency virus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IgDraSol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IgDraSol, Inc., a subsidiary of the company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investigational new drug</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Infinity</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Infinity SA LLC, as purchaser agent for affiliates of Oberland</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 Reduction Act of 2022</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LMIC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and middle-income countries</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mAbs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monoclonal antibodies</w:t>
            </w:r>
          </w:p>
        </w:tc>
      </w:tr>
      <w:tr>
        <w:trPr>
          <w:trHeight w:val="904"/>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iii</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 LLC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NantBio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NantBio, Inc.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NantCell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NantCell, Inc., a subsidiary of the company</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NANTibody</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Immunotherapy NANTibody, LLC, a subsidiary of the company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NantKwest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NantKwest, Inc.</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NantPharma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NantPharma, LLC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NantWorks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NantWorks, LLC, a related-party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NCCN</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Comprehensive Cancer Network</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Cancer Institute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NCSC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NantCancerStemCell, LLC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NDA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executive officer</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NK</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killer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NMIBC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non-muscle invasive bladder cancer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NSCLC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non-small cell lung cancer</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Oberland</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Oberland Capital Management LLC and its affiliates (including Purchasers as</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defined in the RIPA)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OFAC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Department’s Office of Foreign Assets Control</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Protected Health Information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PMA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premarket approval</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QMSR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Quality Management System Regulation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QSR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Quality System Regulation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three and six months ended June 30, 2024</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QUILT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Integrated Lifelong Trial</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direct offering</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REMS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Evaluation and Mitigation Strategy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Purchase Agreement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Sarbanes-Oxley</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saRNA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self-amplifying RNA</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SARS-CoV-2</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novel strain of the coronavirus (COVID-19)</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404</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404 of the Sarbanes-Oxley Act of 2002</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Sorrento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Sorrento Therapeutics, Inc.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and Option Agreement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tumor-associated antigen</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TCJA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Cuts and Jobs Act of 2017</w:t>
            </w:r>
          </w:p>
        </w:tc>
      </w:tr>
      <w:tr>
        <w:trPr>
          <w:trHeight w:val="90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iv</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TF Platform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tissue factor-based fusion discovery platform</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SOFR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Secured Overnight Financing Rate</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 Date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when used in connection with the RIPA, December 31, 2029</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TGF-β</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transforming growth factor beta</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toll-like receptor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GDPR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Data Protection Act of 2018</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USPTO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Patent and Trademark Office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VBC Holdings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VBC Holdings, LLC, a subsidiary of the company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VivaBioCell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VivaBioCell, S.p.A., a wholly-owned subsidiary of VBC Holdings</w:t>
            </w:r>
          </w:p>
        </w:tc>
      </w:tr>
      <w:tr>
        <w:trPr>
          <w:trHeight w:val="905"/>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v</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
        </w:trPr>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10"/>
        </w:trPr>
        <w:tc>
          <w:tcPr>
            <w:tcW w:w="81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265,453</w:t>
            </w:r>
          </w:p>
        </w:tc>
      </w:tr>
      <w:tr>
        <w:trPr>
          <w:trHeight w:val="210"/>
        </w:trPr>
        <w:tc>
          <w:tcPr>
            <w:tcW w:w="810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0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from related parties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r>
      <w:tr>
        <w:trPr>
          <w:trHeight w:val="210"/>
        </w:trPr>
        <w:tc>
          <w:tcPr>
            <w:tcW w:w="810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 (including amounts with related parties)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25,603</w:t>
            </w:r>
          </w:p>
        </w:tc>
      </w:tr>
      <w:tr>
        <w:trPr>
          <w:trHeight w:val="33"/>
        </w:trPr>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gridSpan w:val="11"/>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294,084</w:t>
            </w:r>
          </w:p>
        </w:tc>
      </w:tr>
      <w:tr>
        <w:trPr>
          <w:trHeight w:val="210"/>
        </w:trPr>
        <w:tc>
          <w:tcPr>
            <w:tcW w:w="81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146,082</w:t>
            </w:r>
          </w:p>
        </w:tc>
      </w:tr>
      <w:tr>
        <w:trPr>
          <w:trHeight w:val="210"/>
        </w:trPr>
        <w:tc>
          <w:tcPr>
            <w:tcW w:w="81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17,093</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 receivable</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w:t>
            </w:r>
          </w:p>
        </w:tc>
      </w:tr>
      <w:tr>
        <w:trPr>
          <w:trHeight w:val="210"/>
        </w:trPr>
        <w:tc>
          <w:tcPr>
            <w:tcW w:w="81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 (including amounts with related parties)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36,543</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(including amounts with related parties)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33"/>
        </w:trPr>
        <w:tc>
          <w:tcPr>
            <w:tcW w:w="8100" w:type="dxa"/>
            <w:vAlign w:val="bottom"/>
            <w:gridSpan w:val="11"/>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504,452</w:t>
            </w:r>
          </w:p>
        </w:tc>
      </w:tr>
      <w:tr>
        <w:trPr>
          <w:trHeight w:val="20"/>
        </w:trPr>
        <w:tc>
          <w:tcPr>
            <w:tcW w:w="1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0"/>
        </w:trPr>
        <w:tc>
          <w:tcPr>
            <w:tcW w:w="810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0"/>
        </w:trPr>
        <w:tc>
          <w:tcPr>
            <w:tcW w:w="81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w:t>
            </w:r>
          </w:p>
        </w:tc>
      </w:tr>
      <w:tr>
        <w:trPr>
          <w:trHeight w:val="210"/>
        </w:trPr>
        <w:tc>
          <w:tcPr>
            <w:tcW w:w="810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42,708</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to related parties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r>
      <w:tr>
        <w:trPr>
          <w:trHeight w:val="210"/>
        </w:trPr>
        <w:tc>
          <w:tcPr>
            <w:tcW w:w="810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(including amounts with related parties)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w:t>
            </w:r>
          </w:p>
        </w:tc>
      </w:tr>
      <w:tr>
        <w:trPr>
          <w:trHeight w:val="33"/>
        </w:trPr>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gridSpan w:val="11"/>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58,283</w:t>
            </w:r>
          </w:p>
        </w:tc>
      </w:tr>
      <w:tr>
        <w:trPr>
          <w:trHeight w:val="175"/>
        </w:trPr>
        <w:tc>
          <w:tcPr>
            <w:tcW w:w="8100" w:type="dxa"/>
            <w:vAlign w:val="bottom"/>
            <w:gridSpan w:val="11"/>
          </w:tcPr>
          <w:p>
            <w:pPr>
              <w:ind w:left="20"/>
              <w:spacing w:after="0" w:line="175" w:lineRule="exact"/>
              <w:rPr>
                <w:sz w:val="20"/>
                <w:szCs w:val="20"/>
                <w:color w:val="auto"/>
              </w:rPr>
            </w:pPr>
            <w:r>
              <w:rPr>
                <w:rFonts w:ascii="Times New Roman" w:cs="Times New Roman" w:eastAsia="Times New Roman" w:hAnsi="Times New Roman"/>
                <w:sz w:val="16"/>
                <w:szCs w:val="16"/>
                <w:color w:val="auto"/>
              </w:rPr>
              <w:t>Related-party nonconvertible note, net of discount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108,811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104,586</w:t>
            </w: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100" w:type="dxa"/>
            <w:vAlign w:val="bottom"/>
            <w:gridSpan w:val="11"/>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Related-party convertible notes and accrued interest, net of discount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584,107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576,951</w:t>
            </w:r>
          </w:p>
        </w:tc>
      </w:tr>
      <w:tr>
        <w:trPr>
          <w:trHeight w:val="175"/>
        </w:trPr>
        <w:tc>
          <w:tcPr>
            <w:tcW w:w="4520" w:type="dxa"/>
            <w:vAlign w:val="bottom"/>
            <w:tcBorders>
              <w:top w:val="single" w:sz="8" w:color="CCEEFF"/>
            </w:tcBorders>
            <w:gridSpan w:val="9"/>
          </w:tcPr>
          <w:p>
            <w:pPr>
              <w:ind w:left="20"/>
              <w:spacing w:after="0" w:line="175" w:lineRule="exact"/>
              <w:rPr>
                <w:sz w:val="20"/>
                <w:szCs w:val="20"/>
                <w:color w:val="auto"/>
              </w:rPr>
            </w:pPr>
            <w:r>
              <w:rPr>
                <w:rFonts w:ascii="Times New Roman" w:cs="Times New Roman" w:eastAsia="Times New Roman" w:hAnsi="Times New Roman"/>
                <w:sz w:val="16"/>
                <w:szCs w:val="16"/>
                <w:color w:val="auto"/>
              </w:rPr>
              <w:t>Revenue interest liability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520" w:type="dxa"/>
            <w:vAlign w:val="bottom"/>
            <w:tcBorders>
              <w:top w:val="single" w:sz="8" w:color="0000FF"/>
            </w:tcBorders>
          </w:tcPr>
          <w:p>
            <w:pPr>
              <w:spacing w:after="0"/>
              <w:rPr>
                <w:sz w:val="15"/>
                <w:szCs w:val="15"/>
                <w:color w:val="auto"/>
              </w:rPr>
            </w:pPr>
          </w:p>
        </w:tc>
        <w:tc>
          <w:tcPr>
            <w:tcW w:w="30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263,342</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155,415</w:t>
            </w:r>
          </w:p>
        </w:tc>
      </w:tr>
      <w:tr>
        <w:trPr>
          <w:trHeight w:val="21"/>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 (including amounts with related parties)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39,942</w:t>
            </w:r>
          </w:p>
        </w:tc>
      </w:tr>
      <w:tr>
        <w:trPr>
          <w:trHeight w:val="175"/>
        </w:trPr>
        <w:tc>
          <w:tcPr>
            <w:tcW w:w="8100" w:type="dxa"/>
            <w:vAlign w:val="bottom"/>
            <w:gridSpan w:val="11"/>
          </w:tcPr>
          <w:p>
            <w:pPr>
              <w:ind w:left="20"/>
              <w:spacing w:after="0" w:line="175" w:lineRule="exact"/>
              <w:rPr>
                <w:sz w:val="20"/>
                <w:szCs w:val="20"/>
                <w:color w:val="auto"/>
              </w:rPr>
            </w:pPr>
            <w:r>
              <w:rPr>
                <w:rFonts w:ascii="Times New Roman" w:cs="Times New Roman" w:eastAsia="Times New Roman" w:hAnsi="Times New Roman"/>
                <w:sz w:val="16"/>
                <w:szCs w:val="16"/>
                <w:color w:val="auto"/>
              </w:rPr>
              <w:t>Derivative liabilities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20,807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35,333</w:t>
            </w:r>
          </w:p>
        </w:tc>
      </w:tr>
      <w:tr>
        <w:trPr>
          <w:trHeight w:val="20"/>
        </w:trPr>
        <w:tc>
          <w:tcPr>
            <w:tcW w:w="14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3"/>
        </w:trPr>
        <w:tc>
          <w:tcPr>
            <w:tcW w:w="810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118,770</w:t>
            </w:r>
          </w:p>
        </w:tc>
      </w:tr>
      <w:tr>
        <w:trPr>
          <w:trHeight w:val="210"/>
        </w:trPr>
        <w:tc>
          <w:tcPr>
            <w:tcW w:w="81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33"/>
        </w:trPr>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gridSpan w:val="11"/>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1,141,703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1,090,389</w:t>
            </w: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810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8</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2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440" w:type="dxa"/>
            <w:vAlign w:val="bottom"/>
            <w:tcBorders>
              <w:top w:val="single" w:sz="8" w:color="0000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9"/>
        </w:trPr>
        <w:tc>
          <w:tcPr>
            <w:tcW w:w="8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1,350,000,000 shares authorized</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9"/>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as of June 30, 2024 and December 31, 2023; 691,793,169 and</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5"/>
        </w:trPr>
        <w:tc>
          <w:tcPr>
            <w:tcW w:w="8100" w:type="dxa"/>
            <w:vAlign w:val="bottom"/>
            <w:gridSpan w:val="3"/>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670,867,344 shares issued and outstanding as of June 30, 2024 and</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9"/>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December 31, 2023, respectively; excluding treasury stock, 163,800 shares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3"/>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 as of June 30, 2024 and December 31, 2023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2,374,620</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(3,230,357)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(2,961,684)</w:t>
            </w: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ImmunityBio stockholders’ deficit</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(698,387)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(586,987)</w:t>
            </w: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1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(585,937)</w:t>
            </w:r>
          </w:p>
        </w:tc>
      </w:tr>
      <w:tr>
        <w:trPr>
          <w:trHeight w:val="233"/>
        </w:trPr>
        <w:tc>
          <w:tcPr>
            <w:tcW w:w="81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504,452</w:t>
            </w:r>
          </w:p>
        </w:tc>
      </w:tr>
      <w:tr>
        <w:trPr>
          <w:trHeight w:val="2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4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revenue,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20"/>
                <w:szCs w:val="20"/>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20"/>
        </w:trPr>
        <w:tc>
          <w:tcPr>
            <w:tcW w:w="57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19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product revenue</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 (including amounts</w:t>
            </w:r>
          </w:p>
        </w:tc>
        <w:tc>
          <w:tcPr>
            <w:tcW w:w="26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 related parties)</w:t>
            </w: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(including amounts</w:t>
            </w:r>
          </w:p>
        </w:tc>
        <w:tc>
          <w:tcPr>
            <w:tcW w:w="2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91,136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64,694</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with related parties)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197,126</w:t>
            </w:r>
          </w:p>
        </w:tc>
        <w:tc>
          <w:tcPr>
            <w:tcW w:w="0" w:type="dxa"/>
            <w:vAlign w:val="bottom"/>
          </w:tcPr>
          <w:p>
            <w:pPr>
              <w:spacing w:after="0"/>
              <w:rPr>
                <w:sz w:val="1"/>
                <w:szCs w:val="1"/>
                <w:color w:val="auto"/>
              </w:rPr>
            </w:pPr>
          </w:p>
        </w:tc>
      </w:tr>
      <w:tr>
        <w:trPr>
          <w:trHeight w:val="20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(85,145)</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(194,529)</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(196,725)</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investment income (loss), net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(including amounts with related parties)</w:t>
            </w: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(62,051)</w:t>
            </w: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related to revenue interest liability</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related-party convertible note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0" w:type="dxa"/>
            <w:vAlign w:val="bottom"/>
          </w:tcPr>
          <w:p>
            <w:pPr>
              <w:spacing w:after="0"/>
              <w:rPr>
                <w:sz w:val="1"/>
                <w:szCs w:val="1"/>
                <w:color w:val="auto"/>
              </w:rPr>
            </w:pPr>
          </w:p>
        </w:tc>
      </w:tr>
      <w:tr>
        <w:trPr>
          <w:trHeight w:val="213"/>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0" w:type="dxa"/>
            <w:vAlign w:val="bottom"/>
          </w:tcPr>
          <w:p>
            <w:pPr>
              <w:spacing w:after="0"/>
              <w:rPr>
                <w:sz w:val="1"/>
                <w:szCs w:val="1"/>
                <w:color w:val="auto"/>
              </w:rPr>
            </w:pPr>
          </w:p>
        </w:tc>
      </w:tr>
      <w:tr>
        <w:trPr>
          <w:trHeight w:val="19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net (including amounts</w:t>
            </w:r>
          </w:p>
        </w:tc>
        <w:tc>
          <w:tcPr>
            <w:tcW w:w="2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 related parties)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other expense, net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(58,071)</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 and noncontrolling interests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(134,584)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(268,714)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(254,796)</w:t>
            </w: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(134,584)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(268,714)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(254,796)</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net of tax</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ImmunityBio common stockholders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(254,222)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ImmunityBio common share – basic and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in computing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686,938,120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437,456,657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679,884,678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432,944,133</w:t>
            </w: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(134,584)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(268,714)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(254,796)</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income taxes: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gains (losses) on available-for-sale securities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Reclassification of net realized (gains) losses on</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0"/>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available-for-sale securities included in net loss</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4"/>
        </w:trPr>
        <w:tc>
          <w:tcPr>
            <w:tcW w:w="5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(134,585)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(255,019)</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ImmunityBio</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(134,565)</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(137,886)</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(268,691)</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(254,445)</w:t>
            </w:r>
          </w:p>
        </w:tc>
        <w:tc>
          <w:tcPr>
            <w:tcW w:w="0" w:type="dxa"/>
            <w:vAlign w:val="bottom"/>
          </w:tcPr>
          <w:p>
            <w:pPr>
              <w:spacing w:after="0"/>
              <w:rPr>
                <w:sz w:val="1"/>
                <w:szCs w:val="1"/>
                <w:color w:val="auto"/>
              </w:rPr>
            </w:pPr>
          </w:p>
        </w:tc>
      </w:tr>
      <w:tr>
        <w:trPr>
          <w:trHeight w:val="233"/>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stockholders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6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7"/>
                <w:szCs w:val="17"/>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670,867,344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$2,374,620</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(586,987)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(585,937)</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0" w:type="dxa"/>
            <w:vAlign w:val="bottom"/>
          </w:tcPr>
          <w:p>
            <w:pPr>
              <w:spacing w:after="0"/>
              <w:rPr>
                <w:sz w:val="1"/>
                <w:szCs w:val="1"/>
                <w:color w:val="auto"/>
              </w:rPr>
            </w:pPr>
          </w:p>
        </w:tc>
      </w:tr>
      <w:tr>
        <w:trPr>
          <w:trHeight w:val="25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2,969,156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(1,117,737)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tcPr>
          <w:p>
            <w:pPr>
              <w:spacing w:after="0"/>
              <w:rPr>
                <w:sz w:val="22"/>
                <w:szCs w:val="22"/>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4,284,648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24,701</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24,702</w:t>
            </w:r>
          </w:p>
        </w:tc>
        <w:tc>
          <w:tcPr>
            <w:tcW w:w="0" w:type="dxa"/>
            <w:vAlign w:val="bottom"/>
          </w:tcPr>
          <w:p>
            <w:pPr>
              <w:spacing w:after="0"/>
              <w:rPr>
                <w:sz w:val="1"/>
                <w:szCs w:val="1"/>
                <w:color w:val="auto"/>
              </w:rPr>
            </w:pPr>
          </w:p>
        </w:tc>
      </w:tr>
      <w:tr>
        <w:trPr>
          <w:trHeight w:val="25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(134,109)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(134,109)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(134,130)</w:t>
            </w: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677,003,411</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2,403,720</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(3,095,793)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(692,012)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(690,983)</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“at-the-market”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offering, net of commissions and</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offering costs of $660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5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9,639</w:t>
            </w:r>
          </w:p>
        </w:tc>
        <w:tc>
          <w:tcPr>
            <w:tcW w:w="80" w:type="dxa"/>
            <w:vAlign w:val="bottom"/>
          </w:tcPr>
          <w:p>
            <w:pPr>
              <w:spacing w:after="0"/>
              <w:rPr>
                <w:sz w:val="22"/>
                <w:szCs w:val="22"/>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9,639</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146,199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5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222,578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warrants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13,217,843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107,438</w:t>
            </w:r>
          </w:p>
        </w:tc>
        <w:tc>
          <w:tcPr>
            <w:tcW w:w="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107,439</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Oberland stock option, net of</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commissions of $150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858,990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0" w:type="dxa"/>
            <w:vAlign w:val="bottom"/>
          </w:tcPr>
          <w:p>
            <w:pPr>
              <w:spacing w:after="0"/>
              <w:rPr>
                <w:sz w:val="1"/>
                <w:szCs w:val="1"/>
                <w:color w:val="auto"/>
              </w:rPr>
            </w:pPr>
          </w:p>
        </w:tc>
      </w:tr>
      <w:tr>
        <w:trPr>
          <w:trHeight w:val="25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(134,584)</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691,793,169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2,531,909</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(3,230,357)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(698,387)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(697,378)</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7"/>
                <w:szCs w:val="17"/>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6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40" w:type="dxa"/>
            <w:vAlign w:val="bottom"/>
            <w:gridSpan w:val="3"/>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7"/>
                <w:szCs w:val="17"/>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421,569,115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$1,930,936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$(2,378,488)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(449,820)</w:t>
            </w:r>
          </w:p>
        </w:tc>
        <w:tc>
          <w:tcPr>
            <w:tcW w:w="0" w:type="dxa"/>
            <w:vAlign w:val="bottom"/>
          </w:tcPr>
          <w:p>
            <w:pPr>
              <w:spacing w:after="0"/>
              <w:rPr>
                <w:sz w:val="1"/>
                <w:szCs w:val="1"/>
                <w:color w:val="auto"/>
              </w:rPr>
            </w:pPr>
          </w:p>
        </w:tc>
      </w:tr>
      <w:tr>
        <w:trPr>
          <w:trHeight w:val="162"/>
        </w:trPr>
        <w:tc>
          <w:tcPr>
            <w:tcW w:w="3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shares in an RDO, net of discount and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offering costs of $2,046 and value ascribed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14,072,615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24,255</w:t>
            </w:r>
          </w:p>
        </w:tc>
        <w:tc>
          <w:tcPr>
            <w:tcW w:w="8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24,256</w:t>
            </w:r>
          </w:p>
        </w:tc>
        <w:tc>
          <w:tcPr>
            <w:tcW w:w="0" w:type="dxa"/>
            <w:vAlign w:val="bottom"/>
          </w:tcPr>
          <w:p>
            <w:pPr>
              <w:spacing w:after="0"/>
              <w:rPr>
                <w:sz w:val="1"/>
                <w:szCs w:val="1"/>
                <w:color w:val="auto"/>
              </w:rPr>
            </w:pPr>
          </w:p>
        </w:tc>
      </w:tr>
      <w:tr>
        <w:trPr>
          <w:trHeight w:val="213"/>
        </w:trPr>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 associated warrants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(116,583)</w:t>
            </w: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435,923,104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1,965,838</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(2,494,831)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(531,716)</w:t>
            </w: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“at-the-market”</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offering, net of commissions and</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offering costs of $313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4,605,323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13,615</w:t>
            </w:r>
          </w:p>
        </w:tc>
        <w:tc>
          <w:tcPr>
            <w:tcW w:w="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0" w:type="dxa"/>
            <w:vAlign w:val="bottom"/>
          </w:tcPr>
          <w:p>
            <w:pPr>
              <w:spacing w:after="0"/>
              <w:rPr>
                <w:sz w:val="1"/>
                <w:szCs w:val="1"/>
                <w:color w:val="auto"/>
              </w:rPr>
            </w:pPr>
          </w:p>
        </w:tc>
      </w:tr>
      <w:tr>
        <w:trPr>
          <w:trHeight w:val="25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11,062</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11,062</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6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140,269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2"/>
                <w:szCs w:val="22"/>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5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(138,213)</w:t>
            </w:r>
          </w:p>
        </w:tc>
        <w:tc>
          <w:tcPr>
            <w:tcW w:w="0" w:type="dxa"/>
            <w:vAlign w:val="bottom"/>
          </w:tcPr>
          <w:p>
            <w:pPr>
              <w:spacing w:after="0"/>
              <w:rPr>
                <w:sz w:val="1"/>
                <w:szCs w:val="1"/>
                <w:color w:val="auto"/>
              </w:rPr>
            </w:pPr>
          </w:p>
        </w:tc>
      </w:tr>
      <w:tr>
        <w:trPr>
          <w:trHeight w:val="235"/>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440,673,897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1,990,590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(2,632,710)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(642,116)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(645,183)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4" w:lineRule="exact"/>
        <w:rPr>
          <w:sz w:val="20"/>
          <w:szCs w:val="20"/>
          <w:color w:val="auto"/>
        </w:rPr>
      </w:pPr>
    </w:p>
    <w:p>
      <w:pPr>
        <w:jc w:val="both"/>
        <w:ind w:left="87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33655</wp:posOffset>
            </wp:positionV>
            <wp:extent cx="19716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Non-cash interest expense related to the revenue interest liability</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Amortization of related-party notes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Non-cash lease expense related to 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Accretion of discounts on marketable debt securities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Non-cash interest items, net (including amounts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Unrealized losses on equity securities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Change in fair value of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Transaction costs allocated to warrant liabilities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Inventories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assets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Accrued expenses and other liabilities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Purchases of marketable debt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Maturities of marketable debt securities, available-for-sale</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Proceeds from sales of marketable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Purchases of property, plant and equipment</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(268,714)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(254,796)</w:t>
            </w:r>
          </w:p>
        </w:tc>
      </w:tr>
      <w:tr>
        <w:trPr>
          <w:trHeight w:val="513"/>
        </w:trPr>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w:t>
            </w:r>
          </w:p>
        </w:tc>
      </w:tr>
      <w:tr>
        <w:trPr>
          <w:trHeight w:val="216"/>
        </w:trPr>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21,940</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23,824</w:t>
            </w:r>
          </w:p>
        </w:tc>
      </w:tr>
      <w:tr>
        <w:trPr>
          <w:trHeight w:val="216"/>
        </w:trPr>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9,363</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43"/>
        </w:trPr>
        <w:tc>
          <w:tcPr>
            <w:tcW w:w="4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6,768</w:t>
            </w:r>
          </w:p>
        </w:tc>
      </w:tr>
      <w:tr>
        <w:trPr>
          <w:trHeight w:val="270"/>
        </w:trPr>
        <w:tc>
          <w:tcPr>
            <w:tcW w:w="4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16"/>
        </w:trPr>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513"/>
        </w:trPr>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11,240</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27,864</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(207,329)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(164,083)</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33"/>
        </w:trPr>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(134,129)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(17,088)</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00" w:space="720"/>
            <w:col w:w="3100"/>
          </w:cols>
          <w:pgMar w:left="320" w:top="121" w:right="359"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RIPA, net of issuance costs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96,956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exercises of warrants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Oberland stock option, net of commissions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equity offerings, net of discounts and issuance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60,794</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related-party promissory notes, net of issuance costs paid</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59,700</w:t>
            </w:r>
          </w:p>
        </w:tc>
      </w:tr>
      <w:tr>
        <w:trPr>
          <w:trHeight w:val="204"/>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159,119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120,300</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(61,135)</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104,965</w:t>
            </w: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130,438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43,830</w:t>
            </w:r>
          </w:p>
        </w:tc>
      </w:tr>
      <w:tr>
        <w:trPr>
          <w:trHeight w:val="3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8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130,104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43,506</w:t>
            </w:r>
          </w:p>
        </w:tc>
      </w:tr>
      <w:tr>
        <w:trPr>
          <w:trHeight w:val="24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130,438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43,830</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25,520</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8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8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due to related parties</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11,992</w:t>
            </w:r>
          </w:p>
        </w:tc>
      </w:tr>
      <w:tr>
        <w:trPr>
          <w:trHeight w:val="33"/>
        </w:trPr>
        <w:tc>
          <w:tcPr>
            <w:tcW w:w="8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gains on marketable debt securities, net</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2"/>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Initial measurement of warrants issued in connection with</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0"/>
        </w:trPr>
        <w:tc>
          <w:tcPr>
            <w:tcW w:w="8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RDOs accounted for as liabilities</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23,698</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Unpaid offering costs included in accounts payable and accrued expenses</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unaudited condensed consolidated financial statements, the terms “ImmunityBio,” “the company,” “we,” “us,” and “our” refer to ImmunityBio, Inc. and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ImmunityBio is a vertically-integrated biotechnology company developing next-generation therapies and vaccines that bolster the natural immune system to defeat cancers and infectious diseases. The company’s range of immunotherapy and cell therapy platforms, alone and together, act to drive and sustain an immune response with the goal of creating durable and safe protection against disease. We are applying our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w:t>
      </w:r>
    </w:p>
    <w:p>
      <w:pPr>
        <w:spacing w:after="0" w:line="187" w:lineRule="exact"/>
        <w:rPr>
          <w:sz w:val="20"/>
          <w:szCs w:val="20"/>
          <w:color w:val="auto"/>
        </w:rPr>
      </w:pPr>
    </w:p>
    <w:p>
      <w:pPr>
        <w:jc w:val="both"/>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platforms and their associated product and product candidates are designed to attack cancer and infectious pathogens by activating both the innate immune system, including—NK cells, dendritic cells, and macrophages, as well as—the adaptive immune system comprising—B and T cells,—in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checkpoint inhibitors, and/or reduce the need for standard high-dose chemotherapy in cancer by employing this coordinated approach to establish “immunological memory” that confers long-term benefit for the patient.</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proprietary platforms for the development of biologic product candidates include: (i) antibody-cytokine fusion proteins, (ii) DNA, RNA, and recombinant protein vaccines, and (iii) cell therapies. As of June 2024, our platforms have generated nine first-in-human therapeutic agents (including one FDA-approved agent) that are currently or planned to be studied in clinical trials in liquid and solid tumors. Specifically, our clinical focus includes bladder, lung, and colorectal cancers and GBM, which are among the most frequent and lethal cancer types, and where there are high failure rates for existing standards of care or no available effective treatment.</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lead biologic product ANKTIVA is a novel first-in-class IL-15 agonist antibody-cytokine fusion protein. On April 22, 2024, the FDA approved our product, ANKTIVA with BCG for the treatment of adult patients with BCG-unresponsive NMIBC with CIS, with or without papillary tumors (the “approved product”). We began commercial distribution of our approved product in May 2024.</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pursuant to the rules and regulations of the SEC. The unaudited condensed consolidated financial statements reflect all adjustments which are, in the opinion of management, necessary for a fair presentation of our financial position and results of operations. Certain items in the prior year’s consolidated financial statements have been reclassified to conform to the current presentation. These reclassifications had no effect on the reported results of operations. The unaudited condensed consolidated financial statements do not include all information and notes required by U.S. GAAP for annual reports and therefore should be read in conjunction with our consolidated financial statements and the notes thereto contained in our Annual Report filed with the SEC on March 19, 2024. These interim financials are not necessarily indicative of results expected for the full fiscal year.</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include the accounts of the company, its wholly-owned subsidiaries, and a VIE for which the company is the primary beneficiary. Any material intercompany transactions and balances have been eliminated upon consolidation. For consolidated entities where we have less than 100% of ownership, we record </w:t>
      </w:r>
      <w:r>
        <w:rPr>
          <w:rFonts w:ascii="Times New Roman" w:cs="Times New Roman" w:eastAsia="Times New Roman" w:hAnsi="Times New Roman"/>
          <w:sz w:val="18"/>
          <w:szCs w:val="18"/>
          <w:i w:val="1"/>
          <w:iCs w:val="1"/>
          <w:color w:val="auto"/>
        </w:rPr>
        <w:t>net loss attributable to noncontrolling interests, net of tax,</w:t>
      </w:r>
      <w:r>
        <w:rPr>
          <w:rFonts w:ascii="Times New Roman" w:cs="Times New Roman" w:eastAsia="Times New Roman" w:hAnsi="Times New Roman"/>
          <w:sz w:val="18"/>
          <w:szCs w:val="18"/>
          <w:color w:val="auto"/>
        </w:rPr>
        <w:t xml:space="preserve"> on the condensed consolidated statement of operations equal to the percentage of the ownership interest retained in such entities by the respective noncontrolling parties.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assess whether we are the primary beneficiary of a VIE at the inception of the arrangement and at each reporting date. This assessment is based on our power to direct the activities of the VIE that most significantly impact the VIE’s economic performance and our obligation to absorb losses or the right to receive benefits from the VIE that could potentially be significant to the VIE.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 entity is within the scope of the variable interest model and meets the definition of a VIE, we consider whether we must consolidate the VIE or provide additional disclosures regarding our involvement with the VIE. If we determine that we are the primary beneficiary of the VIE, we will consolidate the VIE. This analysis is performed at the initial investment in the entity or upon any reconsideration event.</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entities we hold as an equity investment that are not consolidated under the VIE model, we consider whether our investment constitutes a controlling financial interest in the entity and therefore should be considered for consolidation under the voting interest model.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$3.2 billion. We also had negative cash flows from operations of $207.3 million during the six months ended June 30, 2024. The company will likely need additional capital to commercialize our approved product, and to further fund the development of, and to seek regulatory approvals for, our other product candidates.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the uncertainty of our ability to continue as a going concern. As a result of continuing anticipated operating cash outflows as we commercialize our approved product and accelerate our development efforts, we believe that substantial doubt exists regarding our ability to continue as a going concern without additional funding or financial support. However, we believe our existing cash, cash equivalents, and investments in marketable securities; sales of our approved product; capital to be raised through equity offerings, including but not limited to, the offering, issuance and sale by us of our common stock under the ATM, of which we had $296.5 million available for future issuance as of June 30, 2024; and our potential ability to borrow from affiliated entities will be sufficient to fund our operations through at least the next 12 months following the issuance date of the consolidated financial statements based primarily upon our Executive Chairman and Global Chief Scientific and Medical Officer’s intent and ability to support our operations with additional funds, including loans from affiliated entities, as required, which we believe alleviates such doubt.</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to funds from the future sales of our approved product, which we expect to take time to establish, we may also seek to sell additional equity, through one or more follow-on offerings, or in separate financings, or obtain incremental subordinated debt in compliance with our existing revenue interest liability. However, we may not be able to secure such external financing in a timely manner or on favorable terms. Without significant sales of our approved product or additional funds, we may choose to delay or reduce our operating or investment expenditures. Further, because of the risk and uncertainties associated with the commercialization of our approved product and our other product candidates, we may need additional funds to meet our needs sooner than planned.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amounts of revenues and expenses during the reporting period. On an ongoing basis, we evaluate our estimates, including those related to the valuation of equity-based awards, deferred income taxes and related valuation allowances, preclinical and clinical trial accruals, impairment assessments, CVR measurement and assessments, the measurement of right-of-use assets and lease liabilities, useful lives of long-lived assets, loss contingencies, fair value calculation of warrants, stock options, derivative liabilities, and convertible promissory notes, fair value measurements, revenue interest liability, revenue recognition, accruals for research and development activities, and the assessment of our ability to fund our operations for at least the next 12 months from the date of issuance of these condensed consolidated financial statements. We base our estimates on historical experience and on various other market-specific and relevant assumptions that we believe to be reasonable under the circumstances. Estimates are assessed each period and updated to reflect current information and anticipated future events, and accordingly, actual results may ultimately differ materially from those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March 19, 2024, except as updated herein or as it relates to revenue recognition, cost of revenue, accounts receivable, inventory, warrants, convertible notes, debt, revenue interest liability, derivative liabilities and the adoption of new accounting standards during the six months ended June 30, 2024. Management does not believe that any recently issued, but not yet effective, accounting pronouncements, if currently adopted, would have a material effect on the company’s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1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After FDA approval in April 2024, the company began recognizing revenue from the sale of ANKTIVA in accordance with ASC Topic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 Revenue from product sales is recorded at the net sales price (“transaction price”), which includes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variable consideration. An estimate of variable consideration is based on an amount that reflects the consideration to which we expect to be entitled, net of accruals for estimated rebates, chargebacks, discounts and other deductions and returns established at the time of sale.</w:t>
      </w:r>
    </w:p>
    <w:p>
      <w:pPr>
        <w:spacing w:after="0" w:line="18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Where appropriate, these estimates are based on factors such as industry data and forecasted customer buying and payment patterns, our experience, current contractual and statutory requirements, specific known market events and trends.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future periods vary from our estimates, we adjust these estimates, which would affect product revenue and earnings in the period such variances become known. As we gain more experience, estimates will be more heavily based on the expected utilization from historical data we have accumulated since the ANKTIVA product launch.</w:t>
      </w:r>
    </w:p>
    <w:p>
      <w:pPr>
        <w:spacing w:after="0" w:line="19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entered into a third-party logistics agreement to engage a 3PL Agent to distribute the company’s products to its customers. The 3PL Agent provides services to the company that include storage, shipping and distribution, processing product returns, as well as customer service, order to cash, and logistics support. The company’s customers are currently limited to pharmaceutical specialty distributors (each a “Customer”) pursuant to a drop-ship arrangement whereby the 3PL Agent will ship products to end customers of such Customers. Our Customers subsequently sell ANKTIVA to hospitals, medical facilities, physician practices, pharmacies and government agencies. Revenue from product sales is recognized when our performance obligations are satisfied, which is upon delivery to the end customer.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License Agreements with Third Parties</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nonexclusive license agreements with a limited number of pharmaceutical and biotechnology companies that grant them the right to use our cell lines and intellectual property for non-clinical use. These agreements generally include upfront fees and annual research license fees for such use, as well as commercial license fees for sales of the licensee products developed or manufactured using our intellectual property and cell lines.</w:t>
      </w:r>
    </w:p>
    <w:p>
      <w:pPr>
        <w:spacing w:after="0" w:line="1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Under our license agreements with customers, we typically promise to provide a license to use certain cell lines and related patents, the related know-how, and future research and development data that affect the license. We have concluded that these promises represent one performance obligation due to the highly interrelated nature of the promises. We provide the cell lines and know-how immediately upon entering into the contracts. Research and development data are provided throughout the term of the contract when and if available. A performance obligation is a promise in a contract to transfer a distinct good or service to the customer. A contract’s transaction price is allocated to each distinct performance obligation based on relative standalone selling price and recognized as revenue when, or as, the performance obligation is satisfied.</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license agreements may include non-refundable upfront payments, event-based milestone payments, sales-based royalty payments, or some combination of these. The event-based milestone payments represent variable consideration and we use the most likely amount method to estimate this variable consideration. Given the high degree of uncertainly around the achievement of these milestones, we do not recognize revenue from these milestone payments until the uncertainty associated with these payments is resolved. We currently estimate variable consideration related to milestone payments to be zero and, as such, no revenue has been recognized for milestone payments. We recognize revenue from sales-based royalty payments when or as sales occur. On a quarterly basis, we re-evaluate our estimate of milestone variable consideration to determine whether any amount should be included in the transaction price and recorded in revenue prospectively.</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Product and Services Revenue</w:t>
      </w:r>
    </w:p>
    <w:p>
      <w:pPr>
        <w:spacing w:after="0" w:line="11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sell our proprietary GMP-in-a-Box bioreactors and related consumables to affiliated companies and third parties. The arrangements typically include delivery of bioreactors, consumables, and providing installation service and perpetual software licenses for using the equipment. We recognize revenue when customers obtain control and can benefit from the promised goods or services, generally upon installation of the bioreactors, in an amount that reflects the consideration that we expect to receive in exchange for those goods or services. Upfront payments and fees are recorded as deferred revenue upon receipt and recognized as revenue when we satisfy our performance obligations under these arrangements.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Grant revenue is typically paid for reimbursable costs incurred over the duration of the associated research project or clinical trial and is recognized either when expenses reimbursable under the grants have been incurred and payments under the grants become contractually due or when cash is received, depending on the certainty of payment and other factors specific to each grant.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Cost of product revenue consists primarily of third-party manufacturing costs, distribution, and overhead costs related to sales of approved product subsequent to receiving regulatory approval. Cost of product revenue may also include costs related to excess or obsolete inventory adjustment charges, abnormal costs, unabsorbed manufacturing and overhead costs, and manufacturing variances. Based on our policy to expense costs associated with the manufacture of products prior to receiving regulatory approval, all costs associated with the production of ANKTIVA were expensed in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expense</w:t>
      </w:r>
      <w:r>
        <w:rPr>
          <w:rFonts w:ascii="Times New Roman" w:cs="Times New Roman" w:eastAsia="Times New Roman" w:hAnsi="Times New Roman"/>
          <w:sz w:val="18"/>
          <w:szCs w:val="18"/>
          <w:color w:val="auto"/>
        </w:rPr>
        <w:t>, on the condensed consolidated statement of operations in the period incurred and therefore are not reflected in cost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is recorded net of allowances for prompt payment discounts, returns, and credit losses. The company estimates an allowance for credit losses by considering factors such as credit quality, the age of the accounts receivable balances, and current economic conditions that may affect a customer’s ability to pay. As of June 30, 2024, the credit profile for the company’s counterparty was deemed to be in good standing, and as such an allowance for credit losses was not recorded.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began to capitalize inventory costs associated with ANKTIVA during the three months ended June 30, 2024 after receiving FDA approval in April 2024 when it was determined that the inventory had a probable future economic benefit.</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with cost determined using the FIFO method. Inventory costs include the cost of materials, third-party contract manufacturing, third-party packaging services, freight, labor costs for personnel involved in the manufacturing process, and indirect overhead costs. Net realizable value is the estimated selling price in the ordinary course of business less reasonably predictable costs of completion, disposal and transportation.</w:t>
      </w:r>
    </w:p>
    <w:p>
      <w:pPr>
        <w:spacing w:after="0" w:line="18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in </w:t>
      </w:r>
      <w:r>
        <w:rPr>
          <w:rFonts w:ascii="Times New Roman" w:cs="Times New Roman" w:eastAsia="Times New Roman" w:hAnsi="Times New Roman"/>
          <w:sz w:val="18"/>
          <w:szCs w:val="18"/>
          <w:i w:val="1"/>
          <w:iCs w:val="1"/>
          <w:color w:val="auto"/>
        </w:rPr>
        <w:t>cost of product revenue</w:t>
      </w:r>
      <w:r>
        <w:rPr>
          <w:rFonts w:ascii="Times New Roman" w:cs="Times New Roman" w:eastAsia="Times New Roman" w:hAnsi="Times New Roman"/>
          <w:sz w:val="18"/>
          <w:szCs w:val="18"/>
          <w:color w:val="auto"/>
        </w:rPr>
        <w:t>, on the condensed consolidated statement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FDA approval was recently received and the company capitalized its first inventory as of June 30, 2024, no reserve has been established.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monitor if a reserve is needed at each reporting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warrants that meet all criteria for equity classification, the warrants are required to be recorded as a component of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condensed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recorded as a non-cash gain or loss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condensed consolidated statement of operations. The fair value of the warrants was estimated using the Black-Scholes option pricing model.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11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a convertible note issued on March 31, 2023 under the FVO election of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until it was amended and restated on December 29, 2023. Prior to its extinguishment on December 29, 2023, the convertible note was a debt host financial instrument containing embedded features wherein the entire financial instrument was initially measured at its issuance-date fair value and then subsequently remeasured at estimated fair value on a recurring basis at each reporting period date.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Changes in the estimated fair value of this convertible note were recorded in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on the condensed consolidated statement of operations, except that changes in estimated fair value caused by changes in the instrument-specific credit risk are included in </w:t>
      </w:r>
      <w:r>
        <w:rPr>
          <w:rFonts w:ascii="Times New Roman" w:cs="Times New Roman" w:eastAsia="Times New Roman" w:hAnsi="Times New Roman"/>
          <w:sz w:val="18"/>
          <w:szCs w:val="18"/>
          <w:i w:val="1"/>
          <w:iCs w:val="1"/>
          <w:color w:val="auto"/>
        </w:rPr>
        <w:t>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(loss)</w:t>
      </w:r>
      <w:r>
        <w:rPr>
          <w:rFonts w:ascii="Times New Roman" w:cs="Times New Roman" w:eastAsia="Times New Roman" w:hAnsi="Times New Roman"/>
          <w:sz w:val="18"/>
          <w:szCs w:val="18"/>
          <w:color w:val="auto"/>
        </w:rPr>
        <w:t>. In accordance with FASB ASC Topic 470-50,</w:t>
      </w:r>
      <w:r>
        <w:rPr>
          <w:rFonts w:ascii="Times New Roman" w:cs="Times New Roman" w:eastAsia="Times New Roman" w:hAnsi="Times New Roman"/>
          <w:sz w:val="18"/>
          <w:szCs w:val="18"/>
          <w:i w:val="1"/>
          <w:iCs w:val="1"/>
          <w:color w:val="auto"/>
        </w:rPr>
        <w:t xml:space="preserve"> Debt – Modifications and Extinguishments </w:t>
      </w:r>
      <w:r>
        <w:rPr>
          <w:rFonts w:ascii="Times New Roman" w:cs="Times New Roman" w:eastAsia="Times New Roman" w:hAnsi="Times New Roman"/>
          <w:sz w:val="18"/>
          <w:szCs w:val="18"/>
          <w:color w:val="auto"/>
        </w:rPr>
        <w:t>(ASC 470-50), when the convertible note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extinguished on December 29, 2023, the cumulative amount previously recorded in </w:t>
      </w:r>
      <w:r>
        <w:rPr>
          <w:rFonts w:ascii="Times New Roman" w:cs="Times New Roman" w:eastAsia="Times New Roman" w:hAnsi="Times New Roman"/>
          <w:sz w:val="18"/>
          <w:szCs w:val="18"/>
          <w:i w:val="1"/>
          <w:iCs w:val="1"/>
          <w:color w:val="auto"/>
        </w:rPr>
        <w:t>other comprehensive (loss) income</w:t>
      </w:r>
      <w:r>
        <w:rPr>
          <w:rFonts w:ascii="Times New Roman" w:cs="Times New Roman" w:eastAsia="Times New Roman" w:hAnsi="Times New Roman"/>
          <w:sz w:val="18"/>
          <w:szCs w:val="18"/>
          <w:color w:val="auto"/>
        </w:rPr>
        <w:t xml:space="preserve"> resulting from changes in the instrument-specific credit risk were reclassified and reported in current earnings on the condensed consolidated statement of operations.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for more information.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Modification and Extinguishment</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amendments to its debt instruments in accordance with ASC 470-50. This evaluation includes comparing (1) if applicable, the net present value of future cash flows of the amended debt to that of the original debt and (2) the change in fair value of an embedded conversion feature to that of the carrying amount of the debt immediately prior to amendment to determine, in each case, if a change greater than 10% occurred. In instances where the net present value of future cash flows or the fair value of an embedded conversion feature, if any, changed more than 10%, the company applies extinguishment accounting. In instances where the net present value of future cash flows and the fair value of an embedded conversion feature, if any, changed less than 10%, the company accounts for the amendment to the debt as a debt modification. Gains and losses on debt amendments that are considered extinguishments are recognized in current earnings or in additional paid-in capital if the transactions are with entities under common control. Debt amendments that are considered debt modifications are accounted for prospectively through yield adjustments, based on the revised terms. The increase in fair value of the embedded conversion feature from the debt modification was accounted for as an increase in debt discount with a corresponding increase in additional paid-in capital. Legal fees and other costs incurred with third parties that are directly related to debt modifications are expensed as incurred. Amounts paid by the company to the lenders, are reflected as additional debt discount and amortized as an adjustment of interest expense over remaining term of modified debt using the effective interest method.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Liability</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29, 2023, we entered into the RIPA with Infinity and Oberland. Pursuant to the RIPA, Oberland acquired certain Revenue Interests (as defined in the RIPA) from us for a gross purchase price of $200.0 million paid on closing and acquired additional Revenue Interests from us for a gross purchase price of $100.0 million paid on May 13, 2024. Under the RIPA, Oberland has the right to receive quarterly payments from us based on, among other things, a certain percentage of our worldwide net sales, excluding those in China, during such quarter. The RIPA is considered a sale of future revenues and is accounted for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consolidated statement of operations. The interest rate on this liability may vary during the term of the agreement depending on a number of factors, including the level of actual and forecasted net sales. The company evaluates the interest rate quarterly based on actual and forecasted net sales utilizing the prospective method. A significant increase or decrease in actual or forecasted net sales will materially impact the revenue interest liability, interest expense, and the time period for repayment.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Embedded derivatives that are required to be bifurcated from the underlying debt instrument that do not meet the derivative scope exception and equity classification criteria are accounted for and valued as separate financial instruments. The terms of an embedded derivative related to a contingent exercisable prepayment feature of a convertible note have been evaluated and deemed to require bifurcation. This embedded derivative was initially measured at fair value and will be remeasured to fair value at each reporting date until the derivative is settled.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20" w:firstLine="648"/>
        <w:spacing w:after="0" w:line="276" w:lineRule="auto"/>
        <w:rPr>
          <w:sz w:val="20"/>
          <w:szCs w:val="20"/>
          <w:color w:val="auto"/>
        </w:rPr>
      </w:pPr>
      <w:r>
        <w:rPr>
          <w:rFonts w:ascii="Times New Roman" w:cs="Times New Roman" w:eastAsia="Times New Roman" w:hAnsi="Times New Roman"/>
          <w:sz w:val="17"/>
          <w:szCs w:val="17"/>
          <w:color w:val="auto"/>
        </w:rPr>
        <w:t>In addition, the RIPA contains certain features that meet the definition of being an embedded derivative requiring bifurcation as a separate compound financial instrument apart from the RIPA. In May 2024, Oberland acquired additional Revenue Interests for a gross purchase price of</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$100.0 million, and the company recorded an incremental portion of the fair value of the derivative liability as of the funding date of $6.2 million as a debt discount, which is being amortized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the condensed consolidated statement of operations along with the initial debt discount over the expected term of the debt using the effective interest rate method. The fair value of the derivative liability is subject to remeasurement at each reporting period, with changes in fair value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condensed consolidated statement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 of Common Stock</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ImmunityBio common stockholders by the weighted-average number of common shares outstanding for the period. Diluted loss per share is computed by dividing net loss attributable to ImmunityBio common stockholders by the weighted-average number of common shares, including the number of additional shares that would have been outstanding if the potential common shares had been issued and if the additional common shares were dilutive.</w:t>
      </w:r>
    </w:p>
    <w:p>
      <w:pPr>
        <w:spacing w:after="0" w:line="18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all periods presented, potentially dilutive securities are excluded from the computation of fully diluted loss per share as their effect is anti-dilutive. The following table details the number of shares of common stock underlying those securities that have been excluded from the computation of potentially dilutive securities: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060" w:type="dxa"/>
            <w:vAlign w:val="bottom"/>
            <w:gridSpan w:val="3"/>
          </w:tcPr>
          <w:p>
            <w:pPr>
              <w:jc w:val="center"/>
              <w:ind w:left="956"/>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4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2060" w:type="dxa"/>
            <w:vAlign w:val="bottom"/>
            <w:tcBorders>
              <w:bottom w:val="single" w:sz="8" w:color="auto"/>
            </w:tcBorders>
            <w:gridSpan w:val="3"/>
          </w:tcPr>
          <w:p>
            <w:pPr>
              <w:jc w:val="center"/>
              <w:ind w:left="9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Borders>
              <w:bottom w:val="single" w:sz="8" w:color="auto"/>
            </w:tcBorders>
          </w:tcPr>
          <w:p>
            <w:pPr>
              <w:spacing w:after="0"/>
              <w:rPr>
                <w:sz w:val="17"/>
                <w:szCs w:val="17"/>
                <w:color w:val="auto"/>
              </w:rPr>
            </w:pPr>
          </w:p>
        </w:tc>
      </w:tr>
      <w:tr>
        <w:trPr>
          <w:trHeight w:val="40"/>
        </w:trPr>
        <w:tc>
          <w:tcPr>
            <w:tcW w:w="8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Related-party convertible notes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162,471,837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60,340,936</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third-party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23,163,524</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15,714,486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10,002,722</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6,444,196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6,029,582</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related-party warrants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1,638,000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1,638,000</w:t>
            </w:r>
          </w:p>
        </w:tc>
      </w:tr>
      <w:tr>
        <w:trPr>
          <w:trHeight w:val="25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206,498,848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101,174,764</w:t>
            </w: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firstLine="648"/>
        <w:spacing w:after="0" w:line="312" w:lineRule="auto"/>
        <w:rPr>
          <w:sz w:val="20"/>
          <w:szCs w:val="20"/>
          <w:color w:val="auto"/>
        </w:rPr>
      </w:pPr>
      <w:r>
        <w:rPr>
          <w:rFonts w:ascii="Times New Roman" w:cs="Times New Roman" w:eastAsia="Times New Roman" w:hAnsi="Times New Roman"/>
          <w:sz w:val="17"/>
          <w:szCs w:val="17"/>
          <w:color w:val="auto"/>
        </w:rPr>
        <w:t>The dilutive securities shown in the table above as of June 30, 2024 exclude an option to purchase up to approximately $5.0 million of the company’s common stock pursuant to the SPOA entered in connection with the RIPA, as the exercise price cannot be determined until the date of exercise.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 – Adopted</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2022-03</w:t>
      </w:r>
      <w:r>
        <w:rPr>
          <w:rFonts w:ascii="Times New Roman" w:cs="Times New Roman" w:eastAsia="Times New Roman" w:hAnsi="Times New Roman"/>
          <w:sz w:val="18"/>
          <w:szCs w:val="18"/>
          <w:i w:val="1"/>
          <w:iCs w:val="1"/>
          <w:color w:val="auto"/>
        </w:rPr>
        <w:t>, Fair Value Measurement of Equity Securities Subject to Contractual Sale Restrictions</w:t>
      </w:r>
      <w:r>
        <w:rPr>
          <w:rFonts w:ascii="Times New Roman" w:cs="Times New Roman" w:eastAsia="Times New Roman" w:hAnsi="Times New Roman"/>
          <w:sz w:val="18"/>
          <w:szCs w:val="18"/>
          <w:color w:val="auto"/>
        </w:rPr>
        <w:t>, which clarifies that a contractual restriction on the sale of an equity security is not considered part of the unit of account of the equity security and, therefore, is not considered in measuring fair value. This ASU also clarifies that an entity cannot, as a separate unit of account, recognize and measure a contractual sale restriction and introduces certain disclosure requirements for equity securities subject to such restrictions. We adopted this ASU on January 1, 2024 on a prospective basis with no impact on our condensed consolidated financial statements.</w:t>
      </w:r>
    </w:p>
    <w:p>
      <w:pPr>
        <w:spacing w:after="0" w:line="183"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March 2023, the FASB issued ASU 2023-01, </w:t>
      </w:r>
      <w:r>
        <w:rPr>
          <w:rFonts w:ascii="Times New Roman" w:cs="Times New Roman" w:eastAsia="Times New Roman" w:hAnsi="Times New Roman"/>
          <w:sz w:val="18"/>
          <w:szCs w:val="18"/>
          <w:i w:val="1"/>
          <w:iCs w:val="1"/>
          <w:color w:val="auto"/>
        </w:rPr>
        <w:t>Leases-Common Control Arrangements (Topic 842).</w:t>
      </w:r>
      <w:r>
        <w:rPr>
          <w:rFonts w:ascii="Times New Roman" w:cs="Times New Roman" w:eastAsia="Times New Roman" w:hAnsi="Times New Roman"/>
          <w:sz w:val="18"/>
          <w:szCs w:val="18"/>
          <w:color w:val="auto"/>
        </w:rPr>
        <w:t xml:space="preserve"> This ASU provides updated guidance for accounting for leasehold improvements associated with common control leases. We adopted this ASU on January 1, 2024 on a prospective basis with no impact on our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 – Not Yet Adopted</w:t>
      </w:r>
    </w:p>
    <w:p>
      <w:pPr>
        <w:spacing w:after="0" w:line="11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improve its income tax disclosure requirements. Under the ASU, entities must annually (1) disclose specific categories in the rate reconciliation, (2) provide additional information for reconciling items that meet a quantitative threshold, and (3) disclose more detailed information about income taxes paid, including by jurisdiction; pretax income (or loss) from continuing operations; and income tax expense (or benefit). The ASU is effective for fiscal years beginning after December 15, 2024, and interim periods beginning after December 15, 2025, with early adoption permitted. We are currently evaluating the impact of this standard on our disclosures.</w:t>
      </w:r>
    </w:p>
    <w:p>
      <w:pPr>
        <w:spacing w:after="0" w:line="18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disclosure of incremental segment information on an annual and interim basis. This ASU is effective for fiscal years beginning after December 15, 2023, and interim periods within fiscal years beginning after December 15, 2024 on a retrospective basis. We are currently evaluating the impact of this standard on our disclosures.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Combinations-Joint Venture Formations (Subtopic 805-60): Recognition and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which requires a joint venture to initially measure all contributions received upon its formation at fair value. This ASU is applicable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entities with a formation date on or after January 1, 2025 on a prospective basis. We will apply this guidance prospectively in future reporting periods after the guidance is effective to any future arrangements meeting the definition of a joint venture.</w:t>
      </w:r>
    </w:p>
    <w:p>
      <w:pPr>
        <w:spacing w:after="0" w:line="18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recent authoritative guidance issued by the FASB (including technical corrections to the ASC), and the SEC during the six months ended June 30, 2024 did not, or are not expected to, have a material effect on our condensed consolidated financial statements.</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19"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revenues are recognized in accordance with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following table presents our disaggregated revenue for the periods presented (in thousands):</w:t>
      </w:r>
    </w:p>
    <w:p>
      <w:pPr>
        <w:sectPr>
          <w:pgSz w:w="11900" w:h="16838" w:orient="portrait"/>
          <w:cols w:equalWidth="0" w:num="1">
            <w:col w:w="11220"/>
          </w:cols>
          <w:pgMar w:left="320" w:top="121" w:right="359" w:bottom="1440" w:gutter="0" w:footer="0" w:header="0"/>
        </w:sectPr>
      </w:pPr>
    </w:p>
    <w:p>
      <w:pPr>
        <w:spacing w:after="0" w:line="208"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30480</wp:posOffset>
            </wp:positionV>
            <wp:extent cx="17056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1" w:lineRule="exact"/>
        <w:rPr>
          <w:sz w:val="20"/>
          <w:szCs w:val="20"/>
          <w:color w:val="auto"/>
        </w:rPr>
      </w:pPr>
    </w:p>
    <w:p>
      <w:pPr>
        <w:ind w:left="6220"/>
        <w:spacing w:after="0"/>
        <w:tabs>
          <w:tab w:leader="none" w:pos="7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33655</wp:posOffset>
            </wp:positionV>
            <wp:extent cx="17056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33655</wp:posOffset>
            </wp:positionV>
            <wp:extent cx="1705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30480</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33655</wp:posOffset>
            </wp:positionV>
            <wp:extent cx="1714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33655</wp:posOffset>
            </wp:positionV>
            <wp:extent cx="1714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300" w:space="720"/>
            <w:col w:w="220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75"/>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our only source of product revenue has been from U.S. sales of ANKTIVA, which we began shipping to customers in May 2024.</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2024, approximately $49 thousand of gross-to-net accruals have been recorded as a reduction to revenue, of which approximately $5 thousand as a reduction of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approximately $44 thousand is presented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the condensed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six months ended June 30, 2024, our primary source of other revenues was consumable product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Financial Statement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services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license fees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equipment maintenance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ERP system implementation cost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premium financing asset</w:t>
            </w:r>
          </w:p>
        </w:tc>
        <w:tc>
          <w:tcPr>
            <w:tcW w:w="24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claims receivable</w:t>
            </w: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1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720" w:firstLine="648"/>
        <w:spacing w:after="0" w:line="289" w:lineRule="auto"/>
        <w:rPr>
          <w:sz w:val="20"/>
          <w:szCs w:val="20"/>
          <w:color w:val="auto"/>
        </w:rPr>
      </w:pPr>
      <w:r>
        <w:rPr>
          <w:rFonts w:ascii="Times New Roman" w:cs="Times New Roman" w:eastAsia="Times New Roman" w:hAnsi="Times New Roman"/>
          <w:sz w:val="17"/>
          <w:szCs w:val="17"/>
          <w:color w:val="auto"/>
        </w:rPr>
        <w:t xml:space="preserve">Inventory is stated at the lower of cost or net realizable value and consists of raw materials, work-in-progress and finished goods. Cost is determined using a standard cost method, which approximates actual cost, and assumes a FIFO flow of goods. Inventory that is used for clinical development purposes is expensed in </w:t>
      </w:r>
      <w:r>
        <w:rPr>
          <w:rFonts w:ascii="Times New Roman" w:cs="Times New Roman" w:eastAsia="Times New Roman" w:hAnsi="Times New Roman"/>
          <w:sz w:val="17"/>
          <w:szCs w:val="17"/>
          <w:i w:val="1"/>
          <w:iCs w:val="1"/>
          <w:color w:val="auto"/>
        </w:rPr>
        <w:t>research and development expense,</w:t>
      </w:r>
      <w:r>
        <w:rPr>
          <w:rFonts w:ascii="Times New Roman" w:cs="Times New Roman" w:eastAsia="Times New Roman" w:hAnsi="Times New Roman"/>
          <w:sz w:val="17"/>
          <w:szCs w:val="17"/>
          <w:color w:val="auto"/>
        </w:rPr>
        <w:t xml:space="preserve"> on the condensed consolidated statement of operations when consumed.</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Cost of product revenue consists primarily of third-party manufacturing costs, distribution, and overhead costs related to sales of approved product subsequent to receiving regulatory approval. Cost of product revenue may also include costs related to excess or obsolete inventory adjustment charges, abnormal costs, unabsorbed manufacturing and overhead costs, and manufacturing variances. Based on our policy to expense costs associated with the manufacture of products prior to receiving regulatory approval, all costs associated with the production of ANKTIVA were expensed in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expense</w:t>
      </w:r>
      <w:r>
        <w:rPr>
          <w:rFonts w:ascii="Times New Roman" w:cs="Times New Roman" w:eastAsia="Times New Roman" w:hAnsi="Times New Roman"/>
          <w:sz w:val="18"/>
          <w:szCs w:val="18"/>
          <w:color w:val="auto"/>
        </w:rPr>
        <w:t>, on the condensed consolidated statement of operations in the period incurred and therefore are not reflected in cost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work-in-progress materials consists of bulk drug substance and drug product, which have a multi-year shelf life. When the bulk drug substance is manufactured into ANKTIVA drug product, those goods have a shelf life of two years from the date of manufacture. The work-in-progress drug product gets converted to finished goods at the time of labeling. Our expectation is to sell finished goods at least twelve months prior to expiration. Due to our long manufacturing lead time, it was necessary to build up inventory in support of ANKTIVA forecasted sales. As a result of being in the early stages of the ANKTIVA product launch, the company is continuing to evaluate the length of its operating cycle.</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its inventory levels for excess quantities and obsolescence (expiration), taking into account factors such as historical and anticipated future sales compared to quantities on hand and the remaining shelf-life. At June 30, 2024, we determined that a reserve related to ANKTIVA inventory for excess quantities and obsolescence is not required. In addition, since the FDA approval of ANKTIVA the company has not recorded any inventory write downs.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72,552</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69,915</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84,436</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230,458</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84,376</w:t>
            </w:r>
          </w:p>
        </w:tc>
      </w:tr>
      <w:tr>
        <w:trPr>
          <w:trHeight w:val="25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146,082</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and 2023, depreciation expense related to property, plant and equipment totaled $3.9 million and $4.2 million, respectively, and $7.9 million and $8.3 million during the six months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intangible assets are as follows at the dates indicated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4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4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4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3"/>
                <w:szCs w:val="13"/>
                <w:color w:val="auto"/>
              </w:rPr>
            </w:pPr>
          </w:p>
        </w:tc>
        <w:tc>
          <w:tcPr>
            <w:tcW w:w="13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3"/>
                <w:szCs w:val="13"/>
                <w:color w:val="auto"/>
              </w:rPr>
            </w:pPr>
          </w:p>
        </w:tc>
        <w:tc>
          <w:tcPr>
            <w:tcW w:w="1200" w:type="dxa"/>
            <w:vAlign w:val="bottom"/>
          </w:tcPr>
          <w:p>
            <w:pPr>
              <w:jc w:val="right"/>
              <w:ind w:right="197"/>
              <w:spacing w:after="0" w:line="16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99"/>
              </w:rPr>
              <w:t>Definite-lived: Favorable leasehold rights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tcPr>
          <w:p>
            <w:pPr>
              <w:jc w:val="right"/>
              <w:ind w:right="2010"/>
              <w:spacing w:after="0"/>
              <w:rPr>
                <w:sz w:val="20"/>
                <w:szCs w:val="20"/>
                <w:color w:val="auto"/>
              </w:rPr>
            </w:pPr>
            <w:r>
              <w:rPr>
                <w:rFonts w:ascii="Times New Roman" w:cs="Times New Roman" w:eastAsia="Times New Roman" w:hAnsi="Times New Roman"/>
                <w:sz w:val="18"/>
                <w:szCs w:val="18"/>
                <w:color w:val="auto"/>
                <w:w w:val="99"/>
              </w:rPr>
              <w:t>Indefinite-lived: IPR&amp;D</w:t>
            </w:r>
          </w:p>
        </w:tc>
        <w:tc>
          <w:tcPr>
            <w:tcW w:w="14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64"/>
        </w:trPr>
        <w:tc>
          <w:tcPr>
            <w:tcW w:w="388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14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4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4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9"/>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99"/>
              </w:rPr>
              <w:t>Definite-lived: Favorable leasehold rights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0" w:type="dxa"/>
            <w:vAlign w:val="bottom"/>
          </w:tcPr>
          <w:p>
            <w:pPr>
              <w:spacing w:after="0"/>
              <w:rPr>
                <w:sz w:val="1"/>
                <w:szCs w:val="1"/>
                <w:color w:val="auto"/>
              </w:rPr>
            </w:pPr>
          </w:p>
        </w:tc>
      </w:tr>
      <w:tr>
        <w:trPr>
          <w:trHeight w:val="257"/>
        </w:trPr>
        <w:tc>
          <w:tcPr>
            <w:tcW w:w="38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w w:val="99"/>
              </w:rPr>
              <w:t>Indefinite-lived: IPR&amp;D</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68"/>
        </w:trPr>
        <w:tc>
          <w:tcPr>
            <w:tcW w:w="3880" w:type="dxa"/>
            <w:vAlign w:val="bottom"/>
            <w:tcBorders>
              <w:top w:val="single" w:sz="8" w:color="CCEEFF"/>
              <w:bottom w:val="single" w:sz="8" w:color="CCEEFF"/>
            </w:tcBorders>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recorded amortization expense of our definite-lived intangible assets totaling $0.5 million during the three months ended June 30, 2024 and 2023 and $1.0 million during the six months ended June 30, 2024 and 2023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associated with our definite-lived intangible assets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Definite-lived</w:t>
            </w:r>
          </w:p>
        </w:tc>
      </w:tr>
      <w:tr>
        <w:trPr>
          <w:trHeight w:val="176"/>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w:t>
            </w:r>
          </w:p>
        </w:tc>
      </w:tr>
      <w:tr>
        <w:trPr>
          <w:trHeight w:val="176"/>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04"/>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9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620" w:hanging="1008"/>
        <w:spacing w:after="0"/>
        <w:tabs>
          <w:tab w:leader="none" w:pos="2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w:t>
      </w:r>
    </w:p>
    <w:p>
      <w:pPr>
        <w:spacing w:after="0" w:line="27" w:lineRule="exact"/>
        <w:rPr>
          <w:rFonts w:ascii="Times New Roman" w:cs="Times New Roman" w:eastAsia="Times New Roman" w:hAnsi="Times New Roman"/>
          <w:sz w:val="18"/>
          <w:szCs w:val="18"/>
          <w:color w:val="auto"/>
        </w:rPr>
      </w:pPr>
    </w:p>
    <w:p>
      <w:pPr>
        <w:ind w:left="2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w:t>
      </w:r>
    </w:p>
    <w:p>
      <w:pPr>
        <w:spacing w:after="0" w:line="22" w:lineRule="exact"/>
        <w:rPr>
          <w:rFonts w:ascii="Times New Roman" w:cs="Times New Roman" w:eastAsia="Times New Roman" w:hAnsi="Times New Roman"/>
          <w:sz w:val="18"/>
          <w:szCs w:val="18"/>
          <w:color w:val="auto"/>
        </w:rPr>
      </w:pPr>
    </w:p>
    <w:p>
      <w:pPr>
        <w:ind w:left="2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w:t>
      </w:r>
    </w:p>
    <w:p>
      <w:pPr>
        <w:spacing w:after="0" w:line="22" w:lineRule="exact"/>
        <w:rPr>
          <w:rFonts w:ascii="Times New Roman" w:cs="Times New Roman" w:eastAsia="Times New Roman" w:hAnsi="Times New Roman"/>
          <w:sz w:val="18"/>
          <w:szCs w:val="18"/>
          <w:color w:val="auto"/>
        </w:rPr>
      </w:pPr>
    </w:p>
    <w:p>
      <w:pPr>
        <w:ind w:left="2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w:t>
      </w:r>
    </w:p>
    <w:p>
      <w:pPr>
        <w:spacing w:after="0" w:line="22" w:lineRule="exact"/>
        <w:rPr>
          <w:rFonts w:ascii="Times New Roman" w:cs="Times New Roman" w:eastAsia="Times New Roman" w:hAnsi="Times New Roman"/>
          <w:sz w:val="18"/>
          <w:szCs w:val="18"/>
          <w:color w:val="auto"/>
        </w:rPr>
      </w:pPr>
    </w:p>
    <w:p>
      <w:pPr>
        <w:ind w:left="2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w:t>
      </w:r>
    </w:p>
    <w:p>
      <w:pPr>
        <w:spacing w:after="0" w:line="22" w:lineRule="exact"/>
        <w:rPr>
          <w:rFonts w:ascii="Times New Roman" w:cs="Times New Roman" w:eastAsia="Times New Roman" w:hAnsi="Times New Roman"/>
          <w:sz w:val="18"/>
          <w:szCs w:val="18"/>
          <w:color w:val="auto"/>
        </w:rPr>
      </w:pPr>
    </w:p>
    <w:p>
      <w:pPr>
        <w:ind w:left="2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w:t>
      </w:r>
    </w:p>
    <w:p>
      <w:pPr>
        <w:spacing w:after="0" w:line="4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17145</wp:posOffset>
            </wp:positionV>
            <wp:extent cx="9518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6" w:lineRule="exact"/>
        <w:rPr>
          <w:sz w:val="20"/>
          <w:szCs w:val="20"/>
          <w:color w:val="auto"/>
        </w:rPr>
      </w:pPr>
    </w:p>
    <w:p>
      <w:pPr>
        <w:ind w:left="2520" w:hanging="908"/>
        <w:spacing w:after="0"/>
        <w:tabs>
          <w:tab w:leader="none" w:pos="2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17145</wp:posOffset>
            </wp:positionV>
            <wp:extent cx="951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43180</wp:posOffset>
            </wp:positionV>
            <wp:extent cx="951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500" w:type="dxa"/>
            <w:vAlign w:val="bottom"/>
          </w:tcPr>
          <w:p>
            <w:pPr>
              <w:spacing w:after="0"/>
              <w:rPr>
                <w:sz w:val="17"/>
                <w:szCs w:val="17"/>
                <w:color w:val="auto"/>
              </w:rPr>
            </w:pPr>
          </w:p>
        </w:tc>
      </w:tr>
      <w:tr>
        <w:trPr>
          <w:trHeight w:val="2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41" w:lineRule="exact"/>
        <w:rPr>
          <w:sz w:val="20"/>
          <w:szCs w:val="20"/>
          <w:color w:val="auto"/>
        </w:rPr>
      </w:pPr>
    </w:p>
    <w:p>
      <w:pPr>
        <w:sectPr>
          <w:pgSz w:w="11900" w:h="16838" w:orient="portrait"/>
          <w:cols w:equalWidth="0" w:num="2">
            <w:col w:w="7400" w:space="720"/>
            <w:col w:w="31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43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preclinical and clinical trial costs</w:t>
            </w:r>
          </w:p>
        </w:tc>
        <w:tc>
          <w:tcPr>
            <w:tcW w:w="3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 – current portion</w:t>
            </w:r>
          </w:p>
        </w:tc>
        <w:tc>
          <w:tcPr>
            <w:tcW w:w="3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 (Loss),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Interest and investment income (loss), net consists of the following (in thousands):</w:t>
      </w:r>
    </w:p>
    <w:p>
      <w:pPr>
        <w:sectPr>
          <w:pgSz w:w="11900" w:h="16838" w:orient="portrait"/>
          <w:cols w:equalWidth="0" w:num="1">
            <w:col w:w="11240"/>
          </w:cols>
          <w:pgMar w:left="320" w:top="121" w:right="339" w:bottom="1440" w:gutter="0" w:footer="0" w:header="0"/>
        </w:sectPr>
      </w:pPr>
    </w:p>
    <w:p>
      <w:pPr>
        <w:spacing w:after="0" w:line="28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30480</wp:posOffset>
            </wp:positionV>
            <wp:extent cx="17056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1" w:lineRule="exact"/>
        <w:rPr>
          <w:sz w:val="20"/>
          <w:szCs w:val="20"/>
          <w:color w:val="auto"/>
        </w:rPr>
      </w:pPr>
    </w:p>
    <w:p>
      <w:pPr>
        <w:ind w:left="6220"/>
        <w:spacing w:after="0"/>
        <w:tabs>
          <w:tab w:leader="none" w:pos="7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33655</wp:posOffset>
            </wp:positionV>
            <wp:extent cx="1705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33655</wp:posOffset>
            </wp:positionV>
            <wp:extent cx="1705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30480</wp:posOffset>
            </wp:positionV>
            <wp:extent cx="1714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5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accretion income (amortization expense), net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from equity securities</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5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82"/>
        </w:trPr>
        <w:tc>
          <w:tcPr>
            <w:tcW w:w="5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(loss), net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includes interest from marketable securities, convertible notes receivable, other assets, and on bank deposits.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the following (in thousands):</w:t>
      </w:r>
    </w:p>
    <w:p>
      <w:pPr>
        <w:sectPr>
          <w:pgSz w:w="11900" w:h="16838" w:orient="portrait"/>
          <w:cols w:equalWidth="0" w:num="1">
            <w:col w:w="11240"/>
          </w:cols>
          <w:pgMar w:left="320" w:top="121" w:right="339" w:bottom="1440" w:gutter="0" w:footer="0" w:header="0"/>
          <w:type w:val="continuous"/>
        </w:sectPr>
      </w:pPr>
    </w:p>
    <w:p>
      <w:pPr>
        <w:spacing w:after="0" w:line="27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30480</wp:posOffset>
            </wp:positionV>
            <wp:extent cx="1714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 w:lineRule="exact"/>
        <w:rPr>
          <w:sz w:val="20"/>
          <w:szCs w:val="20"/>
          <w:color w:val="auto"/>
        </w:rPr>
      </w:pPr>
    </w:p>
    <w:p>
      <w:pPr>
        <w:ind w:left="6220"/>
        <w:spacing w:after="0"/>
        <w:tabs>
          <w:tab w:leader="none" w:pos="7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33655</wp:posOffset>
            </wp:positionV>
            <wp:extent cx="1714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33655</wp:posOffset>
            </wp:positionV>
            <wp:extent cx="1714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30480</wp:posOffset>
            </wp:positionV>
            <wp:extent cx="1714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related-party notes payable</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related-party notes discounts</w:t>
            </w: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8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Debt Securities</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weighted-average remaining contractual life, amortized cost, gross unrealized gains, gross unrealized losses and fair value of marketable debt securities, which were considered as available-for-sale, by type of security were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0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9"/>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86,991</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86,975</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weighted-average remaining contractual life, amortized cost, gross unrealized gains, gross unrealized losses and fair value of marketable debt securities, which were considered as available-for-sale, by type of security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50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bonds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4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bonds</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63"/>
        </w:trPr>
        <w:tc>
          <w:tcPr>
            <w:tcW w:w="3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four of the securities were in an unrealized loss position. Accumulated unrealized losses on marketable debt securities that have been in a continuous loss position for less than 12 months and more than 12 months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2"/>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80" w:type="dxa"/>
            <w:vAlign w:val="bottom"/>
          </w:tcPr>
          <w:p>
            <w:pPr>
              <w:spacing w:after="0"/>
              <w:rPr>
                <w:sz w:val="16"/>
                <w:szCs w:val="16"/>
                <w:color w:val="auto"/>
              </w:rPr>
            </w:pPr>
          </w:p>
        </w:tc>
        <w:tc>
          <w:tcPr>
            <w:tcW w:w="25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More than 12 months</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4"/>
                <w:szCs w:val="14"/>
                <w:color w:val="auto"/>
              </w:rPr>
            </w:pPr>
          </w:p>
        </w:tc>
        <w:tc>
          <w:tcPr>
            <w:tcW w:w="13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62"/>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4"/>
                <w:szCs w:val="14"/>
                <w:color w:val="auto"/>
              </w:rPr>
            </w:pPr>
          </w:p>
        </w:tc>
        <w:tc>
          <w:tcPr>
            <w:tcW w:w="13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6"/>
                <w:szCs w:val="16"/>
                <w:color w:val="auto"/>
              </w:rPr>
            </w:pPr>
          </w:p>
        </w:tc>
        <w:tc>
          <w:tcPr>
            <w:tcW w:w="13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41,900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00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00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6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More than 12 months</w:t>
            </w:r>
          </w:p>
        </w:tc>
      </w:tr>
      <w:tr>
        <w:trPr>
          <w:trHeight w:val="23"/>
        </w:trPr>
        <w:tc>
          <w:tcPr>
            <w:tcW w:w="5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5340" w:type="dxa"/>
            <w:vAlign w:val="bottom"/>
          </w:tcPr>
          <w:p>
            <w:pPr>
              <w:spacing w:after="0"/>
              <w:rPr>
                <w:sz w:val="13"/>
                <w:szCs w:val="13"/>
                <w:color w:val="auto"/>
              </w:rPr>
            </w:pPr>
          </w:p>
        </w:tc>
        <w:tc>
          <w:tcPr>
            <w:tcW w:w="1040" w:type="dxa"/>
            <w:vAlign w:val="bottom"/>
          </w:tcPr>
          <w:p>
            <w:pPr>
              <w:jc w:val="center"/>
              <w:ind w:left="302"/>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116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76"/>
        </w:trPr>
        <w:tc>
          <w:tcPr>
            <w:tcW w:w="5340" w:type="dxa"/>
            <w:vAlign w:val="bottom"/>
          </w:tcPr>
          <w:p>
            <w:pPr>
              <w:spacing w:after="0"/>
              <w:rPr>
                <w:sz w:val="15"/>
                <w:szCs w:val="15"/>
                <w:color w:val="auto"/>
              </w:rPr>
            </w:pPr>
          </w:p>
        </w:tc>
        <w:tc>
          <w:tcPr>
            <w:tcW w:w="104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5"/>
                <w:szCs w:val="15"/>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5340" w:type="dxa"/>
            <w:vAlign w:val="bottom"/>
          </w:tcPr>
          <w:p>
            <w:pPr>
              <w:spacing w:after="0"/>
              <w:rPr>
                <w:sz w:val="16"/>
                <w:szCs w:val="16"/>
                <w:color w:val="auto"/>
              </w:rPr>
            </w:pPr>
          </w:p>
        </w:tc>
        <w:tc>
          <w:tcPr>
            <w:tcW w:w="104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5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5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bonds</w:t>
            </w: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Equity Securities</w:t>
      </w:r>
    </w:p>
    <w:p>
      <w:pPr>
        <w:spacing w:after="0" w:line="121" w:lineRule="exact"/>
        <w:rPr>
          <w:sz w:val="20"/>
          <w:szCs w:val="20"/>
          <w:color w:val="auto"/>
        </w:rPr>
      </w:pPr>
    </w:p>
    <w:p>
      <w:pPr>
        <w:ind w:right="64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we held investments in marketable equity securities with readily determinable fair values of $0.9 million. Unrealized gains and losses recorded on these securities totaled losses of $0.7 million and $0.4 million during the three months ended</w:t>
      </w: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June 30, 2024 and 2023, and losses of an immaterial amount and $0.3 million during the six months ended June 30, 2024 and 2023, respectively, in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investment income, net</w:t>
      </w:r>
      <w:r>
        <w:rPr>
          <w:rFonts w:ascii="Times New Roman" w:cs="Times New Roman" w:eastAsia="Times New Roman" w:hAnsi="Times New Roman"/>
          <w:sz w:val="18"/>
          <w:szCs w:val="18"/>
          <w:color w:val="auto"/>
        </w:rPr>
        <w:t>, on the condensed consolidated statements of operations.</w:t>
      </w: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We use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tiers are defined as follows:</w:t>
      </w:r>
    </w:p>
    <w:p>
      <w:pPr>
        <w:spacing w:after="0" w:line="117" w:lineRule="exact"/>
        <w:rPr>
          <w:sz w:val="20"/>
          <w:szCs w:val="20"/>
          <w:color w:val="auto"/>
        </w:rPr>
      </w:pPr>
    </w:p>
    <w:p>
      <w:pPr>
        <w:ind w:left="1300" w:right="120" w:hanging="644"/>
        <w:spacing w:after="0" w:line="261" w:lineRule="auto"/>
        <w:tabs>
          <w:tab w:leader="none" w:pos="12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 at the measurement date. Since valuations are based on quoted prices that are readily and regularly available in an active market, the valuation of these products does not entail a significant degree of judgment. Our Level 1 assets consist of bank deposits, money market funds, and marketable equity securities.</w:t>
      </w:r>
    </w:p>
    <w:p>
      <w:pPr>
        <w:spacing w:after="0" w:line="71" w:lineRule="exact"/>
        <w:rPr>
          <w:rFonts w:ascii="Times New Roman" w:cs="Times New Roman" w:eastAsia="Times New Roman" w:hAnsi="Times New Roman"/>
          <w:sz w:val="18"/>
          <w:szCs w:val="18"/>
          <w:b w:val="1"/>
          <w:bCs w:val="1"/>
          <w:color w:val="auto"/>
        </w:rPr>
      </w:pPr>
    </w:p>
    <w:p>
      <w:pPr>
        <w:ind w:left="1300" w:right="100" w:hanging="644"/>
        <w:spacing w:after="0" w:line="266" w:lineRule="auto"/>
        <w:tabs>
          <w:tab w:leader="none" w:pos="12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Our Level 2 assets consist of corporate debt securities including commercial paper, government-sponsored securities and corporate bonds, as well as foreign municipal securities.</w:t>
      </w:r>
    </w:p>
    <w:p>
      <w:pPr>
        <w:spacing w:after="0" w:line="6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utilize a third-party pricing service to assist in obtaining fair value pricing for our investments in marketable debt securities. Inputs are documented in accordance with the fair value disclosure hierarchy. The fair values of financial instruments other than marketable securities and cash and cash equivalents are determined through a combination of management estimates and third-party valuations.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Valuations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2024</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130,104</w:t>
            </w:r>
          </w:p>
        </w:tc>
        <w:tc>
          <w:tcPr>
            <w:tcW w:w="2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1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6"/>
        </w:trPr>
        <w:tc>
          <w:tcPr>
            <w:tcW w:w="4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2"/>
                <w:szCs w:val="22"/>
                <w:color w:val="auto"/>
              </w:rPr>
            </w:pP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4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 option purchase liability</w:t>
            </w:r>
          </w:p>
        </w:tc>
        <w:tc>
          <w:tcPr>
            <w:tcW w:w="30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6"/>
                <w:szCs w:val="16"/>
                <w:color w:val="auto"/>
              </w:rPr>
              <w:t>(1)</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57"/>
        </w:trPr>
        <w:tc>
          <w:tcPr>
            <w:tcW w:w="4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(20,807) </w:t>
            </w:r>
            <w:r>
              <w:rPr>
                <w:rFonts w:ascii="Times New Roman" w:cs="Times New Roman" w:eastAsia="Times New Roman" w:hAnsi="Times New Roman"/>
                <w:sz w:val="16"/>
                <w:szCs w:val="16"/>
                <w:color w:val="auto"/>
              </w:rPr>
              <w:t>(2)</w:t>
            </w: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w:t>
            </w:r>
          </w:p>
        </w:tc>
      </w:tr>
      <w:tr>
        <w:trPr>
          <w:trHeight w:val="189"/>
        </w:trPr>
        <w:tc>
          <w:tcPr>
            <w:tcW w:w="4840" w:type="dxa"/>
            <w:vAlign w:val="bottom"/>
            <w:gridSpan w:val="4"/>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(65,395)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(65,395)</w:t>
            </w:r>
          </w:p>
        </w:tc>
      </w:tr>
      <w:tr>
        <w:trPr>
          <w:trHeight w:val="21"/>
        </w:trPr>
        <w:tc>
          <w:tcPr>
            <w:tcW w:w="15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0000FF"/>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484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(86,542)</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(86,542)</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820" w:type="dxa"/>
            <w:vAlign w:val="bottom"/>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265,453</w:t>
            </w:r>
          </w:p>
        </w:tc>
        <w:tc>
          <w:tcPr>
            <w:tcW w:w="2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bonds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6"/>
        </w:trPr>
        <w:tc>
          <w:tcPr>
            <w:tcW w:w="4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Foreign bonds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2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267,353</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7"/>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purchase liability</w:t>
            </w:r>
          </w:p>
        </w:tc>
        <w:tc>
          <w:tcPr>
            <w:tcW w:w="3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80"/>
              <w:spacing w:after="0" w:line="264" w:lineRule="exact"/>
              <w:rPr>
                <w:sz w:val="20"/>
                <w:szCs w:val="20"/>
                <w:color w:val="auto"/>
              </w:rPr>
            </w:pPr>
            <w:r>
              <w:rPr>
                <w:rFonts w:ascii="Times New Roman" w:cs="Times New Roman" w:eastAsia="Times New Roman" w:hAnsi="Times New Roman"/>
                <w:sz w:val="17"/>
                <w:szCs w:val="17"/>
                <w:color w:val="auto"/>
              </w:rPr>
              <w:t xml:space="preserve">(819) </w:t>
            </w:r>
            <w:r>
              <w:rPr>
                <w:rFonts w:ascii="Times New Roman" w:cs="Times New Roman" w:eastAsia="Times New Roman" w:hAnsi="Times New Roman"/>
                <w:sz w:val="30"/>
                <w:szCs w:val="30"/>
                <w:color w:val="auto"/>
                <w:vertAlign w:val="superscript"/>
              </w:rPr>
              <w:t>(1)</w:t>
            </w: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56"/>
        </w:trPr>
        <w:tc>
          <w:tcPr>
            <w:tcW w:w="4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spacing w:after="0"/>
              <w:rPr>
                <w:sz w:val="22"/>
                <w:szCs w:val="22"/>
                <w:color w:val="auto"/>
              </w:rPr>
            </w:pPr>
          </w:p>
        </w:tc>
        <w:tc>
          <w:tcPr>
            <w:tcW w:w="136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7"/>
                <w:szCs w:val="17"/>
                <w:color w:val="auto"/>
              </w:rPr>
              <w:t xml:space="preserve">(35,333) </w:t>
            </w:r>
            <w:r>
              <w:rPr>
                <w:rFonts w:ascii="Times New Roman" w:cs="Times New Roman" w:eastAsia="Times New Roman" w:hAnsi="Times New Roman"/>
                <w:sz w:val="29"/>
                <w:szCs w:val="29"/>
                <w:color w:val="auto"/>
                <w:vertAlign w:val="superscript"/>
              </w:rPr>
              <w:t>(2)</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(35,333)</w:t>
            </w:r>
          </w:p>
        </w:tc>
      </w:tr>
      <w:tr>
        <w:trPr>
          <w:trHeight w:val="189"/>
        </w:trPr>
        <w:tc>
          <w:tcPr>
            <w:tcW w:w="4840" w:type="dxa"/>
            <w:vAlign w:val="bottom"/>
            <w:gridSpan w:val="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(118,770)</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(118,770)</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(154,942)</w:t>
            </w:r>
          </w:p>
        </w:tc>
      </w:tr>
      <w:tr>
        <w:trPr>
          <w:trHeight w:val="21"/>
        </w:trPr>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4"/>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13" w:lineRule="exact"/>
        <w:rPr>
          <w:sz w:val="20"/>
          <w:szCs w:val="20"/>
          <w:color w:val="auto"/>
        </w:rPr>
      </w:pPr>
    </w:p>
    <w:p>
      <w:pPr>
        <w:ind w:left="560" w:hanging="534"/>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 Purchase Liability</w:t>
      </w:r>
    </w:p>
    <w:p>
      <w:pPr>
        <w:spacing w:after="0" w:line="181" w:lineRule="exact"/>
        <w:rPr>
          <w:sz w:val="20"/>
          <w:szCs w:val="20"/>
          <w:color w:val="auto"/>
        </w:rPr>
      </w:pPr>
    </w:p>
    <w:p>
      <w:pPr>
        <w:ind w:left="500" w:right="80"/>
        <w:spacing w:after="0" w:line="263" w:lineRule="auto"/>
        <w:rPr>
          <w:sz w:val="20"/>
          <w:szCs w:val="20"/>
          <w:color w:val="auto"/>
        </w:rPr>
      </w:pPr>
      <w:r>
        <w:rPr>
          <w:rFonts w:ascii="Times New Roman" w:cs="Times New Roman" w:eastAsia="Times New Roman" w:hAnsi="Times New Roman"/>
          <w:sz w:val="16"/>
          <w:szCs w:val="16"/>
          <w:color w:val="auto"/>
        </w:rPr>
        <w:t xml:space="preserve">In connection with the RIPA, we entered into an SPOA pursuant to which Oberland had an option to purchase up to $10.0 million of our common stock, at a price to be determined by reference to the 30-day trailing volume weighted-average price of our common stock calculated from the date of exercise. This stock purchase option is classified in </w:t>
      </w:r>
      <w:r>
        <w:rPr>
          <w:rFonts w:ascii="Times New Roman" w:cs="Times New Roman" w:eastAsia="Times New Roman" w:hAnsi="Times New Roman"/>
          <w:sz w:val="16"/>
          <w:szCs w:val="16"/>
          <w:i w:val="1"/>
          <w:iCs w:val="1"/>
          <w:color w:val="auto"/>
        </w:rPr>
        <w:t>accrued expenses and other liabilities,</w:t>
      </w:r>
      <w:r>
        <w:rPr>
          <w:rFonts w:ascii="Times New Roman" w:cs="Times New Roman" w:eastAsia="Times New Roman" w:hAnsi="Times New Roman"/>
          <w:sz w:val="16"/>
          <w:szCs w:val="16"/>
          <w:color w:val="auto"/>
        </w:rPr>
        <w:t xml:space="preserve"> on the condensed consolidated balance sheet at its fair value. The fair value is estimated using probability-weighted scenarios over the likelihood of this option being exercised.</w:t>
      </w:r>
    </w:p>
    <w:p>
      <w:pPr>
        <w:spacing w:after="0" w:line="193" w:lineRule="exact"/>
        <w:rPr>
          <w:sz w:val="20"/>
          <w:szCs w:val="20"/>
          <w:color w:val="auto"/>
        </w:rPr>
      </w:pPr>
    </w:p>
    <w:p>
      <w:pPr>
        <w:ind w:left="500" w:right="120"/>
        <w:spacing w:after="0" w:line="263" w:lineRule="auto"/>
        <w:rPr>
          <w:sz w:val="20"/>
          <w:szCs w:val="20"/>
          <w:color w:val="auto"/>
        </w:rPr>
      </w:pPr>
      <w:r>
        <w:rPr>
          <w:rFonts w:ascii="Times New Roman" w:cs="Times New Roman" w:eastAsia="Times New Roman" w:hAnsi="Times New Roman"/>
          <w:sz w:val="16"/>
          <w:szCs w:val="16"/>
          <w:color w:val="auto"/>
        </w:rPr>
        <w:t xml:space="preserve">Pursuant to the SPOA, in April 2024 Oberland exercised part of their option and purchased 858,990 shares of our common stock at an exercise price of $5.8208 per share generating net proceeds of approximately $4.9 million. Following such exercise, approximately $5.0 million remains available for future exercise under the SPOA as of June 30, 2024. See </w:t>
      </w:r>
      <w:r>
        <w:rPr>
          <w:rFonts w:ascii="Times New Roman" w:cs="Times New Roman" w:eastAsia="Times New Roman" w:hAnsi="Times New Roman"/>
          <w:sz w:val="16"/>
          <w:szCs w:val="16"/>
          <w:u w:val="single" w:color="auto"/>
          <w:color w:val="0000FF"/>
        </w:rPr>
        <w:t>Note 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Stockholders’ Deficit</w:t>
      </w:r>
      <w:r>
        <w:rPr>
          <w:rFonts w:ascii="Times New Roman" w:cs="Times New Roman" w:eastAsia="Times New Roman" w:hAnsi="Times New Roman"/>
          <w:sz w:val="16"/>
          <w:szCs w:val="16"/>
          <w:color w:val="auto"/>
        </w:rPr>
        <w:t>, for more information.</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change in the carrying amount of the stock option purchase liability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9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December 31, 2023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3"/>
        </w:trPr>
        <w:tc>
          <w:tcPr>
            <w:tcW w:w="9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March 31, 2024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r>
      <w:tr>
        <w:trPr>
          <w:trHeight w:val="216"/>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12"/>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at June 30, 2024</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560" w:hanging="534"/>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Liabilities</w:t>
      </w:r>
    </w:p>
    <w:p>
      <w:pPr>
        <w:spacing w:after="0" w:line="113" w:lineRule="exact"/>
        <w:rPr>
          <w:sz w:val="20"/>
          <w:szCs w:val="20"/>
          <w:color w:val="auto"/>
        </w:rPr>
      </w:pPr>
    </w:p>
    <w:p>
      <w:pPr>
        <w:ind w:left="500" w:right="40"/>
        <w:spacing w:after="0" w:line="259" w:lineRule="auto"/>
        <w:rPr>
          <w:sz w:val="20"/>
          <w:szCs w:val="20"/>
          <w:color w:val="auto"/>
        </w:rPr>
      </w:pPr>
      <w:r>
        <w:rPr>
          <w:rFonts w:ascii="Times New Roman" w:cs="Times New Roman" w:eastAsia="Times New Roman" w:hAnsi="Times New Roman"/>
          <w:sz w:val="16"/>
          <w:szCs w:val="16"/>
          <w:color w:val="auto"/>
        </w:rPr>
        <w:t xml:space="preserve">The debt incurred pursuant to the RIPA entered on December 29, 2023 contains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In May 2024 Oberland acquired additional Revenue Interests for a gross purchase price of $100.0 million and the company recorded an incremental portion of the fair value of the derivative liability as of the funding date of $6.2 million. The difference between the entire instrument with the embedded derivative compared to the instrument without the embedded derivative is the fair value of the derivative liability. The estimated probability and timing of underlying events triggering the exercisability of the Put Option contained in the RIPA, forecasted cash flows and the discount rate are significant unobservable inputs used to determine the estimated fair value of the entire instrument with the embedded derivative. As of June 30, 2024 and December 31, 2023, the discount rate used for valuation of the derivative liability was 15.4% and 12.1%, respectively. See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Revenue Interest Purchase Agreement</w:t>
      </w:r>
      <w:r>
        <w:rPr>
          <w:rFonts w:ascii="Times New Roman" w:cs="Times New Roman" w:eastAsia="Times New Roman" w:hAnsi="Times New Roman"/>
          <w:sz w:val="16"/>
          <w:szCs w:val="16"/>
          <w:color w:val="auto"/>
        </w:rPr>
        <w:t>, for more information.</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change in the carrying amount of the derivative liabilities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9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December 31, 2023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r>
      <w:tr>
        <w:trPr>
          <w:trHeight w:val="213"/>
        </w:trPr>
        <w:tc>
          <w:tcPr>
            <w:tcW w:w="9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March 31, 2024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80"/>
        <w:spacing w:after="0"/>
        <w:rPr>
          <w:sz w:val="20"/>
          <w:szCs w:val="20"/>
          <w:color w:val="auto"/>
        </w:rPr>
      </w:pPr>
      <w:r>
        <w:rPr>
          <w:rFonts w:ascii="Times New Roman" w:cs="Times New Roman" w:eastAsia="Times New Roman" w:hAnsi="Times New Roman"/>
          <w:sz w:val="16"/>
          <w:szCs w:val="16"/>
          <w:color w:val="auto"/>
        </w:rPr>
        <w:t>Embedded contingent derivative liability related to Second Payment</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Fair value, at June 30, 2024</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Times New Roman" w:cs="Times New Roman" w:eastAsia="Times New Roman" w:hAnsi="Times New Roman"/>
          <w:sz w:val="16"/>
          <w:szCs w:val="16"/>
          <w:color w:val="auto"/>
        </w:rPr>
        <w:t>6,150</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(23,440)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9601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6" w:lineRule="exact"/>
        <w:rPr>
          <w:sz w:val="20"/>
          <w:szCs w:val="20"/>
          <w:color w:val="auto"/>
        </w:rPr>
      </w:pPr>
    </w:p>
    <w:p>
      <w:pPr>
        <w:ind w:left="980" w:hanging="974"/>
        <w:spacing w:after="0"/>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9601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9601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20" w:space="720"/>
            <w:col w:w="1500"/>
          </w:cols>
          <w:pgMar w:left="320" w:top="121" w:right="33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right="20"/>
        <w:spacing w:after="0" w:line="258" w:lineRule="auto"/>
        <w:rPr>
          <w:sz w:val="20"/>
          <w:szCs w:val="20"/>
          <w:color w:val="auto"/>
        </w:rPr>
      </w:pPr>
      <w:r>
        <w:rPr>
          <w:rFonts w:ascii="Times New Roman" w:cs="Times New Roman" w:eastAsia="Times New Roman" w:hAnsi="Times New Roman"/>
          <w:sz w:val="16"/>
          <w:szCs w:val="16"/>
          <w:color w:val="auto"/>
        </w:rPr>
        <w:t xml:space="preserve">In connection with the December 2023 debt extinguishment, the company identified an embedded derivative related to a contingently exercisable prepayment feature of the amended $505.0 million December 2023 promissory note, which allows the noteholder to request up to a $50.0 million prepayment and accrued interest upon occurrence of a specified transaction (defined in the promissory note). This embedded derivative is recorded as a derivative liability on the condensed consolidated balance sheet and is measured at fair value. Changes in the fair value of the derivative liability are reported as </w:t>
      </w:r>
      <w:r>
        <w:rPr>
          <w:rFonts w:ascii="Times New Roman" w:cs="Times New Roman" w:eastAsia="Times New Roman" w:hAnsi="Times New Roman"/>
          <w:sz w:val="16"/>
          <w:szCs w:val="16"/>
          <w:i w:val="1"/>
          <w:iCs w:val="1"/>
          <w:color w:val="auto"/>
        </w:rPr>
        <w:t>change in fair value of derivative liabilities,</w:t>
      </w:r>
      <w:r>
        <w:rPr>
          <w:rFonts w:ascii="Times New Roman" w:cs="Times New Roman" w:eastAsia="Times New Roman" w:hAnsi="Times New Roman"/>
          <w:sz w:val="16"/>
          <w:szCs w:val="16"/>
          <w:color w:val="auto"/>
        </w:rPr>
        <w:t xml:space="preserve"> on the condensed consolidated statement of operations. The fair value of the derivative liability is determined at each period end using a with-and-without method, which assesses the likelihood and timing of a specified transaction that if triggered could result in a repayment. The fair value of the embedded derivative is remeasured to fair value at each reporting date until the derivative is settled.</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change in the carrying amount of the contingently exercisable prepayment feature embedded derivative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9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December 31, 2023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833</w:t>
            </w:r>
          </w:p>
        </w:tc>
      </w:tr>
      <w:tr>
        <w:trPr>
          <w:trHeight w:val="213"/>
        </w:trPr>
        <w:tc>
          <w:tcPr>
            <w:tcW w:w="9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(33)</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March 31, 2024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800</w:t>
            </w:r>
          </w:p>
        </w:tc>
      </w:tr>
      <w:tr>
        <w:trPr>
          <w:trHeight w:val="213"/>
        </w:trPr>
        <w:tc>
          <w:tcPr>
            <w:tcW w:w="9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167</w:t>
            </w:r>
          </w:p>
        </w:tc>
      </w:tr>
      <w:tr>
        <w:trPr>
          <w:trHeight w:val="237"/>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June 30, 2024</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967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Collaboration and License Agreements and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Amyris Joint Venture</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2021, ImmunityBio and Amyris entered into a 50:50 joint venture arrangement and formed a new limited liability company to conduct the business of the joint venture. The purpose of the joint venture is to accelerate commercialization of a next-generation COVID-19 vaccine utilizing an RNA vaccine-platform. As part of the limited liability agreement, Amyris contributed $1.0 million in cash and rights to its license agreement with AAHI for an RNA platform for the field of COVID-19. ImmunityBio contributed $1.0 million in cash and priority access to its manufacturing capacity for the joint venture product. Both parties agreed to enter into a separate manufacturing and supply agreement and a sublicense agreement following the execution of the joint venture agreement.</w:t>
      </w:r>
    </w:p>
    <w:p>
      <w:pPr>
        <w:spacing w:after="0" w:line="18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joint venture agreement stipulates the initial terms for equal representation in the management of the newly-formed joint venture. The joint venture is managed by a board of directors consisting of four directors: two appointed by the company and two appointed by Amyris. Both parties agreed to make additional capital contributions in cash, in proportion to their respective interests, as determined by the board of directors of the joint venture.</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considered the joint venture entity as a VIE and determined that we are not the primary beneficiary of the VIE. We account for our investment in the joint venture using the equity method of accounting. During the three and six months ended June 30, 2023, we recorded our 50% share of the net loss from the joint venture totaling $4.0 million and $6.3 million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on the condensed consolidated statement of operations. Such losses incurred were attributable to expenses incurred by us on behalf of the joint venture. We are not obligated to fund the joint venture’s potential future losses. In August 2023, Amyris announced that it filed for Chapter 11 bankruptcy protection. The Amyris bankruptcy case remains ongoing, and there can be no assurance that we will receive any recovery on account of our claims against Amyris, including for Amyris’ portion of expenses incurred by the joint venture. As of June 30, 2024, the carrying amount of our equity investment in the joint venture was zero.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3M IPC and AAHI License Agreement</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licensed rights to 3M-052, a synthetic TLR7/8 agonist, 3M-052 formulations and related technology from 3M IPC and its affiliates and AAHI. In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LMIC, and (2) oncology applications, when used in combination with our proprietary technology and/or IL-15 agonists. In consideration for the license, we agreed to make certain periodic license payments, including $2.25 million each year through June 2025. We have also agreed to make payments upon the achievement of certain regulatory milestone events and tiered royalties ranging from the low to high single-digits as a percentage of net sales. Beginning in April 2026, the annual minimum licensing payment is $1.0 million, which can be credited against any royalty payments due under this agreement.</w:t>
      </w:r>
    </w:p>
    <w:p>
      <w:pPr>
        <w:spacing w:after="0" w:line="190" w:lineRule="exact"/>
        <w:rPr>
          <w:sz w:val="20"/>
          <w:szCs w:val="20"/>
          <w:color w:val="auto"/>
        </w:rPr>
      </w:pPr>
    </w:p>
    <w:p>
      <w:pPr>
        <w:jc w:val="both"/>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months ended June 30, 2024 and 2023, we expensed $0.6 million and $0.5 million, respectively, in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on the condensed consolidated statements of operations. During the six months ended June 30, 2024 and 2023, we expensed $1.1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$0.9 million,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AAHI License Agreements</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May 2021, we entered into two license agreements with AAHI pursuant to which we received a license to certain patents and know-how relating to AAHI’s (i) adjuvant formulations for the treatment, prevention and/or diagnosis of SARS-CoV-2 (the AAHI Adjuvant Formulation License Agreement) and (ii) RNA vaccine platform as further described below (the AAHI RNA License Agreement). Under both agreements, we were obligated to pay one-time, non-creditable, non-refundable upfront cash payments totaling $2.0 million. In addition, under the AAHI Adjuvant Formulation License Agreement we owe milestone payments to a total of up to $2.5 million based on the achievement of certain development and regulatory milestones for the first licensed product and royalties on annual net sales of licensed products on a country-by-country and product-by-product basis of a low-single digit percentage, subject to certain royalty-reduction provisions. During the six months ended June 30, 2024 and 2023, no milestone fees were incurred.</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2021, we amended and restated the AAHI RNA License Agreement, pursuant to which AAHI granted us an exclusive, worldwide, sublicensable license to AAHI’s rights to an RNA vaccine platform for the development and commercialization of certain therapeutic, diagnostic or prophylactic products for the prevention, treatment or diagnosis of any indication, other than those subject to pre-existing third-party license grants, including, without limitation, SARS-CoV-2. Pursuant to the terms of the amended and restated AAHI RNA License Agreement, we made a one-time, non-creditable, non-refundable, upfront payment to AAHI of $1.5 million and a license maintenance fee of $3.0 million in June 2022. The company is required to pay license maintenance fees to AAHI of $5.5 million annually from 2023 through 2030. The company may terminate the restated agreement without cause by paying AAHI a $10.0 million one-time early termination fee. In addition, the milestone payments to AAHI based on the achievement of certain development and regulatory milestones for the first licensed product were amended to a total of up to $4.0 million. We are required to pay royalties on annual net sales of licensed products on a country-by-country and product-by-product basis of a low- to mid-single digit percentage. As of June 30, 2024, a $0.5 million payable to AAHI in connection with the annual license maintenance fee was recorded in </w:t>
      </w:r>
      <w:r>
        <w:rPr>
          <w:rFonts w:ascii="Times New Roman" w:cs="Times New Roman" w:eastAsia="Times New Roman" w:hAnsi="Times New Roman"/>
          <w:sz w:val="18"/>
          <w:szCs w:val="18"/>
          <w:i w:val="1"/>
          <w:iCs w:val="1"/>
          <w:color w:val="auto"/>
        </w:rPr>
        <w:t>accrued expenses and other liabilities</w:t>
      </w:r>
      <w:r>
        <w:rPr>
          <w:rFonts w:ascii="Times New Roman" w:cs="Times New Roman" w:eastAsia="Times New Roman" w:hAnsi="Times New Roman"/>
          <w:sz w:val="18"/>
          <w:szCs w:val="18"/>
          <w:color w:val="auto"/>
        </w:rPr>
        <w:t xml:space="preserve">, on the condensed consolidated balance sheet. As of December 31, 2023, $2.3 million was recorded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the condensed consolidated balance sheet in connection with the AAHI annual license maintenance fee. During the three months ended June 30, 2024 and 2023, we recorded $1.4 million and $0.9 million,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statements of operations related to the license agreement. During the six months ended June 30, 2024 and 2023, we recorded $2.8 million and $1.7 million, respectively, in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 expense, </w:t>
      </w:r>
      <w:r>
        <w:rPr>
          <w:rFonts w:ascii="Times New Roman" w:cs="Times New Roman" w:eastAsia="Times New Roman" w:hAnsi="Times New Roman"/>
          <w:sz w:val="18"/>
          <w:szCs w:val="18"/>
          <w:color w:val="auto"/>
        </w:rPr>
        <w:t>on the condensed consolidated statements of operations related to the license agreement.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license agreements, in May 2021 we also entered into a sponsored research agreement with AAHI pursuant to which we will fund continued research of at least $2.0 million per year, payable in four equal quarterly installments each year until May 2024, or such year of earlier termination. As of June 30, 2024 and December 31, 2023, we recorded a $2.0 million and a $1.2 million payable to AAHI in connection with the sponsored research agreement, respectively, in </w:t>
      </w:r>
      <w:r>
        <w:rPr>
          <w:rFonts w:ascii="Times New Roman" w:cs="Times New Roman" w:eastAsia="Times New Roman" w:hAnsi="Times New Roman"/>
          <w:sz w:val="18"/>
          <w:szCs w:val="18"/>
          <w:i w:val="1"/>
          <w:iCs w:val="1"/>
          <w:color w:val="auto"/>
        </w:rPr>
        <w:t>accrued expenses and other liabilities</w:t>
      </w:r>
      <w:r>
        <w:rPr>
          <w:rFonts w:ascii="Times New Roman" w:cs="Times New Roman" w:eastAsia="Times New Roman" w:hAnsi="Times New Roman"/>
          <w:sz w:val="18"/>
          <w:szCs w:val="18"/>
          <w:color w:val="auto"/>
        </w:rPr>
        <w:t xml:space="preserve">, on the condensed consolidated balance sheets. During the three and six months ended June 30, 2024, we recorded $0.3 million and $0.8 million,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 of operations related to the sponsored research agreement. During the three and six months ended June 30, 2023, we recorded $0.2 million in </w:t>
      </w: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on the condensed consolidated statement of operations related to the sponsored research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LadRx Corporation</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2017, we entered into an agreement with LadRx pursuant to which we obtained a royalty-bearing, exclusive, worldwide license, with the right to sublicense, LadRx’s applicable intellectual property to research, develop and commercialize aldoxorubicin for all indications. On June 3, 2024, ImmunityBio, together with NantCell, entered into a mutual termination of the 2017 license agreement with LadRx that became effective immediately. As of the effective date, any licenses granted to us under the agreement were terminated, and we ceased the development, manufacture, and commercialization of aldoxorubicin.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Dunkirk Facility Leasehold Interest</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February 14, 2022, we completed the acquisition of the Dunkirk Facility (approximately 409,000 rentable square feet) from Athenex, which we believe will provide us with a state-of-the-art biotech production center that will substantially expand and diversify our existing manufacturing capacity in the U.S. and the ability to scale production associated with certain of our product candidates. The company accounted for the transaction as an asset acquisition because the Dunkirk Facility’s integrated set of assets and activities did not meet the definition of a business.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Upon the closing of the Dunkirk transaction, the company became the tenant of the Dunkirk Facility under the Fort Schuyler Management Corporation Lease, dated October 1, 2021 (the Commencement Date) and as amended as of the February 14, 2022 closing date (as amended, the Dunkirk Lease), with the FSMC as landlord. The Dunkirk Facility, as well as certain equipment, is owned by the FSMC and is leased to us under the Dunkirk Lease. Our annual lease payment will be $2.00 per year for an initial 10-year term, with one option to renew the lease under substantially the same terms and conditions for an additional 10-year term. As part of the transaction, we assumed certain of Athenex’s obligations under various third-party agreements (the Facility Agreements), subject to the terms and conditions of the purchase agreement by and between the company and Athenex dated as of January 7, 2022, and committed to spend an aggregate of $1.52 billion on operational expenses during the initial term, and an additional $1.50 billion on operational expenses if we elect to renew the lease for one additional 10-year term. We also committed to hiring 450 employees at the Dunkirk Facility within the first five years of operations, with 300 such employees to be hired within the first 2.5 years following the Commencement Date. We are eligible for certain sales-tax exemption savings during the development of the Dunkirk Facility, and certain property tax savings over the next 20 years, subject to certain terms and conditions, including performance of certain of the obligations described above. Failure to satisfy the obligations over the lease term may give rise to certain remedies of governmental authorities as we have not satisfied the initial employee count requirement described above. These rights and remedies include, for example, termination of the Dunkirk Lease and other Facility Agreements and potential recoupment of a percentage of the grant funding received by Athenex for construction of the facility and other benefits received, subject to the terms and conditions of the applicable agreements. To date, no such rights or remedies have been exercised by any third parties.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that governmental funding will assist in funding a portion of the further build-out of the Dunkirk Facility, which we estimate to be approximately $8.0 million to $10.0 million of governmental funding remaining available as of June 30, 2024, there can be no assurance as to the final acceptance and timing of the requests for governmental funding that we submit, and we will need to plan and fund most of the additional build-out of, and purchase additional equipment for, the Dunkirk Facility in connection with our planned full operations. In addition, any future governmental funding will be subject to the eligibility of submitted expenses, as well as our compliance with the obligations that we are subject to pursuant to the agreements with parties regarding the Dunkirk Facility as described above. Further, on May 14, 2023, Athenex, together with certain of its subsidiaries, filed voluntary petitions for relief under Chapter 11 of the United States Bankruptcy Court for the Southern District of Texas (the Athenex Proceedings). We do not know what, if any, impact the Athenex Proceedings will have on any portion of the potential governmental funding remaining for the Dunkirk Facility.</w:t>
      </w: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VivaBioCell, S.p.A.</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2015, NantWorks, a related party, acquired a 100% interest in VivaBioCell through its wholly-owned subsidiary, VBC Holdings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less working capital adjustments. In June 2015, NantWorks contributed its equity interest in VBC Holdings to the company,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 equal to its cost basis in the investment. VivaBioCell develops bioreactors and products based on cell culture and tissue engineering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0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VBC, we are obligated to pay the former owners contingent consideration upon the achievement of certain milestones related to the GMP-in-a-Box technology. If a government agency unconditionally approves the GMP-in-a-Box technology for commercial sale (the regulatory milestone) in the future, we will be obligated to pay an additional approximately $2.1 million to the former owners.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Altor BioScience Corporation</w:t>
      </w:r>
    </w:p>
    <w:p>
      <w:pPr>
        <w:spacing w:after="0" w:line="11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the transaction was recorded as an asset acquisition, future CVR payments will be recorded when the corresponding events are probable of achievement or the consideration becomes payable. As of June 30, 2024,</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 Soon-Shiong, our Executive Chairman and Global Chief Scientific and Medical Officer,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Sorrento Therapeutics, Inc. Litigation</w:t>
      </w:r>
    </w:p>
    <w:p>
      <w:pPr>
        <w:spacing w:after="0" w:line="11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Sorrento, derivatively on behalf of NANTibody filed an action in the Superior Court of California, Los Angeles County (the Superior Court) against the company’s subsidiary NantCell, Dr. Soon-Shiong, and Charles Kim. The action alleged that the defendants improperly caused NANTibody to acquire IgDraSol from NantPharma and sought to have the transaction undone and the purchase amount returned to NANTibody. In 2019, we filed a demurrer to several causes of action alleged in the Superior Court action, and Sorrento filed an amended complaint, eliminating Mr. Kim as a defendant and dropping the causes of action we had challenged in our demurrer. Trial had been set to commence in Sorrento’s Superior Court action on August 7, 2023, but on July 24, 2023 the Superior Court vacated the August 7, 2023 trial date at the parties’ request in light of the pending settlement discussed below.</w:t>
      </w:r>
    </w:p>
    <w:p>
      <w:pPr>
        <w:spacing w:after="0" w:line="17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Also in 2019, the company and Dr. Soon-Shiong filed cross-claims in the Superior Court action against Sorrento and its Chief Executive Officer Henry Ji, asserting claims for fraud, breach of contract, breach of the covenant of good faith and fair dealing, tortious interference with contract, unjust enrichment, and declaratory relief. Our claims alleged that Dr. Ji and Sorrento breached the terms of an exclusive license agreement between the company and Sorrento related to Sorrento’s antibody library and that Sorrento did not perform its obligations under the exclusive license agreement. The Superior Court ruled that the company’s claims should be pursued in arbitration and that Dr. Soon-Shiong’s claims could be pursued in Superior Court.</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2019, the company, along with NANTibody, filed an arbitration against Sorrento and Dr. Ji asserting our claims relating to the exclusive license agreement. Sorrento filed counterclaims against the company and NANTibody in the arbitration. The hearings in the NANTibody arbitration commenced in April 2021 and concluded in early August 2021. After post-hearing briefing was concluded, the parties were notified on November 30, 2021 that the arbitrator in the NANTibody arbitration had passed away. A substitute arbitrator was appointed on February 25, 2022, and the parties worked with the substitute arbitrator to conclude the proceedings. Additional hearing sessions were held in May and July 2022, and summations took place on August 2, 2022.</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December 2, 2022, the arbitrator issued a final award finding that Sorrento had breached the two exclusive license agreements with NantCell and NANTibody. The arbitrator awarded NantCell approximately $156.8 million and NANTibody approximately $16.7 million, plus post-award interest accruing at a daily rate. On December 21, 2022, NantCell and NANTibody filed petitions in the Superior Court to confirm the arbitration award; on January 16, 2023, Sorrento filed a response to the petitions and moved to vacate the award. On February 7, 2023, after a hearing, the Superior Court entered orders confirming the arbitration award and denying Sorrento’s motion to vacate. The Superior Court entered judgments against Sorrento in the aggregate amount of approximately $176.4 million plus 10% post-judgment interest, of which approximately $159.4 million was payable to NantCell, and the remainder of which was payable to NANTibody. On February 13, 2023, Sorrento informed counsel to the company that it had filed a Chapter 11 proceeding in the U.S. District Court for the Southern District of Texas, </w:t>
      </w:r>
      <w:r>
        <w:rPr>
          <w:rFonts w:ascii="Times New Roman" w:cs="Times New Roman" w:eastAsia="Times New Roman" w:hAnsi="Times New Roman"/>
          <w:sz w:val="18"/>
          <w:szCs w:val="18"/>
          <w:i w:val="1"/>
          <w:iCs w:val="1"/>
          <w:color w:val="auto"/>
        </w:rPr>
        <w:t>In re: Sorrento Therapeutics, Inc., et al.,</w:t>
      </w:r>
      <w:r>
        <w:rPr>
          <w:rFonts w:ascii="Times New Roman" w:cs="Times New Roman" w:eastAsia="Times New Roman" w:hAnsi="Times New Roman"/>
          <w:sz w:val="18"/>
          <w:szCs w:val="18"/>
          <w:color w:val="auto"/>
        </w:rPr>
        <w:t xml:space="preserve"> Case No. 23-90085 (DRJ), Docket Entry 810.</w:t>
      </w:r>
    </w:p>
    <w:p>
      <w:pPr>
        <w:spacing w:after="0" w:line="18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June 6, 2023, Sorrento filed a motion in its Chapter 11 proceeding for entry of an order approving and implementing a mediation settlement reached with the company and other entities. The settlement involved two possible scenarios: Either, if Sorrento were to raise an amount needed to pay its debtor in possession lender and its unsecured creditors by August 31, 2023, Sorrento would pay those obligations, including the judgments held by NantCell and NANTibody, by 2:00 p.m. ET on August 31, 2023 and be free to proceed with pending litigation; or, failing that, the judgments would be released, the litigation claims would be released, including, without limitation, the Superior Court action discussed above, Sorrento would relinquish its interests in NANTibody and certain other entities, Sorrento would forfeit its rights to any payments from NantCell arising out of its antibody exclusive license agreement with NantCell (rights to PD-L1), and certain other provisions not impacting the company would be implemented as described in the motion. On August 14, 2023, the United States Bankruptcy Court for the Southern District of Texas issued an order approving the settlement described above, such that the settlement became binding on the parties. As of 2:00 p.m. ET on August 31, 2023, Sorrento had not paid the judgments held by NantCell and NANTibody. Accordingly, in relevant part to the company and NantCell, a mutual release of claims became effective such that the aforementioned judgments were released, the litigation claims were released including, without limitation, the derivative litigation against NantCell described above, Sorrento relinquished its interests in NANTibody, and Sorrento forfeited its rights to any payments from NantCell arising out of its antibody exclusive license agreement with NantCell, including any royalties associated with the company’s engineered NK cell therapy in Phase 2 clinical trials, PD-L1 t-haNK. As a result of the settlement, the parties filed dismissals of the litigation matters discussed above. After the settlement, the company’s ownership in NANTibody increased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from 60% to 100%, and, as a result, the carrying amount of the noncontrolling interest of $4.2 million was adjusted and recognized in </w:t>
      </w:r>
      <w:r>
        <w:rPr>
          <w:rFonts w:ascii="Times New Roman" w:cs="Times New Roman" w:eastAsia="Times New Roman" w:hAnsi="Times New Roman"/>
          <w:sz w:val="18"/>
          <w:szCs w:val="18"/>
          <w:i w:val="1"/>
          <w:iCs w:val="1"/>
          <w:color w:val="auto"/>
        </w:rPr>
        <w:t>additional paid-in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w:t>
      </w:r>
      <w:r>
        <w:rPr>
          <w:rFonts w:ascii="Times New Roman" w:cs="Times New Roman" w:eastAsia="Times New Roman" w:hAnsi="Times New Roman"/>
          <w:sz w:val="18"/>
          <w:szCs w:val="18"/>
          <w:color w:val="auto"/>
        </w:rPr>
        <w:t>attributable to the company, on the condensed consolidated statement of stockholders’ deficit.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Beike Biotechnology Co. Ltd. Arbitration</w:t>
      </w:r>
    </w:p>
    <w:p>
      <w:pPr>
        <w:spacing w:after="0" w:line="1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agreement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agreement under which, among other things, the parties affirmed they would perform certain of their obligations under the license agreement by specified dates and agreed that all deadlines in the arbitration were indefinitely extended. The standstill agreement could be terminated by any party on ten calendar days’ notice, and upon termination, the parties had the right to pursue claims arising from the license agreement in any appropriate tribunal. On 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and the company served its Statement of Defense and Counterclaim on June 21, 2024, and Beike served its Statement of Defense to the Counterclaim and Reply on August 2, 2024. The hearing in the arbitration is scheduled to begin on June 9, 2025. Given that no discovery has occurred, it remains too early to evaluate the likely outcome of the case or to estimate any range of potential loss. We believe the claims asserted against the company lack merit and intend to defend the case, and to pursue our counterclaims, vigorously.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June 30, 2023, a putative securities class action complaint, captioned </w:t>
      </w:r>
      <w:r>
        <w:rPr>
          <w:rFonts w:ascii="Times New Roman" w:cs="Times New Roman" w:eastAsia="Times New Roman" w:hAnsi="Times New Roman"/>
          <w:sz w:val="18"/>
          <w:szCs w:val="18"/>
          <w:i w:val="1"/>
          <w:iCs w:val="1"/>
          <w:color w:val="auto"/>
        </w:rPr>
        <w:t>Salzman v. ImmunityBio, Inc. et al.</w:t>
      </w:r>
      <w:r>
        <w:rPr>
          <w:rFonts w:ascii="Times New Roman" w:cs="Times New Roman" w:eastAsia="Times New Roman" w:hAnsi="Times New Roman"/>
          <w:sz w:val="18"/>
          <w:szCs w:val="18"/>
          <w:color w:val="auto"/>
        </w:rPr>
        <w:t xml:space="preserve">, No. 3:23-cv-01216-BEN-WVG, was filed in the U.S.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BLA for its then product candidate, ANKTIVA, in its present form due to deficiencies related to its pre-license inspection of the company’s third-party CMOs, the complaint alleges that the defendants had previously made materially false and misleading statements and/or omitted material adverse facts regarding its third-party CMOs and the prospects for regulatory approval of the BLA. The complaint did not specify the amount of damages being sought. On September 27, 2023, the court appointed a lead plaintiff, approved their selection of lead counsel, and re-captioned the case </w:t>
      </w:r>
      <w:r>
        <w:rPr>
          <w:rFonts w:ascii="Times New Roman" w:cs="Times New Roman" w:eastAsia="Times New Roman" w:hAnsi="Times New Roman"/>
          <w:sz w:val="18"/>
          <w:szCs w:val="18"/>
          <w:i w:val="1"/>
          <w:iCs w:val="1"/>
          <w:color w:val="auto"/>
        </w:rPr>
        <w:t>In re. ImmunityBio, Inc. Securities Litigation,</w:t>
      </w:r>
      <w:r>
        <w:rPr>
          <w:rFonts w:ascii="Times New Roman" w:cs="Times New Roman" w:eastAsia="Times New Roman" w:hAnsi="Times New Roman"/>
          <w:sz w:val="18"/>
          <w:szCs w:val="18"/>
          <w:color w:val="auto"/>
        </w:rPr>
        <w:t xml:space="preserve"> No. 3:23-cv-01216. On November 17, 2023, the lead plaintiff filed an amended complaint, which named the same defendants and asserted the same claims as the previous complaint. On January 8, 2024, the defendants filed a motion to dismiss the amended complaint. On June 20, 2024, the court issued an order granting in part and denying in part the motion to dismiss. On July 16, 2024, the lead plaintiff notified the court that he would proceed with his current pleading. The company disputes the claims and intends to defend the case vigorously. The company is unable to estimate a range of loss, if any, that could result were there to be an adverse final decision in this action. If an unfavorable outcome were to occur, it is possible that the impact could be material to the company’s results of operations in the period(s) in which any such outcome becomes probable and estimable.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did not enter into any significant contracts, other than those disclosed in these condensed consolidated financial statements.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we are also a party to various contracts with CROs and CMOs that generally provide for termination on notice, with the exact amounts in the event of termination to be based on the timing of the termination and the terms of the agreement. There have been no material changes in unconditional purchase commitments from those disclosed in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March 19, 2024.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 Arrangements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lease property in multiple facilities across the U.S. and Italy, including facilities located in El Segundo, CA and the Dunkirk Facility in upstate New York. Substantially all of our operating lease right-of-use assets and operating lease liabilities relate to facilities leases. All of our finance leases are related to equipment rental at the Dunkirk Facility.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for more information about our related-party leases.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leases generally have initial terms ranging from two to ten years and often include one or more options to renew. These renewal terms can extend the lease term from one to ten years and are included in the lease term when it is reasonably certain that we will exercise the option.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our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28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9"/>
                <w:szCs w:val="19"/>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assets</w:t>
            </w: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33,836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36,427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42,698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gridSpan w:val="4"/>
            <w:vMerge w:val="restart"/>
          </w:tcPr>
          <w:p>
            <w:pPr>
              <w:ind w:left="620"/>
              <w:spacing w:after="0"/>
              <w:rPr>
                <w:sz w:val="20"/>
                <w:szCs w:val="20"/>
                <w:color w:val="auto"/>
              </w:rPr>
            </w:pPr>
            <w:r>
              <w:rPr>
                <w:rFonts w:ascii="Times New Roman" w:cs="Times New Roman" w:eastAsia="Times New Roman" w:hAnsi="Times New Roman"/>
                <w:sz w:val="18"/>
                <w:szCs w:val="18"/>
                <w:color w:val="auto"/>
              </w:rPr>
              <w:t>Information regarding our lease terms is as follows: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80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5.8 years</w:t>
            </w:r>
          </w:p>
        </w:tc>
        <w:tc>
          <w:tcPr>
            <w:tcW w:w="180" w:type="dxa"/>
            <w:vAlign w:val="bottom"/>
          </w:tcPr>
          <w:p>
            <w:pPr>
              <w:spacing w:after="0"/>
              <w:rPr>
                <w:sz w:val="21"/>
                <w:szCs w:val="21"/>
                <w:color w:val="auto"/>
              </w:rPr>
            </w:pPr>
          </w:p>
        </w:tc>
        <w:tc>
          <w:tcPr>
            <w:tcW w:w="1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6.2 years</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0.3 years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0.8 years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The components of lease expense consist of the following (in thousands):</w:t>
      </w:r>
    </w:p>
    <w:p>
      <w:pPr>
        <w:sectPr>
          <w:pgSz w:w="11900" w:h="16838" w:orient="portrait"/>
          <w:cols w:equalWidth="0" w:num="1">
            <w:col w:w="11240"/>
          </w:cols>
          <w:pgMar w:left="320" w:top="121" w:right="339" w:bottom="1440" w:gutter="0" w:footer="0" w:header="0"/>
        </w:sectPr>
      </w:pPr>
    </w:p>
    <w:p>
      <w:pPr>
        <w:spacing w:after="0" w:line="25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13335</wp:posOffset>
            </wp:positionV>
            <wp:extent cx="17056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4" w:lineRule="exact"/>
        <w:rPr>
          <w:sz w:val="20"/>
          <w:szCs w:val="20"/>
          <w:color w:val="auto"/>
        </w:rPr>
      </w:pPr>
    </w:p>
    <w:p>
      <w:pPr>
        <w:ind w:left="6220"/>
        <w:spacing w:after="0"/>
        <w:tabs>
          <w:tab w:leader="none" w:pos="7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33655</wp:posOffset>
            </wp:positionV>
            <wp:extent cx="17056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33655</wp:posOffset>
            </wp:positionV>
            <wp:extent cx="17056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1714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5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176"/>
        </w:trPr>
        <w:tc>
          <w:tcPr>
            <w:tcW w:w="5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lease costs (including right-of-use asset</w:t>
            </w: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and interest expense)</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48"/>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is as follows (in thousands):</w:t>
      </w:r>
    </w:p>
    <w:p>
      <w:pPr>
        <w:spacing w:after="0" w:line="25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4"/>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(excluding variable lease costs)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5,022</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 from finance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as of June 30, 2024, including $11.5 million related to options to extend lease terms that are reasonably certain of being exercised, are presented in the following table (in thousands). Common area maintenance costs and taxes are not included in these payments.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4"/>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5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r>
      <w:tr>
        <w:trPr>
          <w:trHeight w:val="26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5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r>
      <w:tr>
        <w:trPr>
          <w:trHeight w:val="26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5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w:t>
            </w:r>
          </w:p>
        </w:tc>
      </w:tr>
      <w:tr>
        <w:trPr>
          <w:trHeight w:val="250"/>
        </w:trPr>
        <w:tc>
          <w:tcPr>
            <w:tcW w:w="68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58,156</w:t>
            </w:r>
          </w:p>
        </w:tc>
      </w:tr>
      <w:tr>
        <w:trPr>
          <w:trHeight w:val="25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w:t>
            </w:r>
          </w:p>
        </w:tc>
      </w:tr>
      <w:tr>
        <w:trPr>
          <w:trHeight w:val="25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 receivable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56"/>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42,698</w:t>
            </w: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related to our existing lease agreements from those disclosed in Note 8, </w:t>
      </w:r>
      <w:r>
        <w:rPr>
          <w:rFonts w:ascii="Times New Roman" w:cs="Times New Roman" w:eastAsia="Times New Roman" w:hAnsi="Times New Roman"/>
          <w:sz w:val="18"/>
          <w:szCs w:val="18"/>
          <w:i w:val="1"/>
          <w:iCs w:val="1"/>
          <w:color w:val="auto"/>
        </w:rPr>
        <w:t>Lease Arrangements</w:t>
      </w:r>
      <w:r>
        <w:rPr>
          <w:rFonts w:ascii="Times New Roman" w:cs="Times New Roman" w:eastAsia="Times New Roman" w:hAnsi="Times New Roman"/>
          <w:sz w:val="18"/>
          <w:szCs w:val="18"/>
          <w:color w:val="auto"/>
        </w:rPr>
        <w:t>, of the “Notes to Consolidated Financial Statements” that appears in Part II, Item 8. “Financial Statements and Supplementary Data” of our Annual Report filed with the SEC on March 19,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 Interest Purchase Agreement</w:t>
      </w:r>
    </w:p>
    <w:p>
      <w:pPr>
        <w:spacing w:after="0" w:line="12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December 29, 2023, we entered into the RIPA with Infinity and Oberland. Pursuant to the RIPA, Oberland acquired certain initial Revenue Interests from us for a gross purchase price of $200.0 million paid on closing, less certain issuance costs. Oberland had the option to purchase additional Revenue Interests from us in exchange for a $100.0 million Second Payment upon satisfaction of certain conditions in the RIPA, including receipt of approval by the FDA of our BLA for ANKTIVA on or before June 30, 2024.</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22, 2024, the FDA approved our product ANKTIVA and as a result, on May 13, 2024 Oberland purchased additional Revenue Interests from us for a gross purchase price of $100.0 million. The company also incurred an additional $3.1 million of issuance costs as part of the Second Payment. Such $3.1 million of issuance costs together with issuance costs incurred in December 2023 of $7.5 million are being amortized to interest expense over the estimated term of the debt.</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consideration for the aforementioned payments, Oberland has the right to receive quarterly Revenue Interest Payments from us based on, among other things, a certain percentage of our net sales during such quarter, which are tiered payments initially ranging from 3.00% to 7.00% (now after funding of the Second Payment, 4.50% to 10.00%) of the company’s worldwide net sales, excluding those in China.</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the aggregate Revenue Interest Payments made to Oberland as of December 31, 2029 (Test Date) equal or exceed the Cumulative Purchaser Payments as of that date, the initially tiered revenue interest rate will be decreased to a single rate of 1.50% (now after the funding of the Second Payment, 2.25%) of the company’s worldwide net sales, excluding those in China. If the aggregate Revenue Interest Payments made to Oberland as of the Test Date are less than the aggregate amount of Cumulative Purchaser Payments as of the Test Date, then following the Test Date the initially tiered revenue interest rate will increase to a rate that, had such increased rate applied during the period from December 29, 2023 through December 31, 2029, it would have resulted in Oberland receiving aggregate Revenue Interest Payments (excluding certain payments detailed in the RIPA) equal to the Cumulative Purchaser Payments as of the Test Date. In addition, if aggregate Revenue Interest Payments made to Oberland as of the Test Date are less than the aggregate amount of Cumulative Purchaser Payments as of the Test Date, then the company must make the True-Up Payment.</w:t>
      </w:r>
    </w:p>
    <w:p>
      <w:pPr>
        <w:spacing w:after="0" w:line="192"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color w:val="auto"/>
        </w:rPr>
        <w:t>Oberland’s rights to receive Revenue Interest Payments under the RIPA shall terminate when Oberland has received payments (including any True-Up Payment) equal to 195.0% of the then Cumulative Purchaser Payments unless the RIPA is terminated prior to such date. If Oberland has not received total payments (including any True-Up Payment) equal to 195.0% of the then Cumulative Purchaser Payments on or before the</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twelfth anniversary of the RIPA, then the company shall be obligated to pay to Oberland an amount equal to 195.0% of the then Cumulative Purchaser Payments less the aggregate payments (including any True-Up Payments) made as of such date.</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the RIPA, the company has a Call Option to terminate the RIPA and repurchase the Revenue Interests at any time upon advance written notice, subject to certain limitations set forth in the RIPA. Additionally, Oberland has a Put Option enabling them to terminate the RIPA and to require the company to repurchase the Revenue Interests upon enumerated events, such as a bankruptcy event, failure to make a payment, an uncured material breach, default in certain third-party agreements, a breach or default under any subordination agreements with respect to indebtedness to existing stockholders, or subordinated notes during certain time periods, judgments in excess of certain amounts against the company, a material adverse effect, the loss of regulatory approval of our product candidates or a change of control. The required purchase price with respect to the Call Option and/or Put Option, as applicable, shall be (a) 120.0% of the Cumulative Purchaser Payments as of such date, if Oberland exercises the Put Option (other than in connection with a change of control) on or prior to the first anniversary the Closing Date, (b) 135.0% of the Cumulative Purchaser Payments as of such date, if the Put Option or the Call Option is exercised in connection with a change of control on or prior to the date that is eighteen (18) months after the Closing Date, and</w:t>
      </w:r>
    </w:p>
    <w:p>
      <w:pPr>
        <w:spacing w:after="0" w:line="6" w:lineRule="exact"/>
        <w:rPr>
          <w:sz w:val="20"/>
          <w:szCs w:val="20"/>
          <w:color w:val="auto"/>
        </w:rPr>
      </w:pPr>
    </w:p>
    <w:p>
      <w:pPr>
        <w:ind w:right="180" w:firstLine="8"/>
        <w:spacing w:after="0" w:line="253"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(i) 175.0% of the Cumulative Purchaser Payments as of such date, if the Put Option or the Call Option is exercised no later than the date that is thirty six (36) months after the Closing Date, and (ii) 195.0% of the Cumulative Purchaser Payments as of such date, if the Put Option or the Call Option is exercised later than the date that is thirty six (36) months after the Closing Date, minus, in each case, the total payments made to Oberland on or prior to such date.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RIPA are guaranteed by certain of its subsidiaries meeting materiality thresholds set forth in the RIPA. To secure the company’s obligations under the RIPA and the subsidiary guarantors’ obligations under the guarantees, each of the company and the subsidiary guarantors has granted a security interest in substantially all its assets, subject to certain exceptions and limitations.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RIPA contains affirmative and negative covenants and events of default, including covenants and restrictions that, among other things, restrict our ability to incur additional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As of June 30, 2024, the company was in compliance with all covenants.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RIPA is considered a sale of future revenues and accounted for as long-term debt recorded at amortized cost using the effective interest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Also, on December 29, 2023 and in connection with the RIPA, we entered into an SPOA with Oberland pursuant to which we sold an aggregate of approximately $10.0 million of our common stock at $4.1103 per share in a private placement. Oberland also had an option to purchase up to an additional $10.0 million of our common stock, at a price per share to be determined by reference to the 30-day trailing volume weighted-average price of our common stock calculated from the date of exercise. This stock purchase option was classified as a liability estimated at fair value at issuance. The $200.0 million received pursuant to the RIPA and $10.0 million received pursuant to the SPOA were allocated among the resulting financial instruments on a relative fair value basis, with $197.1 million allocated to the debt under the RIPA, $12.0 million allocated to the common stock issued under the SPOA, and $0.8 million allocated to the stock purchase option as of December 31, 2023.</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the SPOA, in April 2024 Oberland exercised part of their option and purchased 858,990 shares of our common stock at an exercise price of $5.8208 per share generating net proceeds of approximately $4.9 million. Following such exercise, approximately $5.0 million remains available for future exercise under the SPOA as of June 30, 2024.</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Put Option under the RIPA that is exercisable by Oberland upon certain contingent events and the Call Option that is exercisable by the company upon a change of control were determined to be embedded derivatives requiring bifurcation and separately accounted for as a single compound derivative instrument. The company recorded the initial fair value of the derivative liability of $34.5 million as a debt discount, which will be amortized to interest expense over the expected term of the debt using the effective interest rate method. In May 2024, Oberland acquired additional Revenue Interests for a gross purchase price of $100.0 million, and the company recorded an incremental portion of the fair value of the derivative liability as of the funding date of $6.2 million as a debt discount, which will be amortized to interest expense along with the initial debt discount over the expected term of the debt using the effective interest rate method.</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RIPA, as of June 30, 2024 and December 31, 2023, $263.3 million and $155.4 million, respectively, was recorded as </w:t>
      </w:r>
      <w:r>
        <w:rPr>
          <w:rFonts w:ascii="Times New Roman" w:cs="Times New Roman" w:eastAsia="Times New Roman" w:hAnsi="Times New Roman"/>
          <w:sz w:val="18"/>
          <w:szCs w:val="18"/>
          <w:i w:val="1"/>
          <w:iCs w:val="1"/>
          <w:color w:val="auto"/>
        </w:rPr>
        <w:t xml:space="preserve">revenue interest liability, </w:t>
      </w:r>
      <w:r>
        <w:rPr>
          <w:rFonts w:ascii="Times New Roman" w:cs="Times New Roman" w:eastAsia="Times New Roman" w:hAnsi="Times New Roman"/>
          <w:sz w:val="18"/>
          <w:szCs w:val="18"/>
          <w:color w:val="auto"/>
        </w:rPr>
        <w:t>on the condensed consolidated balance sheets. The company imputes interest expense associated with this liability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 A significant increase or decrease in actual or forecasted net sales may materially impact the revenue interest liability, interest expense, other income, and the time period for repayment. During the three and six months ended June 30, 2024, we recorded $9.2 million and $17.2 million of interest expense, respectively, related to this arrangement.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six months ended June 30,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4"/>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155,415</w:t>
            </w:r>
          </w:p>
        </w:tc>
      </w:tr>
      <w:tr>
        <w:trPr>
          <w:trHeight w:val="229"/>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Second Payment, net of issuance costs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96,956</w:t>
            </w:r>
          </w:p>
        </w:tc>
      </w:tr>
      <w:tr>
        <w:trPr>
          <w:trHeight w:val="230"/>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Embedded contingent derivative liability related to Second Payment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r>
      <w:tr>
        <w:trPr>
          <w:trHeight w:val="229"/>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interest payment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revenue interest payment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9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June 30, 2024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Related-Party 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related-party debt is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Balances as of June 30, 2024</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Less: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320" w:type="dxa"/>
            <w:vAlign w:val="bottom"/>
          </w:tcPr>
          <w:p>
            <w:pPr>
              <w:spacing w:after="0"/>
              <w:rPr>
                <w:sz w:val="12"/>
                <w:szCs w:val="12"/>
                <w:color w:val="auto"/>
              </w:rPr>
            </w:pPr>
          </w:p>
        </w:tc>
        <w:tc>
          <w:tcPr>
            <w:tcW w:w="10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Related-Party Nonconvertible Note: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7"/>
              </w:rPr>
              <w:t>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$505 million December 2023 Promissory Note Tranche 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16,189</w:t>
            </w:r>
          </w:p>
        </w:tc>
        <w:tc>
          <w:tcPr>
            <w:tcW w:w="8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108,811</w:t>
            </w:r>
          </w:p>
        </w:tc>
        <w:tc>
          <w:tcPr>
            <w:tcW w:w="0" w:type="dxa"/>
            <w:vAlign w:val="bottom"/>
          </w:tcPr>
          <w:p>
            <w:pPr>
              <w:spacing w:after="0"/>
              <w:rPr>
                <w:sz w:val="1"/>
                <w:szCs w:val="1"/>
                <w:color w:val="auto"/>
              </w:rPr>
            </w:pPr>
          </w:p>
        </w:tc>
      </w:tr>
      <w:tr>
        <w:trPr>
          <w:trHeight w:val="194"/>
        </w:trPr>
        <w:tc>
          <w:tcPr>
            <w:tcW w:w="47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Related-Party Convertible Notes: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00"/>
              <w:spacing w:after="0" w:line="163" w:lineRule="exact"/>
              <w:rPr>
                <w:sz w:val="20"/>
                <w:szCs w:val="20"/>
                <w:color w:val="auto"/>
              </w:rPr>
            </w:pPr>
            <w:r>
              <w:rPr>
                <w:rFonts w:ascii="Times New Roman" w:cs="Times New Roman" w:eastAsia="Times New Roman" w:hAnsi="Times New Roman"/>
                <w:sz w:val="16"/>
                <w:szCs w:val="16"/>
                <w:color w:val="auto"/>
                <w:w w:val="97"/>
              </w:rPr>
              <w:t>Term</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$505 million December 2023 Promissory Note Tranche 2</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25,893</w:t>
            </w:r>
          </w:p>
        </w:tc>
        <w:tc>
          <w:tcPr>
            <w:tcW w:w="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354,107</w:t>
            </w:r>
          </w:p>
        </w:tc>
        <w:tc>
          <w:tcPr>
            <w:tcW w:w="0" w:type="dxa"/>
            <w:vAlign w:val="bottom"/>
          </w:tcPr>
          <w:p>
            <w:pPr>
              <w:spacing w:after="0"/>
              <w:rPr>
                <w:sz w:val="1"/>
                <w:szCs w:val="1"/>
                <w:color w:val="auto"/>
              </w:rPr>
            </w:pPr>
          </w:p>
        </w:tc>
      </w:tr>
      <w:tr>
        <w:trPr>
          <w:trHeight w:val="216"/>
        </w:trPr>
        <w:tc>
          <w:tcPr>
            <w:tcW w:w="47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7"/>
              </w:rPr>
              <w:t>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$30 million March 2023 Promissory Note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80" w:type="dxa"/>
            <w:vAlign w:val="bottom"/>
          </w:tcPr>
          <w:p>
            <w:pPr>
              <w:spacing w:after="0"/>
              <w:rPr>
                <w:sz w:val="14"/>
                <w:szCs w:val="14"/>
                <w:color w:val="auto"/>
              </w:rPr>
            </w:pPr>
          </w:p>
        </w:tc>
        <w:tc>
          <w:tcPr>
            <w:tcW w:w="12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3"/>
        </w:trPr>
        <w:tc>
          <w:tcPr>
            <w:tcW w:w="47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00"/>
              <w:spacing w:after="0" w:line="165" w:lineRule="exact"/>
              <w:rPr>
                <w:sz w:val="20"/>
                <w:szCs w:val="20"/>
                <w:color w:val="auto"/>
              </w:rPr>
            </w:pPr>
            <w:r>
              <w:rPr>
                <w:rFonts w:ascii="Times New Roman" w:cs="Times New Roman" w:eastAsia="Times New Roman" w:hAnsi="Times New Roman"/>
                <w:sz w:val="16"/>
                <w:szCs w:val="16"/>
                <w:color w:val="auto"/>
                <w:w w:val="97"/>
              </w:rPr>
              <w:t>Term</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September 2023 Promissory Note</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13"/>
        </w:trPr>
        <w:tc>
          <w:tcPr>
            <w:tcW w:w="47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related-party convertible notes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610,000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25,893</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584,107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Balances as of December 31, 2023</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320" w:type="dxa"/>
            <w:vAlign w:val="bottom"/>
          </w:tcPr>
          <w:p>
            <w:pPr>
              <w:spacing w:after="0"/>
              <w:rPr>
                <w:sz w:val="12"/>
                <w:szCs w:val="12"/>
                <w:color w:val="auto"/>
              </w:rPr>
            </w:pPr>
          </w:p>
        </w:tc>
        <w:tc>
          <w:tcPr>
            <w:tcW w:w="10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474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Related-Party Nonconvertible Note: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7"/>
              </w:rPr>
              <w:t>Term</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$505 million December 2023 Promissory Note Tranche 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20,414</w:t>
            </w:r>
          </w:p>
        </w:tc>
        <w:tc>
          <w:tcPr>
            <w:tcW w:w="8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104,586</w:t>
            </w:r>
          </w:p>
        </w:tc>
        <w:tc>
          <w:tcPr>
            <w:tcW w:w="0" w:type="dxa"/>
            <w:vAlign w:val="bottom"/>
          </w:tcPr>
          <w:p>
            <w:pPr>
              <w:spacing w:after="0"/>
              <w:rPr>
                <w:sz w:val="1"/>
                <w:szCs w:val="1"/>
                <w:color w:val="auto"/>
              </w:rPr>
            </w:pPr>
          </w:p>
        </w:tc>
      </w:tr>
      <w:tr>
        <w:trPr>
          <w:trHeight w:val="194"/>
        </w:trPr>
        <w:tc>
          <w:tcPr>
            <w:tcW w:w="47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Related-Party Convertible Notes: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00"/>
              <w:spacing w:after="0" w:line="163" w:lineRule="exact"/>
              <w:rPr>
                <w:sz w:val="20"/>
                <w:szCs w:val="20"/>
                <w:color w:val="auto"/>
              </w:rPr>
            </w:pPr>
            <w:r>
              <w:rPr>
                <w:rFonts w:ascii="Times New Roman" w:cs="Times New Roman" w:eastAsia="Times New Roman" w:hAnsi="Times New Roman"/>
                <w:sz w:val="16"/>
                <w:szCs w:val="16"/>
                <w:color w:val="auto"/>
                <w:w w:val="97"/>
              </w:rPr>
              <w:t>Term</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$505 million December 2023 Promissory Note Tranche 2</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33,049</w:t>
            </w:r>
          </w:p>
        </w:tc>
        <w:tc>
          <w:tcPr>
            <w:tcW w:w="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346,951</w:t>
            </w:r>
          </w:p>
        </w:tc>
        <w:tc>
          <w:tcPr>
            <w:tcW w:w="0" w:type="dxa"/>
            <w:vAlign w:val="bottom"/>
          </w:tcPr>
          <w:p>
            <w:pPr>
              <w:spacing w:after="0"/>
              <w:rPr>
                <w:sz w:val="1"/>
                <w:szCs w:val="1"/>
                <w:color w:val="auto"/>
              </w:rPr>
            </w:pPr>
          </w:p>
        </w:tc>
      </w:tr>
      <w:tr>
        <w:trPr>
          <w:trHeight w:val="216"/>
        </w:trPr>
        <w:tc>
          <w:tcPr>
            <w:tcW w:w="47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7"/>
              </w:rPr>
              <w:t>Term</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$30 million March 2023 Promissory Note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00" w:type="dxa"/>
            <w:vAlign w:val="bottom"/>
          </w:tcPr>
          <w:p>
            <w:pPr>
              <w:spacing w:after="0"/>
              <w:rPr>
                <w:sz w:val="14"/>
                <w:szCs w:val="14"/>
                <w:color w:val="auto"/>
              </w:rPr>
            </w:pPr>
          </w:p>
        </w:tc>
        <w:tc>
          <w:tcPr>
            <w:tcW w:w="13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3"/>
        </w:trPr>
        <w:tc>
          <w:tcPr>
            <w:tcW w:w="47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00"/>
              <w:spacing w:after="0" w:line="165" w:lineRule="exact"/>
              <w:rPr>
                <w:sz w:val="20"/>
                <w:szCs w:val="20"/>
                <w:color w:val="auto"/>
              </w:rPr>
            </w:pPr>
            <w:r>
              <w:rPr>
                <w:rFonts w:ascii="Times New Roman" w:cs="Times New Roman" w:eastAsia="Times New Roman" w:hAnsi="Times New Roman"/>
                <w:sz w:val="16"/>
                <w:szCs w:val="16"/>
                <w:color w:val="auto"/>
                <w:w w:val="97"/>
              </w:rPr>
              <w:t>Term</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September 2023 Promissory Note</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SOFR</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16"/>
        </w:trPr>
        <w:tc>
          <w:tcPr>
            <w:tcW w:w="47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related-party convertible notes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610,000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33,049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576,951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$505 million December 2023 Promissory Note</w:t>
      </w:r>
    </w:p>
    <w:p>
      <w:pPr>
        <w:spacing w:after="0" w:line="121" w:lineRule="exact"/>
        <w:rPr>
          <w:sz w:val="20"/>
          <w:szCs w:val="20"/>
          <w:color w:val="auto"/>
        </w:rPr>
      </w:pPr>
    </w:p>
    <w:p>
      <w:pPr>
        <w:ind w:right="280" w:firstLine="583"/>
        <w:spacing w:after="0" w:line="261" w:lineRule="auto"/>
        <w:rPr>
          <w:sz w:val="20"/>
          <w:szCs w:val="20"/>
          <w:color w:val="auto"/>
        </w:rPr>
      </w:pPr>
      <w:r>
        <w:rPr>
          <w:rFonts w:ascii="Times New Roman" w:cs="Times New Roman" w:eastAsia="Times New Roman" w:hAnsi="Times New Roman"/>
          <w:sz w:val="18"/>
          <w:szCs w:val="18"/>
          <w:color w:val="auto"/>
        </w:rPr>
        <w:t>On December 29, 2023 in connection with the RIPA, the company and Nant Capital entered into an amended and restated promissory note. Pursuant to the terms of the amended and restated promissory note, the amended promissory note has an aggregated principal amount of $505.0 million, comprised of Tranche 1 with a principal amount of $125.0 million, and Tranche 2 with a principal amount of $380.0 million. The maturity date of the amended promissory note is December 31, 2025.</w:t>
      </w:r>
    </w:p>
    <w:p>
      <w:pPr>
        <w:spacing w:after="0" w:line="180" w:lineRule="exact"/>
        <w:rPr>
          <w:sz w:val="20"/>
          <w:szCs w:val="20"/>
          <w:color w:val="auto"/>
        </w:rPr>
      </w:pPr>
    </w:p>
    <w:p>
      <w:pPr>
        <w:ind w:right="480" w:firstLine="583"/>
        <w:spacing w:after="0" w:line="282" w:lineRule="auto"/>
        <w:rPr>
          <w:sz w:val="20"/>
          <w:szCs w:val="20"/>
          <w:color w:val="auto"/>
        </w:rPr>
      </w:pPr>
      <w:r>
        <w:rPr>
          <w:rFonts w:ascii="Times New Roman" w:cs="Times New Roman" w:eastAsia="Times New Roman" w:hAnsi="Times New Roman"/>
          <w:sz w:val="18"/>
          <w:szCs w:val="18"/>
          <w:color w:val="auto"/>
        </w:rPr>
        <w:t>$125.0 million principal amount of Tranche 1 of the promissory note bears an interest rate of Term SOFR plus 8.0% per annum, payable on a quarterly basis. The company may prepay the outstanding principal amount, at any time, in whole or in part, without penalty.</w:t>
      </w:r>
    </w:p>
    <w:p>
      <w:pPr>
        <w:spacing w:after="0" w:line="162" w:lineRule="exact"/>
        <w:rPr>
          <w:sz w:val="20"/>
          <w:szCs w:val="20"/>
          <w:color w:val="auto"/>
        </w:rPr>
      </w:pPr>
    </w:p>
    <w:p>
      <w:pPr>
        <w:ind w:right="100" w:firstLine="583"/>
        <w:spacing w:after="0" w:line="256" w:lineRule="auto"/>
        <w:rPr>
          <w:sz w:val="20"/>
          <w:szCs w:val="20"/>
          <w:color w:val="auto"/>
        </w:rPr>
      </w:pPr>
      <w:r>
        <w:rPr>
          <w:rFonts w:ascii="Times New Roman" w:cs="Times New Roman" w:eastAsia="Times New Roman" w:hAnsi="Times New Roman"/>
          <w:sz w:val="18"/>
          <w:szCs w:val="18"/>
          <w:color w:val="auto"/>
        </w:rPr>
        <w:t>$380.0 million principal amount of Tranche 2 of the promissory note bears an interest rate of Term SOFR plus 7.5% per annum, payable on a quarterly basis. The Tranche 2 promissory note provides that the noteholder has the sole option to convert all (but not less than all) of the outstanding principal amount of $380.0 million and accrued but unpaid interest into shares of the company’s common stock at a conversion price of $8.2690 per share, subject to appropriate adjustment from time to time for any stock dividend, stock split, combination of shares, reorganization, recapitalization, reclassification or other similar event. In addition, the noteholder can request up to $50.0 million of the Tranche 2 principal amount and accrued interest to be repaid upon consummation of a specified transaction.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$30 million March 2023 Promissory Note</w:t>
      </w:r>
    </w:p>
    <w:p>
      <w:pPr>
        <w:spacing w:after="0" w:line="121"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18"/>
          <w:szCs w:val="18"/>
          <w:color w:val="auto"/>
        </w:rPr>
        <w:t>On March 31, 2023, the company executed a $30.0 million promissory note with Nant Capital. This note bears interest at Term SOFR plus 8.0% per annum, payable on a quarterly basis. The outstanding principal amount and any accrued and unpaid interest was originally due on</w:t>
      </w:r>
    </w:p>
    <w:p>
      <w:pPr>
        <w:ind w:right="80"/>
        <w:spacing w:after="0" w:line="253" w:lineRule="auto"/>
        <w:rPr>
          <w:sz w:val="20"/>
          <w:szCs w:val="20"/>
          <w:color w:val="auto"/>
        </w:rPr>
      </w:pPr>
      <w:r>
        <w:rPr>
          <w:rFonts w:ascii="Times New Roman" w:cs="Times New Roman" w:eastAsia="Times New Roman" w:hAnsi="Times New Roman"/>
          <w:sz w:val="18"/>
          <w:szCs w:val="18"/>
          <w:color w:val="auto"/>
        </w:rPr>
        <w:t>December 31, 2023. The company may prepay the outstanding promissory note, at any time, in whole or in part, without penalty. Upon receipt of a written notice of prepayment from the company, the noteholder may choose to convert the outstanding principal amount to be prepaid and the accrued and unpaid interest thereon into shares of the company’s common stock at a price of $2.28 per share. Additionally, the noteholder may at its option convert the entire outstanding principal amount of the promissory note and accrued interest into shares of the company’s common stock at a conversion price of $2.28 per share, at the option of the noteholder.</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September 11, 2023, the company and Nant Capital entered into a letter agreement pursuant to which the maturity date of the $30.0 million promissory note described above was extended from December 31, 2023 to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December 29, 2023 in connection with the RIPA, the company and Nant Capital entered into a letter agreement pursuant to which the maturity date of this promissory note was extended to December 31, 2025.</w:t>
      </w:r>
    </w:p>
    <w:p>
      <w:pPr>
        <w:spacing w:after="0" w:line="162" w:lineRule="exact"/>
        <w:rPr>
          <w:sz w:val="20"/>
          <w:szCs w:val="20"/>
          <w:color w:val="auto"/>
        </w:rPr>
      </w:pPr>
    </w:p>
    <w:p>
      <w:pPr>
        <w:jc w:val="both"/>
        <w:ind w:right="160" w:firstLine="648"/>
        <w:spacing w:after="0" w:line="272" w:lineRule="auto"/>
        <w:rPr>
          <w:sz w:val="20"/>
          <w:szCs w:val="20"/>
          <w:color w:val="auto"/>
        </w:rPr>
      </w:pPr>
      <w:r>
        <w:rPr>
          <w:rFonts w:ascii="Times New Roman" w:cs="Times New Roman" w:eastAsia="Times New Roman" w:hAnsi="Times New Roman"/>
          <w:sz w:val="17"/>
          <w:szCs w:val="17"/>
          <w:color w:val="auto"/>
        </w:rPr>
        <w:t>Prior to December 29, 2023, the $30.0 million March 2023 promissory note was accounted for under the ASC 825-10-15-4 FVO election. Under the FVO election, the note was initially measured at its issue-date estimated fair value and subsequently remeasured at estimated fair value on a recurring basis at each reporting period date. On December 29, 2023, all outstanding promissory notes were modified and accounted for as a debt extinguishment.</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After the debt extinguishment, the note is accounted for under the amortized cost basis. As of June 30, 2023, the estimated fair value of the convertible note was computed using a binomial lattice model with the following unobservable assumptions: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95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95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9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4"/>
        </w:trPr>
        <w:tc>
          <w:tcPr>
            <w:tcW w:w="95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market yield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129.8 %</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 million September 2023 Promissory Note</w:t>
      </w:r>
    </w:p>
    <w:p>
      <w:pPr>
        <w:spacing w:after="0" w:line="121" w:lineRule="exact"/>
        <w:rPr>
          <w:sz w:val="20"/>
          <w:szCs w:val="20"/>
          <w:color w:val="auto"/>
        </w:rPr>
      </w:pPr>
    </w:p>
    <w:p>
      <w:pPr>
        <w:ind w:right="520" w:firstLine="648"/>
        <w:spacing w:after="0" w:line="277" w:lineRule="auto"/>
        <w:rPr>
          <w:sz w:val="20"/>
          <w:szCs w:val="20"/>
          <w:color w:val="auto"/>
        </w:rPr>
      </w:pPr>
      <w:r>
        <w:rPr>
          <w:rFonts w:ascii="Times New Roman" w:cs="Times New Roman" w:eastAsia="Times New Roman" w:hAnsi="Times New Roman"/>
          <w:sz w:val="17"/>
          <w:szCs w:val="17"/>
          <w:color w:val="auto"/>
        </w:rPr>
        <w:t>On September 11, 2023, the company executed a $200.0 million convertible promissory note with Nant Capital. The note bears interest at Term SOFR plus 8.0% per annum, payable on a monthly basis. The outstanding principal amount and any accrued and unpaid interest are due on September 11, 2026. We may prepay the outstanding principal amount, together with any accrued interest, at any time, in whole or in part, without premium or penalty upon five (5) days written notice to the noteholder. The noteholder has the sole option to convert all (but not less than all) of the outstanding principal amount and accrued but unpaid interest into shares of the company’s common stock at a conversion price of $1.9350 per share.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RIPA transaction, all outstanding related-party promissory notes became subordinated to the RIPA payment obligations.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the estimated future contractual obligations for our related-party debt as of June 30,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22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Interest Payments (1)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8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2024 (excluding the six months ended</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631,109</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218,571</w:t>
            </w:r>
          </w:p>
        </w:tc>
        <w:tc>
          <w:tcPr>
            <w:tcW w:w="0" w:type="dxa"/>
            <w:vAlign w:val="bottom"/>
          </w:tcPr>
          <w:p>
            <w:pPr>
              <w:spacing w:after="0"/>
              <w:rPr>
                <w:sz w:val="1"/>
                <w:szCs w:val="1"/>
                <w:color w:val="auto"/>
              </w:rPr>
            </w:pPr>
          </w:p>
        </w:tc>
      </w:tr>
      <w:tr>
        <w:trPr>
          <w:trHeight w:val="22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138,065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898,130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27" w:lineRule="exact"/>
        <w:rPr>
          <w:sz w:val="20"/>
          <w:szCs w:val="20"/>
          <w:color w:val="auto"/>
        </w:rPr>
      </w:pPr>
    </w:p>
    <w:p>
      <w:pPr>
        <w:ind w:left="560" w:right="160" w:hanging="534"/>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our promissory notes are calculated based on Term SOFR plus the contractual spread per the loan agreements. The weighted-average interest rate on our promissory notes as of June 30, 2024 was 13.08%.</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Related-Party Agreements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conduct business with several affiliates under written agreements and informal arrangements. Below is a summary of outstanding balances and a description of significant relationships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party–NantWorks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5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party–Brink</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party–NantBio</w:t>
            </w: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related parties–Various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5"/>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due from related parties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party–Duley Road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party–the Clinic</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party–NantBio</w:t>
            </w: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5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related party–Various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due to related parties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Executive Chairman, Global Chief Scientific and Medical Officer, and principal stockholder founded and has a controlling interest in NantWorks, which is a collection of companies in the healthcare and technology space. As described below,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Executive Chairman, Global Chief Scientific and Medical Officer, and principal stockholder.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NantWorks,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Services Agreement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amended and restated shared services agreement with NantWorks dated as of June 2016, but effective as of August 2015, NantWorks,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provides corporate, general and administrative, certain research and development, and other support services. We are charged for the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cost plus reasonable allocations of employee benefits, facilities, and other direct or fairly allocated indirect costs that relate to the employees providing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services. During the three months ended June 30, 2024 and 2023, we recorded $0.6 million and $0.9 million, respectively, in </w:t>
      </w:r>
      <w:r>
        <w:rPr>
          <w:rFonts w:ascii="Times New Roman" w:cs="Times New Roman" w:eastAsia="Times New Roman" w:hAnsi="Times New Roman"/>
          <w:sz w:val="18"/>
          <w:szCs w:val="18"/>
          <w:i w:val="1"/>
          <w:iCs w:val="1"/>
          <w:color w:val="auto"/>
        </w:rPr>
        <w:t>selling,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expense</w:t>
      </w:r>
      <w:r>
        <w:rPr>
          <w:rFonts w:ascii="Times New Roman" w:cs="Times New Roman" w:eastAsia="Times New Roman" w:hAnsi="Times New Roman"/>
          <w:sz w:val="18"/>
          <w:szCs w:val="18"/>
          <w:color w:val="auto"/>
        </w:rPr>
        <w:t>, and $0.8 million and $0.6 million of expense reimbursements, respectively, under this arrangement in</w:t>
      </w:r>
      <w:r>
        <w:rPr>
          <w:rFonts w:ascii="Times New Roman" w:cs="Times New Roman" w:eastAsia="Times New Roman" w:hAnsi="Times New Roman"/>
          <w:sz w:val="18"/>
          <w:szCs w:val="18"/>
          <w:i w:val="1"/>
          <w:iCs w:val="1"/>
          <w:color w:val="auto"/>
        </w:rPr>
        <w:t xml:space="preserve">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on the condensed consolidated statements of operations. During the six months ended June 30, 2024 and 2023, we recorded $0.9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$1.9 million, respectively, in </w:t>
      </w:r>
      <w:r>
        <w:rPr>
          <w:rFonts w:ascii="Times New Roman" w:cs="Times New Roman" w:eastAsia="Times New Roman" w:hAnsi="Times New Roman"/>
          <w:sz w:val="17"/>
          <w:szCs w:val="17"/>
          <w:i w:val="1"/>
          <w:iCs w:val="1"/>
          <w:color w:val="auto"/>
        </w:rPr>
        <w:t>selling, general and administrative expense</w:t>
      </w:r>
      <w:r>
        <w:rPr>
          <w:rFonts w:ascii="Times New Roman" w:cs="Times New Roman" w:eastAsia="Times New Roman" w:hAnsi="Times New Roman"/>
          <w:sz w:val="17"/>
          <w:szCs w:val="17"/>
          <w:color w:val="auto"/>
        </w:rPr>
        <w:t>, and $1.3 million and $1.0 million of expense reimbursements, respectively,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this arrangement in </w:t>
      </w:r>
      <w:r>
        <w:rPr>
          <w:rFonts w:ascii="Times New Roman" w:cs="Times New Roman" w:eastAsia="Times New Roman" w:hAnsi="Times New Roman"/>
          <w:sz w:val="17"/>
          <w:szCs w:val="17"/>
          <w:i w:val="1"/>
          <w:iCs w:val="1"/>
          <w:color w:val="auto"/>
        </w:rPr>
        <w:t>research and development expense</w:t>
      </w:r>
      <w:r>
        <w:rPr>
          <w:rFonts w:ascii="Times New Roman" w:cs="Times New Roman" w:eastAsia="Times New Roman" w:hAnsi="Times New Roman"/>
          <w:sz w:val="17"/>
          <w:szCs w:val="17"/>
          <w:color w:val="auto"/>
        </w:rPr>
        <w:t>, on the condensed consolidated statements of operations. These amounts exclude certain general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provided by third-party vendors directly for our benefit, which were reimbursed to NantWorks based on those vendors’ invoiced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without markup by NantWorks.</w:t>
      </w:r>
    </w:p>
    <w:p>
      <w:pPr>
        <w:spacing w:after="0" w:line="207" w:lineRule="exact"/>
        <w:rPr>
          <w:sz w:val="20"/>
          <w:szCs w:val="20"/>
          <w:color w:val="auto"/>
        </w:rPr>
      </w:pPr>
    </w:p>
    <w:p>
      <w:pPr>
        <w:ind w:right="500" w:firstLine="648"/>
        <w:spacing w:after="0" w:line="281" w:lineRule="auto"/>
        <w:rPr>
          <w:sz w:val="20"/>
          <w:szCs w:val="20"/>
          <w:color w:val="auto"/>
        </w:rPr>
      </w:pPr>
      <w:r>
        <w:rPr>
          <w:rFonts w:ascii="Times New Roman" w:cs="Times New Roman" w:eastAsia="Times New Roman" w:hAnsi="Times New Roman"/>
          <w:sz w:val="17"/>
          <w:szCs w:val="17"/>
          <w:color w:val="auto"/>
        </w:rPr>
        <w:t xml:space="preserve">As of June 30, 2024 and December 31, 2023, we had a receivable of $0.9 million and $0.5 million, respectively, for all agreements with NantWorks, which are included in </w:t>
      </w:r>
      <w:r>
        <w:rPr>
          <w:rFonts w:ascii="Times New Roman" w:cs="Times New Roman" w:eastAsia="Times New Roman" w:hAnsi="Times New Roman"/>
          <w:sz w:val="17"/>
          <w:szCs w:val="17"/>
          <w:i w:val="1"/>
          <w:iCs w:val="1"/>
          <w:color w:val="auto"/>
        </w:rPr>
        <w:t>due from/due to related parties,</w:t>
      </w:r>
      <w:r>
        <w:rPr>
          <w:rFonts w:ascii="Times New Roman" w:cs="Times New Roman" w:eastAsia="Times New Roman" w:hAnsi="Times New Roman"/>
          <w:sz w:val="17"/>
          <w:szCs w:val="17"/>
          <w:color w:val="auto"/>
        </w:rPr>
        <w:t xml:space="preserve"> on the condensed consolidated balance sheets. We also recorded $1.6 million and $1.0 million of prepaid expenses for various services that we expect will be passed through to the company from NantWorks as of June 30, 2024 and December 31, 2023, respectively, which are included in </w:t>
      </w:r>
      <w:r>
        <w:rPr>
          <w:rFonts w:ascii="Times New Roman" w:cs="Times New Roman" w:eastAsia="Times New Roman" w:hAnsi="Times New Roman"/>
          <w:sz w:val="17"/>
          <w:szCs w:val="17"/>
          <w:i w:val="1"/>
          <w:iCs w:val="1"/>
          <w:color w:val="auto"/>
        </w:rPr>
        <w:t>prepaid expenses and other current assets</w:t>
      </w:r>
      <w:r>
        <w:rPr>
          <w:rFonts w:ascii="Times New Roman" w:cs="Times New Roman" w:eastAsia="Times New Roman" w:hAnsi="Times New Roman"/>
          <w:sz w:val="17"/>
          <w:szCs w:val="17"/>
          <w:color w:val="auto"/>
        </w:rPr>
        <w:t>, on the condensed consolidated balance sheets.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License Agreement</w:t>
      </w:r>
    </w:p>
    <w:p>
      <w:pPr>
        <w:spacing w:after="0" w:line="1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2015, we entered into a facility license agreement with NantWorks for approximately 9,500 rentable square feet of office space in Culver City, California, which was converted to a research and development laboratory and a cGMP manufacturing facility. In 2020, we amended this agreement to extend the term of this license agreement through December 31, 2021. Commencing on January 1, 2022, the license fee increased by 3% to approximately $56,120 per month.</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May 6, 2022, we amended our facility license agreement with NantWorks to expand the licensed premises by 36,830 rentable square feet to an aggregate total of 46,330 rentable square feet. Effective May 1, 2022, the license fee is approximately $273,700 per month, which is subject to a</w:t>
      </w:r>
    </w:p>
    <w:p>
      <w:pPr>
        <w:ind w:right="140"/>
        <w:spacing w:after="0" w:line="250" w:lineRule="auto"/>
        <w:rPr>
          <w:sz w:val="20"/>
          <w:szCs w:val="20"/>
          <w:color w:val="auto"/>
        </w:rPr>
      </w:pPr>
      <w:r>
        <w:rPr>
          <w:rFonts w:ascii="Times New Roman" w:cs="Times New Roman" w:eastAsia="Times New Roman" w:hAnsi="Times New Roman"/>
          <w:sz w:val="18"/>
          <w:szCs w:val="18"/>
          <w:color w:val="auto"/>
        </w:rPr>
        <w:t>3% increase commencing on January 1 of each year. The space continues to be rented on a month-to-month basis, which can be terminated by either party with at least 30 days’ prior written notice to the other party. We recorded license fee expense for this facility totaling $0.9 million during the</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xml:space="preserve">three months ended June 30, 2024 and 2023 and $1.7 million during the six months ended June 30, 2024 and 2023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 Inc.</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multiple agreements with the Clinic to conduct clinical trials related to certain of our product candidates. The Clinic is a related party as it is owned by an officer of the company and NantWorks manages the administrative operations of the Clinic.</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2021, we completed a review of alternative structures that could support our more complex clinical trial requirements and made a decision to explore a potential transition of clinical trials at the Clinic to a new structure (including contracting with a new, non-affiliated professional corporation) to be determined and agreed upon by all parties. We continue discussions with potential partners around alternative structures.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Related to clinical trial and transition services provided by the Clinic, we recorded $0.9 million and $0.8 million during the three months ended June 30, 2024 and 2023, respectively, and $1.4 million during the six months ended June 30, 2024 and 2023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statements of operations. As of June 30, 2024 and December 31, 2023, we owed the Clinic $0.1 million, which are included in </w:t>
      </w:r>
      <w:r>
        <w:rPr>
          <w:rFonts w:ascii="Times New Roman" w:cs="Times New Roman" w:eastAsia="Times New Roman" w:hAnsi="Times New Roman"/>
          <w:sz w:val="18"/>
          <w:szCs w:val="18"/>
          <w:i w:val="1"/>
          <w:i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related parties, </w:t>
      </w:r>
      <w:r>
        <w:rPr>
          <w:rFonts w:ascii="Times New Roman" w:cs="Times New Roman" w:eastAsia="Times New Roman" w:hAnsi="Times New Roman"/>
          <w:sz w:val="18"/>
          <w:szCs w:val="18"/>
          <w:color w:val="auto"/>
        </w:rPr>
        <w:t>on the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NantBio, Inc.</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August 2018, we entered into a supply agreement with NCSC, a 100% owned subsidiary of NantBio. Under this agreement, we agreed to supply VivaBioCell’s proprietary GMP-in-a-Box bioreactors and related consumables, made according to specifications mutually agreed to with both companies. The agreement has an initial term of five years and renews automatically for successive one-year terms unless terminated by either party in the event of material default upon prior written notice of such default and the failure of the defaulting party to remedy the default within 30 days of the delivery of such notice, or upon 90 days’ prior written notice by NCSC.</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2024 and 2023, we recognized no revenue. As of June 30, 2024 and December 31, 2023, we recorded $0.1 million of deferred revenue for bioreactors that were delivered but not installed in </w:t>
      </w:r>
      <w:r>
        <w:rPr>
          <w:rFonts w:ascii="Times New Roman" w:cs="Times New Roman" w:eastAsia="Times New Roman" w:hAnsi="Times New Roman"/>
          <w:sz w:val="18"/>
          <w:szCs w:val="18"/>
          <w:i w:val="1"/>
          <w:iCs w:val="1"/>
          <w:color w:val="auto"/>
        </w:rPr>
        <w:t>accrued expenses and other liabilities</w:t>
      </w:r>
      <w:r>
        <w:rPr>
          <w:rFonts w:ascii="Times New Roman" w:cs="Times New Roman" w:eastAsia="Times New Roman" w:hAnsi="Times New Roman"/>
          <w:sz w:val="18"/>
          <w:szCs w:val="18"/>
          <w:color w:val="auto"/>
        </w:rPr>
        <w:t xml:space="preserve">, on the condensed consolidated balance sheets. As of December 31, 2023, we recorded a payable of $0.9 million in </w:t>
      </w:r>
      <w:r>
        <w:rPr>
          <w:rFonts w:ascii="Times New Roman" w:cs="Times New Roman" w:eastAsia="Times New Roman" w:hAnsi="Times New Roman"/>
          <w:sz w:val="18"/>
          <w:szCs w:val="18"/>
          <w:i w:val="1"/>
          <w:iCs w:val="1"/>
          <w:color w:val="auto"/>
        </w:rPr>
        <w:t>due to related parties</w:t>
      </w:r>
      <w:r>
        <w:rPr>
          <w:rFonts w:ascii="Times New Roman" w:cs="Times New Roman" w:eastAsia="Times New Roman" w:hAnsi="Times New Roman"/>
          <w:sz w:val="18"/>
          <w:szCs w:val="18"/>
          <w:color w:val="auto"/>
        </w:rPr>
        <w:t>, on the condensed consolidated balance sheets related to this agreement. The payable was settled as of June 30, 2024.</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2018, we entered into a shared service agreement pursuant to which we are charged for services at cost, without mark-up or profit by NantBio, but including reasonable allocations of employee benefits that relate to the employees providing the services. In April 2019, we agreed with NantBio to transfer certain NantBio employees and associated research and development projects to the company. As of December 31, 2023, we recorded a receivable of $1.3 million in </w:t>
      </w:r>
      <w:r>
        <w:rPr>
          <w:rFonts w:ascii="Times New Roman" w:cs="Times New Roman" w:eastAsia="Times New Roman" w:hAnsi="Times New Roman"/>
          <w:sz w:val="18"/>
          <w:szCs w:val="18"/>
          <w:i w:val="1"/>
          <w:iCs w:val="1"/>
          <w:color w:val="auto"/>
        </w:rPr>
        <w:t>due from related parties</w:t>
      </w:r>
      <w:r>
        <w:rPr>
          <w:rFonts w:ascii="Times New Roman" w:cs="Times New Roman" w:eastAsia="Times New Roman" w:hAnsi="Times New Roman"/>
          <w:sz w:val="18"/>
          <w:szCs w:val="18"/>
          <w:color w:val="auto"/>
        </w:rPr>
        <w:t xml:space="preserve"> on the condensed consolidated balance sheets for amounts we paid on behalf of NantBio during the year ended December 31, 2019. The receivable was settled as of June 30,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605 Doug St, LLC</w:t>
      </w:r>
    </w:p>
    <w:p>
      <w:pPr>
        <w:spacing w:after="0" w:line="121"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 xml:space="preserve">In September 2016, we entered into a lease agreement with 605 Doug St, LLC, an entity owned by our Executive Chairman and Global Chief Scientific and Medical Officer, for approximately 24,250 rentable square feet in El Segundo, California, which has been converted to a research and development laboratory and a cGMP manufacturing facility. The lease term was from July 2016 through July 2023. In June 2023, we exercised the option to extend the lease for one additional three-year term through July 2026. The base rent is approximately $72,385 per month, with annual increases of 3% that began in July 2017. We recorded lease expense for this facility of $0.2 million during the three months ended June 30, 2024 and 2023, and $0.4 million during the six months ended June 30, 2024 and 2023 in </w:t>
      </w:r>
      <w:r>
        <w:rPr>
          <w:rFonts w:ascii="Times New Roman" w:cs="Times New Roman" w:eastAsia="Times New Roman" w:hAnsi="Times New Roman"/>
          <w:sz w:val="17"/>
          <w:szCs w:val="17"/>
          <w:i w:val="1"/>
          <w:iCs w:val="1"/>
          <w:color w:val="auto"/>
        </w:rPr>
        <w:t>research and development expense</w:t>
      </w:r>
      <w:r>
        <w:rPr>
          <w:rFonts w:ascii="Times New Roman" w:cs="Times New Roman" w:eastAsia="Times New Roman" w:hAnsi="Times New Roman"/>
          <w:sz w:val="17"/>
          <w:szCs w:val="17"/>
          <w:color w:val="auto"/>
        </w:rPr>
        <w:t>, on the condensed consolidated statements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Duley Road, LLC</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February 2017, we entered into a lease agreement with Duley Road, a related party that is indirectly controlled by our Executive Chairman and Global Chief Scientific and Medical Officer, for approximately 11,980 rentable square feet of office and cGMP manufacturing facility space in El Segundo, California. The lease term is from February 2017 through October 2024. We have the option to extend the initial term for two consecutive five-year periods through October 2034. The base rent is approximately $40,700 per month, with annual increases of 3%. Effective October 3, 2023, we exercised the first option to extend the lease for one additional five-year term through October 31, 2029.</w:t>
      </w:r>
    </w:p>
    <w:p>
      <w:pPr>
        <w:spacing w:after="0" w:line="18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Effective in January 2019, we entered into two lease agreements with Duley Road for a second building located in El Segundo, California. The first lease is for the first floor of the building with approximately 5,650 rentable square feet. The lease has a seven-year term commencing in September 2019. The second lease is for the second floor of the building with approximately 6,488 rentable square feet. The lease has a seven-year term commencing in July 2019. Both floors of the building are used for research and development and office space. We have options to extend the initial terms of both leases for two consecutive five-year periods through 2036. The base rent for the two leases is approximately $35,800 per month, with annual increases of 3%.</w:t>
      </w:r>
    </w:p>
    <w:p>
      <w:pPr>
        <w:spacing w:after="0" w:line="18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June 30, 2024 and 2023, we recorded rent expense for these leases totaling $0.2 million in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expense</w:t>
      </w:r>
      <w:r>
        <w:rPr>
          <w:rFonts w:ascii="Times New Roman" w:cs="Times New Roman" w:eastAsia="Times New Roman" w:hAnsi="Times New Roman"/>
          <w:sz w:val="18"/>
          <w:szCs w:val="18"/>
          <w:color w:val="auto"/>
        </w:rPr>
        <w:t>, on the condensed consolidated statements of operations. During the six months ended June 30, 2024 and 2023, we recorded 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 for these leases totaling $0.5 million and $0.4 million,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statements of operations. As of June 30, 2024 and December 31, 2023, we recorded $0.1 million of lease-related payables to Duley Road in </w:t>
      </w:r>
      <w:r>
        <w:rPr>
          <w:rFonts w:ascii="Times New Roman" w:cs="Times New Roman" w:eastAsia="Times New Roman" w:hAnsi="Times New Roman"/>
          <w:sz w:val="18"/>
          <w:szCs w:val="18"/>
          <w:i w:val="1"/>
          <w:iCs w:val="1"/>
          <w:color w:val="auto"/>
        </w:rPr>
        <w:t>due to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on the condensed consolidated balance sheets.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605 Nash, LLC</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February 2021, but effective on January 1, 2021, we entered into a lease agreement with 605 Nash, a related party, whereby we leased approximately 6,883 rentable square feet (the Initial Premises) in a two-story mixed-use building containing approximately 64,643 rentable square feet at 605-607 Nash Street in El Segundo, California. This facility is used primarily for pharmaceutical development and manufacturing purposes. The lease term commenced in January 2021 and expires in December 2027, and includes an option to extend the lease for one three-year term through December 2030. The base rent is approximately $20,300 per month with an annual increase of 3% on January 1 of each year during the initial term and, if applicable, during the option term. In addition, under the agreement, we are required to pay our share of estimated property taxes and operating expenses.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May 2021, but effective on April 1, 2021, we entered into an amendment to our Initial Premises lease with 605 Nash. The amendment expanded the leased square feet by approximately 57,760 rentable square feet (the Expansion Premises). The lease term of the Expansion Premises commenced in April 2021 and expires in March 2028, whereby the company has one option to extend the initial term for three years. Per the terms of the amendment, the term of the Initial Premises lease was extended for an additional three months and now expires on March 31, 2028. Base rent for the Expansion Premises is approximately $170,400 per month with annual increases of 3% on April 1 of each year. We are responsible for the build out of the facility space and associated costs.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recorded rent expense for the Initial and Expansion Premises leases totaling $0.6 million during the three months ended June 30, 2024 and 2023, and $1.1 million during the six months ended June 30, 2024 and 2023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statements of operations. The terms of the initial and amended leases provided for tenant improvement allowances totaling $2.9 million for costs and expenses related to improvements made by us to the Initial and Expansion Premises, which was received from the landlord in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420 Nash, LLC</w:t>
      </w:r>
    </w:p>
    <w:p>
      <w:pPr>
        <w:spacing w:after="0" w:line="12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On September 27, 2021, we entered into a lease agreement with 420 Nash, LLC, a related party, whereby we leased an approximately 19,125 rentable square foot property located at 420 Nash Street, El Segundo, California, to be used primarily for the warehousing and storage of drug manufacturing supplies, products and equipment and ancillary office space.</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lease agreement, the lease term began on October 1, 2021 and expires on September 30, 2026. The base rent is approximately $38,250 per month with an annual increase of 3% on October 1 of each year beginning in 2022 during the initial term. The company is responsible for the payment of real property taxes, repairs and maintenance, improvements, insurance and operating expenses during the term of the lease.</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options to extend the lease term for two additional consecutive periods of five years each. At the beginning of each option term, the initial monthly base rent will be adjusted to market rent (as defined in the lease agreement) with an annual increase of 3% during the option term. We have included the first option to extend the lease term for five years as part of the initial term of the lease as it is reasonably certain that we will exercise the option, which implies lease expiration in September 2031. We recorded rent expense of $0.2 million for this lease during the three months ended</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 xml:space="preserve">June 30, 2024 and 2023, and $0.3 million during the six months ended June 30, 2024 and 2023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 Alaska, LLC</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May 6, 2022, we entered into a lease agreement with 23 Alaska, LLC, a related party, for a 47,265 rentable square foot facility located at 2335 Alaska Ave., El Segundo, California, to be used primarily for pharmaceutical development and manufacturing, research and development, and office space.</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the lease term began on May 1, 2022 and was to expire on April 30, 2027. The base rent was approximately $139,400 per month with an annual increase of 3% on May 1 of each year beginning in 2023 during the initial term. We were also required to pay $7,600 per month for parking during the initial term. The company was responsible for the payment of real property taxes, repairs and maintenance, improvements, insurance, and operating expenses during the term of the lease.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Effective August 31, 2023, we executed a lease termination agreement with the lessor under which we received a full refund of the security deposit totaling $0.1 million that we paid upon execution of the lease. During the three and six months ended June 30, 2023, we recorded $0.5 million and $0.9 million of rent expense for this lease, respectively, in r</w:t>
      </w:r>
      <w:r>
        <w:rPr>
          <w:rFonts w:ascii="Times New Roman" w:cs="Times New Roman" w:eastAsia="Times New Roman" w:hAnsi="Times New Roman"/>
          <w:sz w:val="18"/>
          <w:szCs w:val="18"/>
          <w:i w:val="1"/>
          <w:iCs w:val="1"/>
          <w:color w:val="auto"/>
        </w:rPr>
        <w:t>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tab/>
        <w:t>Warrant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2022 Warrants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December 12, 2022 RDO, the company issued 9,090,909 warrants with an exercise price of $6.60 per share. These warrants were classified as a liability at their fair value upon issuance. The warrants became immediately exercisable on December 12, 2022 and expire on December 12,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Warrants</w:t>
      </w:r>
    </w:p>
    <w:p>
      <w:pPr>
        <w:spacing w:after="0" w:line="1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February 15, 2023 RDO, the company issued 14,072,615 warrants with an amended exercise price of $3.2946 per share. These warrants were classified as a liability at their fair value upon issuance. The warrants became immediately exercisable on February 15, 2023 and expire on July 24,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Warrants</w:t>
      </w:r>
    </w:p>
    <w:p>
      <w:pPr>
        <w:spacing w:after="0" w:line="11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July 20, 2023 RDO, the company issued 14,569,296 warrants with an exercise price of $3.2946 per share. These warrants were classified as a liability at their fair value upon issuance. These warrants became immediately exercisable on July 25, 2023 and expire on July 24,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 in carrying amount of warrant liabilities measured at fair value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2022</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February 2023</w:t>
            </w:r>
          </w:p>
        </w:tc>
        <w:tc>
          <w:tcPr>
            <w:tcW w:w="220" w:type="dxa"/>
            <w:vAlign w:val="bottom"/>
          </w:tcPr>
          <w:p>
            <w:pPr>
              <w:spacing w:after="0"/>
              <w:rPr>
                <w:sz w:val="13"/>
                <w:szCs w:val="13"/>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July 2023</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51,721</w:t>
            </w:r>
          </w:p>
        </w:tc>
        <w:tc>
          <w:tcPr>
            <w:tcW w:w="0" w:type="dxa"/>
            <w:vAlign w:val="bottom"/>
          </w:tcPr>
          <w:p>
            <w:pPr>
              <w:spacing w:after="0"/>
              <w:rPr>
                <w:sz w:val="1"/>
                <w:szCs w:val="1"/>
                <w:color w:val="auto"/>
              </w:rPr>
            </w:pPr>
          </w:p>
        </w:tc>
      </w:tr>
      <w:tr>
        <w:trPr>
          <w:trHeight w:val="23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exercises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March 31, 2024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exercises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June 30, 2024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warrant exercise activity during the six months ended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2022</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2023</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July 2023</w:t>
            </w:r>
          </w:p>
        </w:tc>
      </w:tr>
      <w:tr>
        <w:trPr>
          <w:trHeight w:val="190"/>
        </w:trPr>
        <w:tc>
          <w:tcPr>
            <w:tcW w:w="4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3"/>
        </w:trPr>
        <w:tc>
          <w:tcPr>
            <w:tcW w:w="4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37,732,820</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9,090,909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14,072,615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14,569,296</w:t>
            </w:r>
          </w:p>
        </w:tc>
        <w:tc>
          <w:tcPr>
            <w:tcW w:w="20" w:type="dxa"/>
            <w:vAlign w:val="bottom"/>
          </w:tcPr>
          <w:p>
            <w:pPr>
              <w:spacing w:after="0"/>
              <w:rPr>
                <w:sz w:val="22"/>
                <w:szCs w:val="22"/>
                <w:color w:val="auto"/>
              </w:rPr>
            </w:pPr>
          </w:p>
        </w:tc>
      </w:tr>
      <w:tr>
        <w:trPr>
          <w:trHeight w:val="25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Warrant exercises</w:t>
            </w:r>
          </w:p>
        </w:tc>
        <w:tc>
          <w:tcPr>
            <w:tcW w:w="13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(4,284,648)</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(4,284,648)</w:t>
            </w:r>
          </w:p>
        </w:tc>
        <w:tc>
          <w:tcPr>
            <w:tcW w:w="20" w:type="dxa"/>
            <w:vAlign w:val="bottom"/>
          </w:tcPr>
          <w:p>
            <w:pPr>
              <w:spacing w:after="0"/>
              <w:rPr>
                <w:sz w:val="21"/>
                <w:szCs w:val="21"/>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at March 31, 2024</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33,448,172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9,090,909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14,072,615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10,284,648</w:t>
            </w:r>
          </w:p>
        </w:tc>
        <w:tc>
          <w:tcPr>
            <w:tcW w:w="20" w:type="dxa"/>
            <w:vAlign w:val="bottom"/>
          </w:tcPr>
          <w:p>
            <w:pPr>
              <w:spacing w:after="0"/>
              <w:rPr>
                <w:sz w:val="22"/>
                <w:szCs w:val="22"/>
                <w:color w:val="auto"/>
              </w:rPr>
            </w:pPr>
          </w:p>
        </w:tc>
      </w:tr>
      <w:tr>
        <w:trPr>
          <w:trHeight w:val="25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Warrant exercises</w:t>
            </w:r>
          </w:p>
        </w:tc>
        <w:tc>
          <w:tcPr>
            <w:tcW w:w="13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(13,217,843)</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(6,517,843)</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(6,700,000)</w:t>
            </w:r>
          </w:p>
        </w:tc>
        <w:tc>
          <w:tcPr>
            <w:tcW w:w="20" w:type="dxa"/>
            <w:vAlign w:val="bottom"/>
          </w:tcPr>
          <w:p>
            <w:pPr>
              <w:spacing w:after="0"/>
              <w:rPr>
                <w:sz w:val="21"/>
                <w:szCs w:val="2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at June 30, 2024</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20,230,329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9,090,909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7,554,772</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3,584,648</w:t>
            </w:r>
          </w:p>
        </w:tc>
        <w:tc>
          <w:tcPr>
            <w:tcW w:w="20" w:type="dxa"/>
            <w:vAlign w:val="bottom"/>
          </w:tcPr>
          <w:p>
            <w:pPr>
              <w:spacing w:after="0"/>
              <w:rPr>
                <w:sz w:val="23"/>
                <w:szCs w:val="23"/>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4380" w:type="dxa"/>
            <w:vAlign w:val="bottom"/>
          </w:tcPr>
          <w:p>
            <w:pPr>
              <w:spacing w:after="0"/>
              <w:rPr>
                <w:sz w:val="24"/>
                <w:szCs w:val="24"/>
                <w:color w:val="auto"/>
              </w:rPr>
            </w:pPr>
          </w:p>
        </w:tc>
        <w:tc>
          <w:tcPr>
            <w:tcW w:w="2620" w:type="dxa"/>
            <w:vAlign w:val="bottom"/>
            <w:gridSpan w:val="2"/>
          </w:tcPr>
          <w:p>
            <w:pPr>
              <w:jc w:val="right"/>
              <w:ind w:right="119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Valuation Assumptions</w:t>
      </w:r>
    </w:p>
    <w:p>
      <w:pPr>
        <w:spacing w:after="0" w:line="121"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warrants was computed using the Black-Scholes option pricing model with the following unobservable assumptions at the following dates: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2022 Warrants</w:t>
            </w:r>
          </w:p>
        </w:tc>
        <w:tc>
          <w:tcPr>
            <w:tcW w:w="2900" w:type="dxa"/>
            <w:vAlign w:val="bottom"/>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February and July 2023 Warrants</w:t>
            </w:r>
          </w:p>
        </w:tc>
      </w:tr>
      <w:tr>
        <w:trPr>
          <w:trHeight w:val="23"/>
        </w:trPr>
        <w:tc>
          <w:tcPr>
            <w:tcW w:w="5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131"/>
        </w:trPr>
        <w:tc>
          <w:tcPr>
            <w:tcW w:w="5300" w:type="dxa"/>
            <w:vAlign w:val="bottom"/>
          </w:tcPr>
          <w:p>
            <w:pPr>
              <w:spacing w:after="0"/>
              <w:rPr>
                <w:sz w:val="11"/>
                <w:szCs w:val="11"/>
                <w:color w:val="auto"/>
              </w:rPr>
            </w:pPr>
          </w:p>
        </w:tc>
        <w:tc>
          <w:tcPr>
            <w:tcW w:w="150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50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tcBorders>
              <w:top w:val="single" w:sz="8" w:color="auto"/>
            </w:tcBorders>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53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53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4"/>
        </w:trPr>
        <w:tc>
          <w:tcPr>
            <w:tcW w:w="5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5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0.5 years</w:t>
            </w:r>
          </w:p>
        </w:tc>
        <w:tc>
          <w:tcPr>
            <w:tcW w:w="15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 year</w:t>
            </w:r>
          </w:p>
        </w:tc>
        <w:tc>
          <w:tcPr>
            <w:tcW w:w="15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2.1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years</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average volatility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107.3 %</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9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expected term is the time remaining until the expiration of the warrants. The expected average volatility was estimated based on the historical and implied volatility of our common stock. The expected dividend yield was based on our expectation of not paying dividends for the foreseeable future. The risk-free interest rate was based on the U.S. Treasury’s rates for U.S. Treasury zero-coupon bonds with maturities similar to those of the expected term of the award being valued.</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21"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no shares of our common stock were repurchased under the company’s 2015 Share Repurchase Program. As of June 30, 2024, $18.3 million remained authorized to use for share repurchases under the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February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As of June 30, 2024, we had $565.6 million available for use under the shelf.</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April 2024, we filed a shelf registration statement with the SEC on Form S-3 pursuant to which we may, from time to time, sell up to an indeterminate amount of our common stock, preferred stock, debt securities, depositary shares, warrants, subscription rights, purchase contracts, or units. On May 2, 2024, the registration statement was declared effective by the SEC.</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Amounts available for use as of June 30, 2024 under these shelf registration statements are in addition to the amount available under the ATM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April 2021, we entered into the ATM under which we may offer and sell, from time to time at our sole discretion, shares of our common stock through our sales agent. We pay our sales agent a commission of up to 3.0% of the gross sales proceeds of any shares of our common stock sold through them under the ATM, and also have provided them with customary indemnification and contribution rights.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In April 2024, the company filed a shelf registration statement and associated prospectus that increased the amount available under the ATM by $92.0 million. During the three and six months ended June 30, 2024 and 2023, we received net proceeds totaling $3.6 million and $13.6 million, respectively, from the issuance of shares under the ATM. As of June 30, 2024, we had $296.5 million available for future stock issuances under the ATM.</w:t>
      </w:r>
    </w:p>
    <w:p>
      <w:pPr>
        <w:spacing w:after="0" w:line="15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not obligated to sell any shares and may at any time suspend solicitation and offers under the ATM. The ATM may be terminated by us at any time given written notice to the sales agent for any reason or by the sales agent at any time by giving written notice to us for any reason or immediately under certain circumstances and shall automatically terminate upon the issuance and sale of all of the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and Option Agreement</w:t>
      </w:r>
    </w:p>
    <w:p>
      <w:pPr>
        <w:spacing w:after="0" w:line="12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On December 29, 2023 and in connection with the RIPA, we entered into an SPOA with Oberland. Under this agreement, Oberland had an option to purchase up to $10.0 million of our common stock, at a price per share to be determined by reference to the 30-day trailing volume weighted-average price of our common stock, calculated from the date of exercise. The option is exercisable by Oberland at any time until the earliest of</w:t>
      </w:r>
    </w:p>
    <w:p>
      <w:pPr>
        <w:spacing w:after="0" w:line="1" w:lineRule="exact"/>
        <w:rPr>
          <w:sz w:val="20"/>
          <w:szCs w:val="20"/>
          <w:color w:val="auto"/>
        </w:rPr>
      </w:pPr>
    </w:p>
    <w:p>
      <w:pPr>
        <w:ind w:right="420" w:firstLine="8"/>
        <w:spacing w:after="0" w:line="255"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SPOA, in April 2024 Oberland exercised its option to purchase 858,990 shares of our common stock at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$5.8208 per share generating net proceeds of approximately $4.9 million. Following such exercise, approximately $5.0 million remains available for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under the SPOA.</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the company’s 2024 Annual Meeting of Stockholders held on June 11, 2024, our stockholders approved an amendment to increase the number of shares of common stock authorized for issuance under the 2015 Plan by 19.9 million shares. As of June 30, 2024, approximately 25.9 million shares were available for future grants under the 2015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stock-based compensation included on the condensed consolidated statements of operations (in thousands):</w:t>
      </w:r>
    </w:p>
    <w:p>
      <w:pPr>
        <w:sectPr>
          <w:pgSz w:w="11900" w:h="16838" w:orient="portrait"/>
          <w:cols w:equalWidth="0" w:num="1">
            <w:col w:w="11240"/>
          </w:cols>
          <w:pgMar w:left="320" w:top="121" w:right="339" w:bottom="1440" w:gutter="0" w:footer="0" w:header="0"/>
        </w:sectPr>
      </w:pPr>
    </w:p>
    <w:p>
      <w:pPr>
        <w:spacing w:after="0" w:line="27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30480</wp:posOffset>
            </wp:positionV>
            <wp:extent cx="17056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1" w:lineRule="exact"/>
        <w:rPr>
          <w:sz w:val="20"/>
          <w:szCs w:val="20"/>
          <w:color w:val="auto"/>
        </w:rPr>
      </w:pPr>
    </w:p>
    <w:p>
      <w:pPr>
        <w:ind w:left="6220"/>
        <w:spacing w:after="0"/>
        <w:tabs>
          <w:tab w:leader="none" w:pos="7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33655</wp:posOffset>
            </wp:positionV>
            <wp:extent cx="17056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711517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33655</wp:posOffset>
            </wp:positionV>
            <wp:extent cx="17056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30480</wp:posOffset>
            </wp:positionV>
            <wp:extent cx="1714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33655</wp:posOffset>
            </wp:positionV>
            <wp:extent cx="1714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RSUs</w:t>
            </w:r>
          </w:p>
        </w:tc>
        <w:tc>
          <w:tcPr>
            <w:tcW w:w="8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 operating expenses: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5300" w:type="dxa"/>
        <w:tblCellMar>
          <w:top w:w="0" w:type="dxa"/>
          <w:left w:w="0" w:type="dxa"/>
          <w:bottom w:w="0" w:type="dxa"/>
          <w:right w:w="0" w:type="dxa"/>
        </w:tblCellMar>
      </w:tblPr>
      <w:tr>
        <w:trPr>
          <w:trHeight w:val="189"/>
        </w:trPr>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9"/>
        </w:trPr>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1520" w:type="dxa"/>
            <w:vAlign w:val="bottom"/>
            <w:gridSpan w:val="2"/>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p>
      <w:pPr>
        <w:spacing w:after="0" w:line="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p>
      <w:pPr>
        <w:spacing w:after="0" w:line="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Contractual</w:t>
      </w:r>
    </w:p>
    <w:p>
      <w:pPr>
        <w:spacing w:after="0" w:line="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Life</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41275</wp:posOffset>
            </wp:positionV>
            <wp:extent cx="8915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9720" w:space="440"/>
            <w:col w:w="108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9,820,435</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6,046</w:t>
            </w:r>
          </w:p>
        </w:tc>
        <w:tc>
          <w:tcPr>
            <w:tcW w:w="12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6,336,675</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(146,199)</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(296,425)</w:t>
            </w:r>
          </w:p>
        </w:tc>
        <w:tc>
          <w:tcPr>
            <w:tcW w:w="620" w:type="dxa"/>
            <w:vAlign w:val="bottom"/>
            <w:tcBorders>
              <w:bottom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5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15,714,486</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17,740</w:t>
            </w:r>
          </w:p>
        </w:tc>
        <w:tc>
          <w:tcPr>
            <w:tcW w:w="12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2024</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0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8,241,296</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10,787</w:t>
            </w: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unrecognized compensation cost related to outstanding stock options was $28.7 million, which is expected to be recognized over a remaining weighted-average period of 2.2 years.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total intrinsic value of stock options exercised was $0.6 million. During the six months ended June 30, 2024 and 2023, cash proceeds received from stock option exercises were $0.4 million and $0.3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a total of 5,867,252 vested and exercisable shares were outstanding.</w:t>
      </w:r>
    </w:p>
    <w:p>
      <w:pPr>
        <w:spacing w:after="0" w:line="22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issued was estimated at the date of grant using the Black-Scholes option pricing model with the following weighted-average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7"/>
        </w:trPr>
        <w:tc>
          <w:tcPr>
            <w:tcW w:w="958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95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95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40"/>
        </w:trPr>
        <w:tc>
          <w:tcPr>
            <w:tcW w:w="95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years</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116.8 %</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bl>
    <w:p>
      <w:pPr>
        <w:spacing w:after="0" w:line="27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expected term was estimated using the average of the contractual term and the weighted-average vesting term of the options. The risk-free interest rate was based on the U.S. Treasury’s rates for U.S. Treasury zero-coupon bonds with maturities similar to those of the expected term of the award being valued. The expected volatility was estimated based on the historical volatility of our common stock. The expected dividend yield was based on our expectation of not paying dividends for the foreseeable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six months ended June 30, 2024:</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8100" w:type="dxa"/>
            <w:vAlign w:val="bottom"/>
          </w:tcPr>
          <w:p>
            <w:pPr>
              <w:spacing w:after="0"/>
              <w:rPr>
                <w:sz w:val="16"/>
                <w:szCs w:val="16"/>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8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7,503,979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2,476,299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(3,191,734)</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(344,348)</w:t>
            </w:r>
          </w:p>
        </w:tc>
        <w:tc>
          <w:tcPr>
            <w:tcW w:w="3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6,444,196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7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there was $36.8 million of unrecognized stock-based compensation expense related to RSUs that is expected to be recognized over a weighted-average period of 2.1 years. During the six months ended June 30, 2024, the total intrinsic value of RSUs vested was $11.6 million.</w:t>
      </w:r>
    </w:p>
    <w:p>
      <w:pPr>
        <w:spacing w:after="0" w:line="17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RSUs awarded to employees and consultants of affiliated companies are accounted for as stock-based compensation in accordance with FASB ASU 2018-07,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xml:space="preserve">, as the compensation was in exchange for continued support or services expected to be provided to the company over the vesting periods under the NantWorks shared services agreement discussed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We have evaluated the associated benefit of these awards to the affiliated companies under common control and determined that the benefit is limited to the retention of their employees. We estimated such benefit at the grant date fair value of $4.0 million. During the six months ended June 30, 2024 and 2023, we recorded $0.1 million and $0.2 million of deemed dividends, respectively,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condensed consolidated balance sheets, with a corresponding credit to stock-based compensation expense.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Warrants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 total of 1,638,000 warrants with an exercise price of $3.24 per warrant were outstanding. The fair value of $18.0 million assigned to the warrants will be recognized in equity upon achievement of a performance-based vesting condition pertaining to building manufacturing capacity to support supply requirements for one of our product candidates.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U.S. federal income tax, as well as income tax in Italy, South Korea, California and other states. From inception through</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June 30, 2024, we have not been required to pay U.S. federal and state income taxes because of current and accumulated NOLs. The company computes its quarterly income tax provision using a forecasted annual effective tax rate and adjusts for any discrete items arising during the quarter. No tax benefit was provided for losses incurred in the U.S., Italy, and South Korea because those losses are offset by a full valuation allowance.</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federal returns for tax years 2020 through 2022 remain open to examination, and our state returns remain subject to examination for tax years 2019 through 2022. The Italian and South Korean returns for tax years 2018 through 2022 remain open to examination. Carryforward attributes that were generated in years where the statute of limitations is closed may still be adjusted upon examination by the IRS or other respective tax authorities. No income tax returns are currently under examination by taxing authorities.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Subsequent to June 30, 2024, institutional holders exercised a total of 4,740,249 warrants pursuant to the February 2023 Warrant agreement at an exercise price of $3.2946 per share resulting in the issuance of 4,740,249 shares of the company’s common stock for proceeds totaling $15.6 million. As of August 12, 2024, a total of 2,814,523 warrants remain outstanding under the February 2023 Warrant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HCW Settlement</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July 13, 2024, we entered into a Settlement Agreement and Release (the “Settlement”) with HCW and Dr. Hing Wong to resolve the claims asserted in the consolidated arbitration and related matters. Under the terms of the Settlement, in part and for no monetary consideration from ImmunityBio, HCW transferred and assigned to ImmunityBio molecules (along with other related assets, including master cell banks, clinical trial protocols, inventory and FDA documents), controlled by HCW that were generated through the use of a TF Platform related to the human TGF-β receptor and TGF-β traps, including, without limitation, HCW9218, HCW9219, HCW9209 and any derivatives thereof or therefrom, including assignment of all patents, know how and all other intellectual property existing as of the Settlement effective date and thereafter that is necessary or reasonably useful for the exploitation of such TGF-β molecules, with the exception that future reasonably useful intellectual property is the subject of a non-exclusive license to ImmunityBio. For indications outside of oncology, ImmunityBio has agreed to grant an exclusive license back to HCW for the transferred intellectual property for TGF-β products, and a non-exclusive license for neoadjuvant ovarian cancer, subject to certain requirements.</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the Settlement provides to ImmunityBio a worldwide, perpetual, irrevocable, fully paid-up, royalty-free, exclusive license to exploit fusion proteins, molecules and/or antibodies created utilizing the TF Platform directed to the receptors of PDL-1, IL-7, IL-12, IL-18, and IL-21, and one additional target to be selected by ImmunityBio within the next six months at its sole discretion, in the oncology field. Furthermore, the Settlement provides additional license terms including, without limitation, a non-exclusive license to ImmunityBio to exploit HCW9201, another fusion protein, and the anti-tissue factor based antibody HCW9101 and the linked resins to manufacture and purify the fusion proteins described above, as well as a right of first refusal for ImmunityBio with respect to any other fusion protein developed by HCW using the TF Platform going forward.</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Settlement, the parties have agreed to mutual, full and complete releases, and the company has agreed to dismiss the consolidated arbitration claims and related matters following HCW’s compliance with the terms of the Settlement.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Settlement does not purport to be complete and is qualified in its entirety by reference to the full text of the Settlement, a copy of which is intended to be filed with the company’s Quarterly Report on Form 10-Q for the period ending September 30, 2024, subject to any potential redactions thereto as appropriate.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description of our business and the condensed consolidated financial statements and related notes thereto Item 1. “Financial Statements” in this Quarterly Report. This Quarterly Report contains forward-looking statements within the meaning of Section 27A of the Securities Act and Section 21E of the Exchange Act that are based on our management’s beliefs and assumptions and on information currently available to our management. Actual results could differ materially from those discussed in or implied by such forward-looking statements. Factors that could cause or contribute to these differences include those discussed below and elsewhere in this Quarterly Report, particularly in Part II,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Except as required by law, we do not undertake any responsibility to update any of these factors or to announce publicly any revisions to any of the forward-looking statements contained in this or any document, whether as a result of new information, future events, or otherwise. Forward-looking statements include, but are not limited to:</w:t>
      </w:r>
    </w:p>
    <w:p>
      <w:pPr>
        <w:spacing w:after="0" w:line="13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our approved product;</w:t>
      </w:r>
    </w:p>
    <w:p>
      <w:pPr>
        <w:spacing w:after="0" w:line="171" w:lineRule="exact"/>
        <w:rPr>
          <w:rFonts w:ascii="Times New Roman" w:cs="Times New Roman" w:eastAsia="Times New Roman" w:hAnsi="Times New Roman"/>
          <w:sz w:val="18"/>
          <w:szCs w:val="18"/>
          <w:b w:val="1"/>
          <w:bCs w:val="1"/>
          <w:color w:val="auto"/>
        </w:rPr>
      </w:pPr>
    </w:p>
    <w:p>
      <w:pPr>
        <w:ind w:left="980" w:right="30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incremental approvals for ANKTIVA for new indications from the FDA or clearances or approvals from international regulatory agencies for the treatment of patients with NMIBC or other indications;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futures uses and applications of ANKTIVA and use in cancer vaccines and across multiple tumor types;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develop next-generation therapies and vaccines that complement, harness, and amplify the immune system to defeat cancers and infectious diseases;</w:t>
      </w:r>
    </w:p>
    <w:p>
      <w:pPr>
        <w:spacing w:after="0" w:line="53" w:lineRule="exact"/>
        <w:rPr>
          <w:rFonts w:ascii="Times New Roman" w:cs="Times New Roman" w:eastAsia="Times New Roman" w:hAnsi="Times New Roman"/>
          <w:sz w:val="18"/>
          <w:szCs w:val="18"/>
          <w:b w:val="1"/>
          <w:bCs w:val="1"/>
          <w:color w:val="auto"/>
        </w:rPr>
      </w:pPr>
    </w:p>
    <w:p>
      <w:pPr>
        <w:ind w:left="980" w:right="68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additional financing to fund our operations and complete the commercialization of our approved product and the development and commercialization of our other product candidates;</w:t>
      </w:r>
    </w:p>
    <w:p>
      <w:pPr>
        <w:spacing w:after="0" w:line="53"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meet our payment obligations under the RIPA and to service the interest on our related-party promissory notes and repay such notes, to the extent required;</w:t>
      </w:r>
    </w:p>
    <w:p>
      <w:pPr>
        <w:spacing w:after="0" w:line="53" w:lineRule="exact"/>
        <w:rPr>
          <w:rFonts w:ascii="Times New Roman" w:cs="Times New Roman" w:eastAsia="Times New Roman" w:hAnsi="Times New Roman"/>
          <w:sz w:val="18"/>
          <w:szCs w:val="18"/>
          <w:b w:val="1"/>
          <w:bCs w:val="1"/>
          <w:color w:val="auto"/>
        </w:rPr>
      </w:pPr>
    </w:p>
    <w:p>
      <w:pPr>
        <w:ind w:left="980" w:right="72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comply with the terms, conditions, covenants, restrictions, and obligations set forth in the RIPA and related transaction documents;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potential benefits of our strategy and technology;</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forecast operating results and make period-to-period comparisons predictive of future performance due to fluctuations in warrant values;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operation and effectiveness of our product candidates and related benefits;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utilize multiple modes to induce cell death;</w:t>
      </w:r>
    </w:p>
    <w:p>
      <w:pPr>
        <w:spacing w:after="0" w:line="11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benefits and perceived limitations of competing approaches, and the future of competing technologies and our industry;</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regarding our strategic vision and planned product candidate pipeline;</w:t>
      </w:r>
    </w:p>
    <w:p>
      <w:pPr>
        <w:spacing w:after="0" w:line="117" w:lineRule="exact"/>
        <w:rPr>
          <w:rFonts w:ascii="Times New Roman" w:cs="Times New Roman" w:eastAsia="Times New Roman" w:hAnsi="Times New Roman"/>
          <w:sz w:val="18"/>
          <w:szCs w:val="18"/>
          <w:b w:val="1"/>
          <w:bCs w:val="1"/>
          <w:color w:val="auto"/>
        </w:rPr>
      </w:pPr>
    </w:p>
    <w:p>
      <w:pPr>
        <w:ind w:left="980" w:right="30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success, cost and timing of our product candidate development activities and current and future clinical trials and studies, including study design and the enrollment of patients;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the development and commercialization of our other product candidates;</w:t>
      </w:r>
    </w:p>
    <w:p>
      <w:pPr>
        <w:spacing w:after="0" w:line="113" w:lineRule="exact"/>
        <w:rPr>
          <w:rFonts w:ascii="Times New Roman" w:cs="Times New Roman" w:eastAsia="Times New Roman" w:hAnsi="Times New Roman"/>
          <w:sz w:val="18"/>
          <w:szCs w:val="18"/>
          <w:b w:val="1"/>
          <w:bCs w:val="1"/>
          <w:color w:val="auto"/>
        </w:rPr>
      </w:pPr>
    </w:p>
    <w:p>
      <w:pPr>
        <w:ind w:left="980" w:right="200" w:hanging="324"/>
        <w:spacing w:after="0" w:line="262" w:lineRule="exact"/>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our ability to utilize the Phase I/II aNK and 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clinical trials data to support the development of our product candidates, including our haNK, taNK,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MSC, and M-ceNK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candidates;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800" w:hanging="324"/>
        <w:spacing w:after="0" w:line="239" w:lineRule="exact"/>
        <w:tabs>
          <w:tab w:leader="none" w:pos="9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expectations regarding the development, application, commercialization, marketing, prospects and use generally of our product candidates, including hAd5 and saRNA constructs, and PD-L1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haNK and M-ceNK;</w:t>
      </w:r>
    </w:p>
    <w:p>
      <w:pPr>
        <w:spacing w:after="0" w:line="62" w:lineRule="exact"/>
        <w:rPr>
          <w:rFonts w:ascii="Times New Roman" w:cs="Times New Roman" w:eastAsia="Times New Roman" w:hAnsi="Times New Roman"/>
          <w:sz w:val="18"/>
          <w:szCs w:val="18"/>
          <w:b w:val="1"/>
          <w:bCs w:val="1"/>
          <w:i w:val="1"/>
          <w:iCs w:val="1"/>
          <w:color w:val="auto"/>
        </w:rPr>
      </w:pPr>
    </w:p>
    <w:p>
      <w:pPr>
        <w:ind w:left="980" w:right="14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timing or likelihood of regulatory filings or other actions and related regulatory authority responses, including any planned IND, BLA or NDA filings or pursuit of accelerated regulatory approval pathways or orphan drug status and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designations;</w:t>
      </w:r>
    </w:p>
    <w:p>
      <w:pPr>
        <w:spacing w:after="0" w:line="53"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implement an integrated discovery ecosystem and the operation of that planned ecosystem, including being able to regularly add neoepitopes and subsequently formulate new product candidates;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strategic collaborators to share our vision and effectively work with us to achieve our goals;</w:t>
      </w:r>
    </w:p>
    <w:p>
      <w:pPr>
        <w:spacing w:after="0" w:line="117"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various third parties to engage in R&amp;D activities involving our product candidates, and our ability to leverage those activities;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attract additional third-party collaborators;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ease of administration associated with our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patient compatibility associated with our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markets for our product candidates and our ability to serve those markets;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timing of enrollment and submission of our clinical trials, and protocols related to such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produce an antibody-cytokine fusion protein, a DNA, RNA, or recombinant protein vaccine, or a cell therapy;</w:t>
      </w:r>
    </w:p>
    <w:p>
      <w:pPr>
        <w:spacing w:after="0" w:line="11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manufacturing and distribution benefits associated with our product candidates, and our third-party CMOs’ abilities to follow cGMP standards to scale up the production of our product candidates;</w:t>
      </w:r>
    </w:p>
    <w:p>
      <w:pPr>
        <w:spacing w:after="0" w:line="12" w:lineRule="exact"/>
        <w:rPr>
          <w:rFonts w:ascii="Times New Roman" w:cs="Times New Roman" w:eastAsia="Times New Roman" w:hAnsi="Times New Roman"/>
          <w:sz w:val="18"/>
          <w:szCs w:val="18"/>
          <w:b w:val="1"/>
          <w:bCs w:val="1"/>
          <w:color w:val="auto"/>
        </w:rPr>
      </w:pPr>
    </w:p>
    <w:p>
      <w:pPr>
        <w:ind w:left="980" w:hanging="324"/>
        <w:spacing w:after="0" w:line="207" w:lineRule="exact"/>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plans regarding our manufacturing facilities and our belief that our manufacturing is capable of being conducted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w:t>
      </w:r>
    </w:p>
    <w:p>
      <w:pPr>
        <w:spacing w:after="0" w:line="157"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in the potential of our antibody-cytokine fusion proteins, DNA, RNA, or recombinant protein vaccines, or cell therapies, and the fact that our business is based upon the success individually and collectively of these platforms;</w:t>
      </w:r>
    </w:p>
    <w:p>
      <w:pPr>
        <w:spacing w:after="0" w:line="53" w:lineRule="exact"/>
        <w:rPr>
          <w:rFonts w:ascii="Times New Roman" w:cs="Times New Roman" w:eastAsia="Times New Roman" w:hAnsi="Times New Roman"/>
          <w:sz w:val="18"/>
          <w:szCs w:val="18"/>
          <w:b w:val="1"/>
          <w:bCs w:val="1"/>
          <w:color w:val="auto"/>
        </w:rPr>
      </w:pPr>
    </w:p>
    <w:p>
      <w:pPr>
        <w:ind w:left="980" w:right="70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regarding the magnitude or duration for additional clinical testing of our antibody-cytokine fusion proteins, DNA, RNA or recombinant protein vaccines, or cell therapies, along with other product candidate families;</w:t>
      </w:r>
    </w:p>
    <w:p>
      <w:pPr>
        <w:spacing w:after="0" w:line="53"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even if we successfully develop and commercialize other specific product candidates, our ability to develop and commercialize our other product candidates either alone or in combination with other therapeutic agents;</w:t>
      </w:r>
    </w:p>
    <w:p>
      <w:pPr>
        <w:spacing w:after="0" w:line="53" w:lineRule="exact"/>
        <w:rPr>
          <w:rFonts w:ascii="Times New Roman" w:cs="Times New Roman" w:eastAsia="Times New Roman" w:hAnsi="Times New Roman"/>
          <w:sz w:val="18"/>
          <w:szCs w:val="18"/>
          <w:b w:val="1"/>
          <w:bCs w:val="1"/>
          <w:i w:val="1"/>
          <w:iCs w:val="1"/>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to maintain regulatory approval of our approved product and to obtain and maintain regulatory approval of any of our other product candidates, and any related restrictions, limitations and/or warnings in the label of any approved product candidate;</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our approved product or any future approved products;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accuracy of our estimates regarding our future revenue, as well as our future operating expenses, capital requirements and needs for additional financing;</w:t>
      </w:r>
    </w:p>
    <w:p>
      <w:pPr>
        <w:spacing w:after="0" w:line="53" w:lineRule="exact"/>
        <w:rPr>
          <w:rFonts w:ascii="Times New Roman" w:cs="Times New Roman" w:eastAsia="Times New Roman" w:hAnsi="Times New Roman"/>
          <w:sz w:val="18"/>
          <w:szCs w:val="18"/>
          <w:b w:val="1"/>
          <w:bCs w:val="1"/>
          <w:color w:val="auto"/>
        </w:rPr>
      </w:pPr>
    </w:p>
    <w:p>
      <w:pPr>
        <w:ind w:left="980" w:right="44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maintain, protect, and enforce patent protection and other proprietary rights for our approved product and our other product candidates and technologies;</w:t>
      </w:r>
    </w:p>
    <w:p>
      <w:pPr>
        <w:spacing w:after="0" w:line="53" w:lineRule="exact"/>
        <w:rPr>
          <w:rFonts w:ascii="Times New Roman" w:cs="Times New Roman" w:eastAsia="Times New Roman" w:hAnsi="Times New Roman"/>
          <w:sz w:val="18"/>
          <w:szCs w:val="18"/>
          <w:b w:val="1"/>
          <w:bCs w:val="1"/>
          <w:color w:val="auto"/>
        </w:rPr>
      </w:pPr>
    </w:p>
    <w:p>
      <w:pPr>
        <w:ind w:left="980" w:right="320" w:hanging="324"/>
        <w:spacing w:after="0" w:line="282" w:lineRule="auto"/>
        <w:tabs>
          <w:tab w:leader="none" w:pos="9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of licenses granted to us and our ability to license additional intellectual property relating to our product, product candidates and technology;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380" w:hanging="324"/>
        <w:spacing w:after="0" w:line="282"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 shutdown, which could adversely affect the U.S. and global economies, and materially and adversely affect our business and/or our future BLA submissions;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on us, if any, if the CVRs held by former Altor stockholders become due and payable in accordance with their terms;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developments in the U.S. and foreign countries.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include statements that are not historical facts and can be identified by terms such as “anticipates,” “believes,” “continues,” “goal,” “could,” “estimates,” “scheduled,” “expects,” “intends,” “may,” “plans,” “potential,” “predicts,” “indicate,” “projects,” “seeks,” “should,” “will,” “would,” “strategy,” and variations of such words or similar expressions. and the negatives of those terms. 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of this Quarterly Report.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Quarterly Report.</w:t>
      </w:r>
    </w:p>
    <w:p>
      <w:pPr>
        <w:spacing w:after="0" w:line="182"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completely and with the understanding that our actual future results may be materially different from what we expect.</w:t>
      </w:r>
    </w:p>
    <w:p>
      <w:pPr>
        <w:spacing w:after="0" w:line="173"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ImmunityBio, NantKwest, ANKTIVA, VesAnktiva, ThAnktiva, NK-92, ceNK, M-ceNK, haNK, taNK, t-haNK, GlobeImmune, Tarmogen, VivaBioCell, Nant001, NantXL, Nant Cancer Vaccine, QUILT, IPRT, Outsmart Your Disease, Smart Therapies for Difficult Diseases, and Nature’s First Responder are trademarks of ImmunityBio, Inc., its subsidiaries, or its affiliates.</w:t>
      </w:r>
    </w:p>
    <w:p>
      <w:pPr>
        <w:spacing w:after="0" w:line="17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product candidates are investigational agents that are restricted by federal law to investigational use only. Safety and efficacy have not been established by any agency, including the FDA.</w:t>
      </w:r>
    </w:p>
    <w:p>
      <w:pPr>
        <w:spacing w:after="0" w:line="158"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contains references to our trademarks and trademarks belonging to other entities. Solely for convenience, trademarks and trade names referred to in this Quarterly Report, including logos, artwork and other visual displays, may appear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Quarterly Report, the terms “ImmunityBio,” “the company,” “we,” “us,” and “our” refer to ImmunityBio,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ImmunityBio is a vertically-integrated biotechnology company developing next-generation therapies and vaccines that bolster the natural immune system to defeat cancers and infectious diseases. The company’s range of immunotherapy and cell therapy platforms, alone and together, act to drive and sustain an immune response with the goal of creating durable and safe protection against disease. We are applying our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platforms and their associated product and product candidates are designed to attack cancer and infectious pathogens by activating both the innate immune system, including—NK cells, dendritic cells, and macrophages, as well as—the adaptive immune system comprising—B and T cells—in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checkpoint inhibitors, and/or reduce the need for standard high-dose chemotherapy in cancer by employing this coordinated approach to establish “immunological memory” that confers long-term benefit for the patient.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proprietary platforms for the development of biologic product candidates include: (i) antibody-cytokine fusion proteins, (ii) DNA, RNA, and recombinant protein vaccines, and (iii) cell therapies. As of June 2024, our platforms have generated nine first-in-human therapeutic agents (including one FDA-approved agent) that are currently or planned to be studied in clinical trials in liquid and solid tumors. Specifically, our clinical focus includes bladder, lung, and colorectal cancers and GBM, which are among the most frequent and lethal cancer types, and where there are high failure rates for existing standards of care or no available effective treatment.</w:t>
      </w:r>
    </w:p>
    <w:p>
      <w:pPr>
        <w:spacing w:after="0" w:line="183"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Our lead biologic product ANKTIVA is a novel first-in-class IL-15 agonist antibody-cytokine fusion protein. On April 22, 2024, the FDA approved our product, ANKTIVA with BCG for the treatment of adult patients with BCG-unresponsive NMIBC with CIS, with or without papillary tumors. Based on ANKTIVA’s unique mechanism of action, we believe it has the potential to play a key role as a backbone for immunotherapy beyond T cells alone across multiple tumor types in the years to come. We began commercial distribution of our approved product in May 2024.</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 late-stage efforts for ANKTIVA are in development within the broader bladder cancer space, including BCG-naïve NMIBC. In addition, data from multiple clinical trials suggest ANKTIVA has potential to enhance the activity of therapeutic mAbs, including checkpoint inhibitors (e.g., pembrolizumab/Keytruda), across a wide range of tumor types. We believe there is potential for ANKTIVA to become a therapeutic foundation across all phases of treatment, including in adjunctive therapy, to amplify, reactivate or extend the efficacy of standard of care. In addition to ANKTIVA, we have active clinical programs evaluating therapeutic candidates from our DNA and RNA vaccine technology platforms and our NK cell-based therapy platforms in oncology and infectious disease indications.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June 2024, our platforms have generated nine first-in-human therapeutic agents (including one FDA-approved agent) that are currently or planned to be studied in 24 clinical trials across 16 indications in liquid and solid tumors, including bladder, lung and colorectal cancers, and GBM. These indications are among the most frequent and lethal cancer types for which there are high failure rates for existing standards of care or, in some cases, no available effective treatment. We are constantly monitoring and prioritizing clinical development based upon the availability of our resources and the efficacy and market developments of our competitors’ products and product candidates, among other factors.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634365</wp:posOffset>
            </wp:positionV>
            <wp:extent cx="5966460" cy="31457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selected significant developments affecting our business that occurred since the filing of our Quarterly Report dated March 31, 2024 with the SEC on May 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Update</w:t>
      </w:r>
    </w:p>
    <w:p>
      <w:pPr>
        <w:spacing w:after="0" w:line="121"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7"/>
          <w:szCs w:val="17"/>
          <w:color w:val="auto"/>
        </w:rPr>
        <w:t>Our approved product became available in May 2024, and we continue making ANKTIVA widely available to patients through both commercial and government insurance programs. Our commercial team continues to execute on key market access initiatives that have resulted in more than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100 million medical lives being covered by medical reimbursement policies that include eligibility for ANKTIVA reimbursement since the therapeutic became available and was added to the National Comprehensive Cancer Network guidelines in May 2024. We anticipate that we will achieve agreements to extend the number of lives covered in the coming months and are currently working with the top insurance plans and academic institutions in the U.S. to increase ANKTIVA accessibility. This availability and reimbursement together have enabled the first patients to begin receiving ANKTIVA within eight weeks of FDA approval and resulted in initial product revenue for the company primarily in the last 30 days of our second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Regulatory Filing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begun the filing process for obtaining regulatory approval for ANKTIVA in the EU and United Kingdom. The filing will include</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30 countries, including 27 in the EU and three in the European Economic Area. We anticipate completing the initial EMA submission in the fourth quarter of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BCG Naïve Trial Global Expansion</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continue to add U.S. sites to the BCG naïve trial (QUILT 2.005) and enroll patients in the study. Further, we have received regulatory approval to begin patient enrollment in QUILT 2.005 in India, and the necessary medicines have been successfully imported into the country for use in the trial. Additionally, we plan to submit an application to the South Africa regulatory authorities in the third quarter of 2024 to initiate the QUILT 2.005 trial in that country.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NSCLC FDA Meeting Results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April 25, 2024, we announced positive overall survival results of ANKTIVA combined with checkpoint inhibitors in NSCLC from the completed QUILT 3.055 trial. In that trial, the median overall survival was almost double that of standard-of-care chemotherapy in second- and third-line NSCLC patients whose cancer did not respond to checkpoint inhibitors, with or without chemotherapy. After a meeting with the FDA in June 2024 to discuss a path to a registration filing for ANKTIVA plus checkpoint inhibitors for this indication, we are preparing additional study information responsive to the FDA’s input on a NSCLC pivotal trial. We plan to have a subsequent meeting with the FDA to discuss the study end points for a potential approval on various timelines.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COVID-19 pandemic continues to present a public health and economic challenge around the world. Through the date of this Quarterly Report, we have not seen a material adverse impact to our business from the pandemic. However, given the continuously evolving nature of the pandemic, we cannot at this time predict the specific extent, duration, or full impact that this pandemic may have on our financial condition and results of operations, including ongoing and planned clinical trials. More specifically, the pandemic may result in prolonged impacts that we cannot predict at this time and we expect that such uncertainties will continue to exist for the foreseeable future.</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monitor the impact of COVID-19 on our business, including our clinical trials, manufacturing facilities and capabilities, and ability to access necessary resources. For a discussion of the risks presented by the COVID-19 pandemic to our results of operations and financial condition, see Part II,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of this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From inception through June 30, 2024, we have generated minimal revenue from non-exclusive license agreements related to our cell lines, the sale of our bioreactors and related consumables, and grant programs. Until April 2024, we had no clinical products approved for commercial sale and thus had not generated any revenue from therapeutic and vaccine product candidates that are or were under development. Now that we have received FDA approval for ANKTIVA, we have begun to generate revenue although we expect it to take some time to generate significant revenue from our approved product and we can provide no assurances when, or if, this will occur. We began commercial distribution of our approved product in May 2024; however, we can provide no assurance with respect to our future revenues, market acceptance, reimbursement from third-party payors, or the profitability of our approved product or any other product candidate for which we may obtain approval. We do not expect additional revenue from our other product candidates unless and until we obtain regulatory approval of and commercialize any of our other product candidates, and we do not know when, or if, this will occur.</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as we seek to expand our business, including in connection with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products. Furthermore, the timing and magnitude of our approved product sales and revenue remain uncertain, and may take a significant amount of time to materialize, if ever.</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and, as of June 30, 2024, we had an accumulated deficit of $3.2 billion. During the six months ended June 30, 2024 and 2023, net losses attributable to ImmunityBio common stockholders were $268.7 million and $254.2 million, respectively. Substantially all of our net losses resulted principally from costs incurred in connection with our ongoing clinical trials and operations, our research and development programs, and from selling, general and administrative costs associated with our operations, including stock-based compensation expense.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June 30, 2024, we had 622 employees. Personnel of related companies who provide corporate, general and administrative, certain research and development, and other support services under our shared services agreement with NantWorks are not included in this number.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Related-Party Agreements, </w:t>
      </w:r>
      <w:r>
        <w:rPr>
          <w:rFonts w:ascii="Times New Roman" w:cs="Times New Roman" w:eastAsia="Times New Roman" w:hAnsi="Times New Roman"/>
          <w:sz w:val="18"/>
          <w:szCs w:val="18"/>
          <w:color w:val="auto"/>
        </w:rPr>
        <w:t>of the “Notes to Unaudited Condensed Consolidated Financial Statements” that appears in Item 1. “Financial Statements”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for more information. In anticipation of the ongoing commercialization of our approved product, we expect to continue to incur significant expenses and increasing operating expenses for the foreseeable future, which may fluctuate significantly from quarter-to-quarter and year-to-year. See “</w:t>
      </w:r>
      <w:r>
        <w:rPr>
          <w:rFonts w:ascii="Times New Roman" w:cs="Times New Roman" w:eastAsia="Times New Roman" w:hAnsi="Times New Roman"/>
          <w:sz w:val="18"/>
          <w:szCs w:val="18"/>
          <w:i w:val="1"/>
          <w:iCs w:val="1"/>
          <w:u w:val="single" w:color="auto"/>
          <w:color w:val="0000FF"/>
        </w:rPr>
        <w:t>—Future Funding Requirements</w:t>
      </w:r>
      <w:r>
        <w:rPr>
          <w:rFonts w:ascii="Times New Roman" w:cs="Times New Roman" w:eastAsia="Times New Roman" w:hAnsi="Times New Roman"/>
          <w:sz w:val="18"/>
          <w:szCs w:val="18"/>
          <w:color w:val="auto"/>
        </w:rPr>
        <w:t>” below for a discussion of our anticipated expenditures and sources of capital we expect to access to fund these expenditures.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strategic collaborations will continue to be an integral part of our operations, providing opportunities to leverage our partners’ expertise and capabilities to gain access to new technologies and further expand the potential of our technologies, approved product and product candidates across relevant platforms. We believe we are well positioned to become a leader in immunotherapy due to our broad and vertically-integrated platforms and through complementary strategic partnerships.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innovative approach to orchestrate and combine therapies for optimal immune system response will become a therapeutic foundation across multiple indications. Additionally, we believe that data from multiple clinical trials indicates ANKTIVA has broad potential to enhance the activity of therapeutic mAbs, including checkpoint inhibitors, across a wide range of tumor types. We may also enter into supply arrangements for various investigational agents to be used in our clinical trials. See Part I, Item 1. “</w:t>
      </w:r>
      <w:r>
        <w:rPr>
          <w:rFonts w:ascii="Times New Roman" w:cs="Times New Roman" w:eastAsia="Times New Roman" w:hAnsi="Times New Roman"/>
          <w:sz w:val="18"/>
          <w:szCs w:val="18"/>
          <w:i w:val="1"/>
          <w:iCs w:val="1"/>
          <w:color w:val="auto"/>
        </w:rPr>
        <w:t>Business—Collaboration and License Agreements</w:t>
      </w:r>
      <w:r>
        <w:rPr>
          <w:rFonts w:ascii="Times New Roman" w:cs="Times New Roman" w:eastAsia="Times New Roman" w:hAnsi="Times New Roman"/>
          <w:sz w:val="18"/>
          <w:szCs w:val="18"/>
          <w:color w:val="auto"/>
        </w:rPr>
        <w:t>” of our Annual Report filed with the SEC on March 19, 2024 for a more detailed discussion regarding our collaboration and license agreements.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Related Parties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Executive Chairman, Global Chief Scientific and Medical Officer and principal stockholder,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Executive Chairman and Global Chief Scientific and Medical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Debt</w:t>
      </w:r>
    </w:p>
    <w:p>
      <w:pPr>
        <w:spacing w:after="0" w:line="119"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information regarding our related-party debt.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 Inc.</w:t>
      </w:r>
    </w:p>
    <w:p>
      <w:pPr>
        <w:spacing w:after="0" w:line="12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multiple agreements with the Clinic to conduct clinical trials related to certain of our product candidates. The Clinic is a related party as it is owned by an officer of the company and NantWorks manages the administrative operations of the Clinic.</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2021, we completed a review of alternative structures that could support our more complex clinical trial requirements and made a decision to explore a potential transition of clinical trials at the Clinic to a new structure (including contracting with a new, non-affiliated professional corporation) to be determined and agreed upon by all parties. While we have not yet finalized the potential transaction, we continue discussions with potential partners around alternative structures. During the six months ended June 30, 2024 and 2023, we incurred $1.4 million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 related to clinical trial and transition services provided by the Clinic.</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of the “Notes to Unaudited Condensed Consolidated Financial Statements” that appears in Item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for more information regarding our related-party agreements.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Until April 2024, we had no clinical products approved for commercial sale and thus had not generated any revenue from therapeutic and vaccine product candidates that are or were under development. Now that we have received FDA approval for ANKTIVA, we have begun to generate revenue although we expect it to take some time to generate significant revenue from our approved product and we can provide no assurances when, or if, this will occur. We began commercial distribution of our approved product in May 2024; however, we can provide no assurance with respect to our future revenues, market acceptance, reimbursement from third-party payors, or the profitability of our approved product or any other product candidate for which we may obtain approval. We do not expect additional revenue from our other product candidates unless and until we obtain regulatory approval of and commercialize any of our other product candidates, and we do not know when, or if, this will occur.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generally classify our operating expenses into cost of product revenue, research and development, and selling, general and administrative expenses. Personnel costs, including salaries, benefits, bonuses, and stock-based compensation expense comprise a significant component of our research and development, and selling, general and administrative expense categories. We allocate expenses associated with our facilities and information technology costs between these two categories, primarily based on the nature of each cost.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Cost of product revenue consists primarily of third-party manufacturing costs, distribution, and overhead costs related to ANKTIVA sales. Cost of revenue may 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all of the costs of producing ANKTIVA sold to date were expensed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 of operations prior to the FDA approval of ANKTIVA and therefore are not reflected in the cost of revenue.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while performing research and development activities to discover and develop our technology and product candidates. This includes conducting preclinical studies and clinical trials, manufacturing development efforts and activities related to regulatory submissions for product candidates. We recognize research and development expenses as they are incurred.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w:t>
      </w:r>
    </w:p>
    <w:p>
      <w:pPr>
        <w:spacing w:after="0" w:line="117"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clinical trial and regulatory-related costs;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agreements with investigative sites and consultants that conduct our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collaborative agreements;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and testing costs and related supplies and materials;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employee-related expenses, including salaries, benefits, travel and stock-based compensation;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facility expenses dedicated to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its research and development expenses as either external or internal. The company’s external research and development expenses support its various preclinical and clinical programs. The company’s internal research and development expenses include payroll and benefits expenses, facilities and equipment expense, and other indirect research and development expenses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significantly for the foreseeable future as we continue to invest in research and development activities related to expanding our product into new indications and developing our other product candidates and conducting our ongoing and planned clinical trials.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our other product candidates or to expand potential approved indications for ANKTIVA. This is due to the numerous risks and uncertainties associated with the development of product candidates.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costs of clinical trials may vary significantly over the life of a project owing to, but not limited to, the following:</w:t>
      </w:r>
    </w:p>
    <w:p>
      <w:pPr>
        <w:spacing w:after="0" w:line="117"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sites included in the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patients that participate in the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comparative agents used in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safety profile and efficacy of the product candidate.</w:t>
      </w:r>
    </w:p>
    <w:p>
      <w:pPr>
        <w:spacing w:after="0" w:line="11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We have only one approved product, ANKTIVA, for which we received approval from the FDA on </w:t>
      </w:r>
      <w:r>
        <w:rPr>
          <w:rFonts w:ascii="Times New Roman" w:cs="Times New Roman" w:eastAsia="Times New Roman" w:hAnsi="Times New Roman"/>
          <w:sz w:val="18"/>
          <w:szCs w:val="18"/>
          <w:color w:val="000000"/>
        </w:rPr>
        <w:t>April 22, 2024. We began commercial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distribution of our approved product in May 2024. There can be no assurance that our other product candidates will be approved for commercial sale by the FDA in the near term, if ever. We do not expect any of our other product candidates to be commercially available for the foreseeable future, if ever.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information technology, legal, sales and administrative support functions. Other selling, general and administrative expenses include sales and marketing costs, facility-related costs not otherwise allocated to research and development expense, professional fees for auditing, tax and legal services, advertising costs, expenses associated with strategic business transactions and business development efforts, obtaining and maintaining patents, consulting costs, royalties and licensing costs, and costs of our information systems.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 will increase for the foreseeable future as we commercialize our approved product, and expand operations, build out information systems and increase our headcount to support continued research activities and the development of our clinical programs. We have incurred and expect that we will continue to incur in the future, additional costs associated with operating as a public company, including costs to comply with stock exchange listing and SEC requirements, future funding efforts, corporate governance, internal controls, investor relations, disclosure and similar requirements applicable to public companies. Additionally, if and when we believe that a regulatory approval of one of our other product candidates appears likely, we expect to incur significant increases in our selling, general and administrative expense relating to the sales and marketing of any additional approved product candidate.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interest and investment income, interest expense (including amortization of debt discounts), unrealized gains and losses from investments in equity securities and equity-method investments, changes in fair value of warrants, derivative liabilities, and a convertible note, realized gains and losses on debt and equity securities, and gains and losses on foreign currency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Italy, South Korea, California and other states. From inception through June 30, 2024, we have not been required to pay U.S. federal and state income taxes because of current and accumulated NOLs.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304"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5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90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1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40"/>
        </w:trPr>
        <w:tc>
          <w:tcPr>
            <w:tcW w:w="5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3"/>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2454 %</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75"/>
        </w:trPr>
        <w:tc>
          <w:tcPr>
            <w:tcW w:w="5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Research and development (including amounts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5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(including amounts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3"/>
        </w:trPr>
        <w:tc>
          <w:tcPr>
            <w:tcW w:w="5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32,018</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3"/>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(loss),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related to revenue interest liability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75"/>
        </w:trPr>
        <w:tc>
          <w:tcPr>
            <w:tcW w:w="5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expense, net (including amounts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Product revenue, net increased $1.0 million during the three months ended June 30, 2024, as compared to the three months ended June 30, 2023, due to sales of ANKTIVA, which was approved during the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Other revenues increased nominally during the three months ended June 30, 2024, as compared to the three months ended June 30, 2023, driven by higher consumable sales over the prior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did not report cost of revenue during the three months ended June 30, 2024. Cost of revenue consists primarily of third-party manufacturing, distribution and overhead costs. All costs of producing ANKTIVA sold to date was expensed as a component of research and development expense prior to the FDA approval of ANKTIVA and therefore it is not reflected in the cost of revenue. As a result, our initial product gross margin is higher as our pre-launch inventory costs are not included in cost of revenue. We expect the cost of revenue for ANKTIVA to increase in relation to product revenues as we deplete these inventories.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$2.0 million during the three months ended June 30, 2024, as compared to the three months ended June 30, 2023. The following table summarizes our research and development expenses during the three months ended June 30, 2024 and 2023, together with the changes in those items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4"/>
        </w:trPr>
        <w:tc>
          <w:tcPr>
            <w:tcW w:w="65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65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40"/>
        </w:trPr>
        <w:tc>
          <w:tcPr>
            <w:tcW w:w="6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costs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depreciation, and facility costs</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internal research and development expenses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6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decreased $2.0 million primarily attributable to the following:</w:t>
      </w:r>
    </w:p>
    <w:p>
      <w:pPr>
        <w:spacing w:after="0" w:line="117" w:lineRule="exact"/>
        <w:rPr>
          <w:sz w:val="20"/>
          <w:szCs w:val="20"/>
          <w:color w:val="auto"/>
        </w:rPr>
      </w:pPr>
    </w:p>
    <w:p>
      <w:pPr>
        <w:ind w:left="980" w:hanging="324"/>
        <w:spacing w:after="0" w:line="266"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$2.0 million decrease in external research and development expenses, primarily due to a reduction in CMO fees and drug materials purchased and used in manufacturing, partially offset by higher regulatory costs associated with the BLA submission of our approved product, as well as higher clinical trial activities;</w:t>
      </w:r>
    </w:p>
    <w:p>
      <w:pPr>
        <w:spacing w:after="0" w:line="67"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$0.1 million decrease in personnel-related costs, primarily due to reductions in stock-based compensation expense and shared service costs, partially offset by higher recruiting and employee training costs; and</w:t>
      </w:r>
    </w:p>
    <w:p>
      <w:pPr>
        <w:spacing w:after="0" w:line="53"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$0.1 million decrease in equipment, depreciation, and facility costs, primarily due to reductions in services at non-manufacturing facilities; partially offset by</w:t>
      </w:r>
    </w:p>
    <w:p>
      <w:pPr>
        <w:spacing w:after="0" w:line="53"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$0.2 million increase in other research and development costs, primarily due to fewer R&amp;D activities and costs allocated to a joint venture, partially offset by reductions in laboratory and test supplies and material supplies used for internal manufacturing.</w:t>
      </w:r>
    </w:p>
    <w:p>
      <w:pPr>
        <w:spacing w:after="0" w:line="10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significantly for the foreseeable future as we continue to invest in research and development activities related to developing our product candidates and conducting our ongoing and planned clinical trials.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 increased $17.2 million during the three months ended June 30, 2024, as compared to the</w:t>
      </w:r>
    </w:p>
    <w:p>
      <w:pPr>
        <w:spacing w:after="0" w:line="27"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three months ended June 30, 2023. The increase in selling, general and administrative expense was primarily driven by a $12.9 million increase in legal expenses due to higher defense costs and increased general legal services, an increase of $4.2 million in consulting costs, primarily associated with commercial readiness activities, an increase of $0.8 million in marketing and conference costs, and an increase of $0.3 million in license fees, partially offset by a $1.0 million decrease in stock-based compensation expense.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Other expense, net decreased $17.8 million during the three months ended June 30, 2024, as compared to the three months ended June 30, 2023. The decrease in other expense, net was primarily driven by a decrease of $21.2 million due to the change in fair value of derivative liabilities, a decrease of $10.7 million due to the change in fair value of a related-party convertible note and loss on equity method investment recorded during the prior period, a decrease of $2.4 million in interest expense, and a $2.0 million increase in interest and investment income primarily resulting from accretion income on our marketable debt securities. The decrease in other expense, net was partially offset by an increase of $9.3 million due to the change in fair value of warrant liabilities and an increase of $9.2 million from interest expense related to the revenue interest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304"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3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Research and development (including amounts</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(27,952)</w:t>
            </w:r>
          </w:p>
        </w:tc>
        <w:tc>
          <w:tcPr>
            <w:tcW w:w="1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(including amounts</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91,136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64,694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9"/>
        </w:trPr>
        <w:tc>
          <w:tcPr>
            <w:tcW w:w="5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197,126</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(196,725)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0" w:type="dxa"/>
            <w:vAlign w:val="bottom"/>
          </w:tcPr>
          <w:p>
            <w:pPr>
              <w:spacing w:after="0"/>
              <w:rPr>
                <w:sz w:val="1"/>
                <w:szCs w:val="1"/>
                <w:color w:val="auto"/>
              </w:rPr>
            </w:pPr>
          </w:p>
        </w:tc>
      </w:tr>
      <w:tr>
        <w:trPr>
          <w:trHeight w:val="2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(38,637)</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related to revenue interest liability</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expense, net (including amounts</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9"/>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(254,796)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2"/>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(268,714)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(254,796)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Product revenue, net increased $1.0 million during the six months ended June 30, 2024, as compared to the six months ended June 30, 2023. The increase was driven by sales of ANKTIVA after FDA approval in April.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Other revenues decreased $0.3 million during the six months ended June 30, 2024, as compared to the six months ended June 30, 2023 as a result of a decline in grant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did not report cost of revenue during the six months ended June 30, 2024. Cost of revenue consists primarily of third-party manufacturing, distribution and overhead costs. All costs of producing ANKTIVA sold to date was expensed as a component of research and development expense prior to the FDA approval of ANKTIVA and therefore it is not reflected in the cost of revenue. As a result, our initial product gross margin is higher as our pre-launch inventory costs are not included in cost of revenue. We expect the cost of revenue for ANKTIVA to increase in relation to product revenues as we deplete these inventories.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$28.0 million during the six months ended June 30, 2024, as compared to the six months ended June 30, 2023. The following table summarizes our research and development expenses during the six months ended June 30, 2024 and 2023, together with the changes in those items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4"/>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6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40"/>
        </w:trPr>
        <w:tc>
          <w:tcPr>
            <w:tcW w:w="6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depreciation, and facility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internal research and development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8"/>
        </w:trPr>
        <w:tc>
          <w:tcPr>
            <w:tcW w:w="6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decreased $28.0 million primarily attributable to the following:</w:t>
      </w:r>
    </w:p>
    <w:p>
      <w:pPr>
        <w:spacing w:after="0" w:line="117" w:lineRule="exact"/>
        <w:rPr>
          <w:sz w:val="20"/>
          <w:szCs w:val="20"/>
          <w:color w:val="auto"/>
        </w:rPr>
      </w:pPr>
    </w:p>
    <w:p>
      <w:pPr>
        <w:ind w:left="980" w:right="20" w:hanging="324"/>
        <w:spacing w:after="0" w:line="282" w:lineRule="auto"/>
        <w:tabs>
          <w:tab w:leader="none" w:pos="97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$26.4 million decrease in external research and development expenses that was primarily due to a reduction in CMO fees and drug materials purchased and used in manufacturing, a reduction in clinical trial costs, and a reduction in outside services costs;</w:t>
      </w:r>
    </w:p>
    <w:p>
      <w:pPr>
        <w:spacing w:after="0" w:line="53"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$0.5 million decrease in personnel-related costs that was primarily due to reductions in stock-based compensation expense and shared service costs, partially offset by higher recruiting costs;</w:t>
      </w:r>
    </w:p>
    <w:p>
      <w:pPr>
        <w:spacing w:after="0" w:line="53"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$0.3 million decrease in equipment, depreciation, and facility costs that was primarily due to a decrease in depreciation expense due to fully depreciated assets, partially offset by increased equipment qualification and repairs expense; and</w:t>
      </w:r>
    </w:p>
    <w:p>
      <w:pPr>
        <w:spacing w:after="0" w:line="53"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$0.8 million decrease in other research and development costs, primarily attributable to reductions in laboratory and test supplies and material supplies used for internal manufacturing and reduced distribution expenses, partially offset by fewer costs allocated to a joint venture and higher research expenses.</w:t>
      </w:r>
    </w:p>
    <w:p>
      <w:pPr>
        <w:spacing w:after="0" w:line="12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significantly for the foreseeable future as we continue to invest in research and development activities related to developing our product candidates and conduct our ongoing and planned clinical trials.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 increased $26.4 million during the six months ended June 30, 2024, as compared to the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six months ended June 30, 2023. The increase in selling, general and administrative expense was primarily driven by an increase of $21.2 million in legal expenses, driven by higher defense costs and increased general legal services, an increase of $7.2 million in consulting costs, primarily associated with commercial readiness activities, a $1.1 million increase in salary and benefits expenses, and a $0.6 million increase in license fees, partially offset by a $3.7 million reduction in stock-based compensation expense.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right="180" w:firstLine="648"/>
        <w:spacing w:after="0" w:line="257" w:lineRule="auto"/>
        <w:rPr>
          <w:sz w:val="20"/>
          <w:szCs w:val="20"/>
          <w:color w:val="auto"/>
        </w:rPr>
      </w:pPr>
      <w:r>
        <w:rPr>
          <w:rFonts w:ascii="Times New Roman" w:cs="Times New Roman" w:eastAsia="Times New Roman" w:hAnsi="Times New Roman"/>
          <w:sz w:val="18"/>
          <w:szCs w:val="18"/>
          <w:color w:val="auto"/>
        </w:rPr>
        <w:t>Other expense, net increased $16.1 million during the six months ended June 30, 2024, as compared to the six months ended June 30, 2023. The increase in other expense, net was primarily driven by an increase in expense of $38.6 million due to the change in the fair value of warrant liabilities and an increase of $17.2 million from interest expense related to the revenue interest liability. These increases were partially offset by a decrease of</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$18.4 million due to the change in fair value of the derivative liabilities, a decrease of $13.1 million due to the change in fair value of related-party convertible notes and loss on equity method investments recorded during the prior period, $4.4 million increase in interest and investment income, net, a decrease of $2.8 million in interest expense (including amounts with related parties), and a decrease of $1.0 million in other expense, net (including amounts with related parties).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From inception through June 30, 2024, we have funded our operations primarily through proceeds from the issuance of related-party promissory notes, sales of our common stock, our shelf registration statements and through RDOs, and a RIPA financing.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Marketable Securities on Hand</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we had cash and cash equivalents, and marketable securities of $218.0 million compared to $267.4 million as of December 31, 2023. We have typically invested our cash in a variety of financial instruments and classified these investments as available-for-sale. However, after our entry into the RIPA we can no longer invest our excess funds in corporate or European bonds. Certain of our investments are subject to credit, liquidity, market, and interest-rate risks. The general condition of the financial markets and the economy may increase those risks and may affect the value and liquidity of investments and restrict our ability to access the capital markets.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119"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In April 2024, we filed a shelf registration statement and associated prospectus that increased the amount available under the ATM to $300.8 million. As of June 30, 2024, we had $296.5 million available for future stock issuances under the ATM.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February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As of June 30, 2024, we had $565.6 million available for use under the shelf.</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April 2024, we filed a shelf registration statement with the SEC on Form S-3 pursuant to which we may, from time to time, sell an indeterminate amount of our common stock, preferred stock, debt securities, depositary shares, warrants, subscription rights, purchase contracts, or units. On May 2, 2024, the registration statement was declared effective by the SEC.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Amounts available for use as of June 30, 2024 under these shelf registration statements are in addition to the amount available under the ATM described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Warrants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17,502,491 of the February and July 2023 Warrants were exercised from which we received proceeds of $57.7 million. As of June 30, 2024, a total of 20,230,329 warrants remained outstanding at exercise prices ranging from $3.2946 per share to $6.60 per share.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Subsequent to June 30, 2024, institutional holders exercised a total of 4,740,249 warrants pursuant to the February 2023 Warrant agreement at an exercise price of $3.2946 per share resulting in the issuance of 4,740,249 shares of the company’s common stock for proceeds totaling $15.6 million. As of August 12, 2024, a total of 2,814,523 warrants remain outstanding under the February 2023 Warrant agreement.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11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December 29, 2023, we entered into the RIPA with Infinity and Oberland. Pursuant to the RIPA, Oberland acquired certain initial Revenue Interests from us for a gross purchase price of $200.0 million paid on closing, less certain issuance costs. Oberland had the option to purchase additional Revenue Interests from us in exchange for a $100.0 million Second Payment upon satisfaction of certain conditions in the RIPA, including receipt of approval by the FDA of our BLA for ANKTIVA on or before June 30, 2024.</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April 22, 2024, the FDA approved our product ANKTIVA and as a result, on May 13, 2024 Oberland purchased additional Revenue Interests from us for a gross purchase price of $100.0 million, less certain issuance costs.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consideration for the aforementioned payments, Oberland has the right to receive quarterly Revenue Interest Payments from us based on, among other things, a certain percentage of our net sales during such quarter, which are tiered payments initially ranging from 3.00% to 7.00% (now after funding of the Second Payment, 4.50% to 10.00%) of the company’s worldwide net sales, excluding those in China.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of the “Notes to Unaudited Condensed Consolidated Financial Statements” that appears in Item 1. “Financial Statements”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for more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 and Option Agreement</w:t>
      </w:r>
    </w:p>
    <w:p>
      <w:pPr>
        <w:spacing w:after="0" w:line="11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On December 29, 2023 and in connection with the RIPA, we entered into an SPOA with Oberland. Under this agreement, Oberland had an option to purchase up to $10.0 million of our common stock, at a price per share to be determined by reference to the 30-day trailing volume weighted-average price of our common stock, calculated from the date of exercise. The option is exercisable by Oberland at any time until the earliest of</w:t>
      </w:r>
    </w:p>
    <w:p>
      <w:pPr>
        <w:spacing w:after="0" w:line="1" w:lineRule="exact"/>
        <w:rPr>
          <w:sz w:val="20"/>
          <w:szCs w:val="20"/>
          <w:color w:val="auto"/>
        </w:rPr>
      </w:pPr>
    </w:p>
    <w:p>
      <w:pPr>
        <w:ind w:right="360" w:firstLine="8"/>
        <w:spacing w:after="0" w:line="255"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w:t>
      </w:r>
    </w:p>
    <w:p>
      <w:pPr>
        <w:spacing w:after="0" w:line="18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Pursuant to the SPOA, in April 2024 Oberland exercised part of their option and purchased 858,990 shares of our common stock at an exercise price of $5.8208 per share generating net proceeds of approximately $4.9 million. Following such exercise, approximately $5.0 million remains available for future exercise under the SPOA as of June 30, 2024.</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Liquidity</w:t>
      </w:r>
    </w:p>
    <w:p>
      <w:pPr>
        <w:spacing w:after="0" w:line="11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 addition to the cash used to fund our operating activities discussed in “</w:t>
      </w:r>
      <w:r>
        <w:rPr>
          <w:rFonts w:ascii="Times New Roman" w:cs="Times New Roman" w:eastAsia="Times New Roman" w:hAnsi="Times New Roman"/>
          <w:sz w:val="18"/>
          <w:szCs w:val="18"/>
          <w:i w:val="1"/>
          <w:iCs w:val="1"/>
          <w:u w:val="single" w:color="auto"/>
          <w:color w:val="0000FF"/>
        </w:rPr>
        <w:t>—Future Funding Requirements</w:t>
      </w:r>
      <w:r>
        <w:rPr>
          <w:rFonts w:ascii="Times New Roman" w:cs="Times New Roman" w:eastAsia="Times New Roman" w:hAnsi="Times New Roman"/>
          <w:sz w:val="18"/>
          <w:szCs w:val="18"/>
          <w:color w:val="auto"/>
        </w:rPr>
        <w:t>” below, we will require cash to settle the following obligations:</w:t>
      </w:r>
    </w:p>
    <w:p>
      <w:pPr>
        <w:spacing w:after="0" w:line="52" w:lineRule="exact"/>
        <w:rPr>
          <w:sz w:val="20"/>
          <w:szCs w:val="20"/>
          <w:color w:val="auto"/>
        </w:rPr>
      </w:pPr>
    </w:p>
    <w:p>
      <w:pPr>
        <w:ind w:left="980" w:hanging="324"/>
        <w:spacing w:after="0" w:line="255" w:lineRule="auto"/>
        <w:tabs>
          <w:tab w:leader="none" w:pos="9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2024, our indebtedness payable at maturity totals $735.0 million (excluding unamortized related-party notes discounts and fair value adjustments), held by entities affiliated with Dr. Soon-Shiong. In connection with the RIPA, all of our related-party promissory notes are now general unsecured obligations of the company that are subordinated in right of payment to indebtedness, obligations and other liabilities under the RIPA, the Revenue Interests issued pursuant to such agreement, and refinancing of the foregoing. In addition, the terms of promissory notes totaling $535.0 million were amended and restated to extend the maturity date by one year to December 31, 2025. The remaining $200.0 million promissory note and any accrued and unpaid interest are due on the earlier of (i) September 11, 2026 or (ii) upon the occurrence and during the continuance of an event of default (as defined in the note).</w:t>
      </w:r>
    </w:p>
    <w:p>
      <w:pPr>
        <w:spacing w:after="0" w:line="80" w:lineRule="exact"/>
        <w:rPr>
          <w:rFonts w:ascii="Times New Roman" w:cs="Times New Roman" w:eastAsia="Times New Roman" w:hAnsi="Times New Roman"/>
          <w:sz w:val="18"/>
          <w:szCs w:val="18"/>
          <w:b w:val="1"/>
          <w:bCs w:val="1"/>
          <w:color w:val="auto"/>
        </w:rPr>
      </w:pPr>
    </w:p>
    <w:p>
      <w:pPr>
        <w:ind w:left="1620" w:right="140" w:hanging="316"/>
        <w:spacing w:after="0" w:line="256" w:lineRule="auto"/>
        <w:tabs>
          <w:tab w:leader="none" w:pos="161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terms of the amended and restated promissory note, the amended $505.0 million December 2023 promissory note is comprised of the Tranche 1 principal amount of $125.0 million and the Tranche 2 principal amount of $380.0 million. All of the Tranche 2 principal amount of $380.0 million and any accrued and unpaid interest can be converted into shares of the company’s stock at $8.2690 per share at the option of the noteholder. The interest rates for the Tranche 1 principal amount and Tranche 2 principal amount of the $505.0 million December 2023 promissory note were Term SOFR plus 8.0% per annum and Term SOFR plus 7.5% per annum, respectively.</w:t>
      </w:r>
    </w:p>
    <w:p>
      <w:pPr>
        <w:spacing w:after="0" w:line="79" w:lineRule="exact"/>
        <w:rPr>
          <w:rFonts w:ascii="Times New Roman" w:cs="Times New Roman" w:eastAsia="Times New Roman" w:hAnsi="Times New Roman"/>
          <w:sz w:val="18"/>
          <w:szCs w:val="18"/>
          <w:b w:val="1"/>
          <w:bCs w:val="1"/>
          <w:color w:val="auto"/>
        </w:rPr>
      </w:pPr>
    </w:p>
    <w:p>
      <w:pPr>
        <w:ind w:left="1620" w:right="40" w:hanging="316"/>
        <w:spacing w:after="0" w:line="266" w:lineRule="auto"/>
        <w:tabs>
          <w:tab w:leader="none" w:pos="161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$200.0 million convertible promissory note bears interest at Term SOFR plus 8.0% per annum. The noteholder has the sole option to convert all of the outstanding principal amount and accrued but unpaid interest into shares of the company’s common stock at a conversion price of $1.9350 per share.</w:t>
      </w:r>
    </w:p>
    <w:p>
      <w:pPr>
        <w:spacing w:after="0" w:line="67" w:lineRule="exact"/>
        <w:rPr>
          <w:rFonts w:ascii="Times New Roman" w:cs="Times New Roman" w:eastAsia="Times New Roman" w:hAnsi="Times New Roman"/>
          <w:sz w:val="18"/>
          <w:szCs w:val="18"/>
          <w:b w:val="1"/>
          <w:bCs w:val="1"/>
          <w:color w:val="auto"/>
        </w:rPr>
      </w:pPr>
    </w:p>
    <w:p>
      <w:pPr>
        <w:ind w:left="1620" w:right="20" w:hanging="316"/>
        <w:spacing w:after="0" w:line="266" w:lineRule="auto"/>
        <w:tabs>
          <w:tab w:leader="none" w:pos="161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$30.0 million convertible promissory note bears interest at Term SOFR plus 8.0% per annum. The noteholder has the sole option to convert all of the outstanding principal amount and accrued but unpaid interest into shares of the company’s common stock at a conversion price of $2.28 per share.</w:t>
      </w:r>
    </w:p>
    <w:p>
      <w:pPr>
        <w:spacing w:after="0" w:line="68" w:lineRule="exact"/>
        <w:rPr>
          <w:sz w:val="20"/>
          <w:szCs w:val="20"/>
          <w:color w:val="auto"/>
        </w:rPr>
      </w:pPr>
    </w:p>
    <w:p>
      <w:pPr>
        <w:jc w:val="both"/>
        <w:ind w:left="980" w:right="10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can refinance these promissory notes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spacing w:after="0" w:line="72" w:lineRule="exact"/>
        <w:rPr>
          <w:sz w:val="20"/>
          <w:szCs w:val="20"/>
          <w:color w:val="auto"/>
        </w:rPr>
      </w:pPr>
    </w:p>
    <w:p>
      <w:pPr>
        <w:ind w:left="980" w:hanging="324"/>
        <w:spacing w:after="0" w:line="264" w:lineRule="auto"/>
        <w:tabs>
          <w:tab w:leader="none" w:pos="97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On December 29, 2023, we entered into the RIPA with Infinity and Oberland. Oberland has the right to receive quarterly Revenue Interest Payments from us based on, among other things, our worldwide net sales, excluding those in China, which are tiered payments initially ranging from 3.00% to 7.00% (now after funding of the Second Payment, 4.50% to 10.00%), subject to increase or decrease, following December 31, 2029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True-Up Payment to Oberland in an amount equal to 100% of the Cumulative Purchaser Payments as of the Test Date, less the aggregate amount of our previous payments to Oberland as of the Test Date. See </w:t>
      </w:r>
      <w:r>
        <w:rPr>
          <w:rFonts w:ascii="Times New Roman" w:cs="Times New Roman" w:eastAsia="Times New Roman" w:hAnsi="Times New Roman"/>
          <w:sz w:val="17"/>
          <w:szCs w:val="17"/>
          <w:u w:val="single" w:color="auto"/>
          <w:color w:val="0000FF"/>
        </w:rPr>
        <w:t>Note</w:t>
      </w:r>
      <w:r>
        <w:rPr>
          <w:rFonts w:ascii="Times New Roman" w:cs="Times New Roman" w:eastAsia="Times New Roman" w:hAnsi="Times New Roman"/>
          <w:sz w:val="1"/>
          <w:szCs w:val="1"/>
          <w:b w:val="1"/>
          <w:bCs w:val="1"/>
          <w:color w:val="auto"/>
        </w:rPr>
        <w:drawing>
          <wp:inline distT="0" distB="0" distL="0" distR="0">
            <wp:extent cx="26035" cy="1289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7"/>
          <w:szCs w:val="17"/>
          <w:color w:val="0000FF"/>
          <w:highlight w:val="white"/>
        </w:rPr>
        <w:t>10</w:t>
      </w:r>
      <w:r>
        <w:rPr>
          <w:rFonts w:ascii="Times New Roman" w:cs="Times New Roman" w:eastAsia="Times New Roman" w:hAnsi="Times New Roman"/>
          <w:sz w:val="17"/>
          <w:szCs w:val="17"/>
          <w:color w:val="000000"/>
          <w:highlight w:val="white"/>
        </w:rPr>
        <w:t>,</w:t>
      </w:r>
      <w:r>
        <w:rPr>
          <w:rFonts w:ascii="Times New Roman" w:cs="Times New Roman" w:eastAsia="Times New Roman" w:hAnsi="Times New Roman"/>
          <w:sz w:val="17"/>
          <w:szCs w:val="17"/>
          <w:color w:val="0000FF"/>
          <w:highlight w:val="white"/>
        </w:rPr>
        <w:t xml:space="preserve"> </w:t>
      </w:r>
      <w:r>
        <w:rPr>
          <w:rFonts w:ascii="Times New Roman" w:cs="Times New Roman" w:eastAsia="Times New Roman" w:hAnsi="Times New Roman"/>
          <w:sz w:val="17"/>
          <w:szCs w:val="17"/>
          <w:i w:val="1"/>
          <w:iCs w:val="1"/>
          <w:color w:val="000000"/>
          <w:highlight w:val="white"/>
        </w:rPr>
        <w:t>Revenue Interest Purchase Agreement</w:t>
      </w:r>
      <w:r>
        <w:rPr>
          <w:rFonts w:ascii="Times New Roman" w:cs="Times New Roman" w:eastAsia="Times New Roman" w:hAnsi="Times New Roman"/>
          <w:sz w:val="17"/>
          <w:szCs w:val="17"/>
          <w:color w:val="000000"/>
          <w:highlight w:val="white"/>
        </w:rPr>
        <w:t>, of the “Notes to Unaudited Condensed Consolidated</w:t>
      </w:r>
      <w:r>
        <w:rPr>
          <w:rFonts w:ascii="Times New Roman" w:cs="Times New Roman" w:eastAsia="Times New Roman" w:hAnsi="Times New Roman"/>
          <w:sz w:val="17"/>
          <w:szCs w:val="17"/>
          <w:color w:val="0000FF"/>
          <w:highlight w:val="white"/>
        </w:rPr>
        <w:t xml:space="preserve"> Financial Statements” that appears in Item 1. “Financial Statements” of this Quarterly Report for more information regarding the RIPA.</w:t>
      </w:r>
    </w:p>
    <w:p>
      <w:pPr>
        <w:spacing w:after="0" w:line="72" w:lineRule="exact"/>
        <w:rPr>
          <w:rFonts w:ascii="Times New Roman" w:cs="Times New Roman" w:eastAsia="Times New Roman" w:hAnsi="Times New Roman"/>
          <w:sz w:val="17"/>
          <w:szCs w:val="17"/>
          <w:b w:val="1"/>
          <w:bCs w:val="1"/>
          <w:color w:val="auto"/>
        </w:rPr>
      </w:pPr>
    </w:p>
    <w:p>
      <w:pPr>
        <w:ind w:left="980" w:right="20" w:hanging="324"/>
        <w:spacing w:after="0" w:line="255"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June 30, 2024, 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We may need to seek additional sources of capital to satisfy the CVR obligations if they are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-1196975</wp:posOffset>
            </wp:positionV>
            <wp:extent cx="1428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520" w:hanging="324"/>
        <w:spacing w:after="0" w:line="282"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acquisition of VivaBioCell, we are obligated to pay the former owners approximately $2.1 million of contingent consideration upon the achievement of a regulatory milestone relating to the GMP-in-a-Box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Cash Flows</w:t>
      </w:r>
    </w:p>
    <w:p>
      <w:pPr>
        <w:spacing w:after="0" w:line="121" w:lineRule="exact"/>
        <w:rPr>
          <w:sz w:val="20"/>
          <w:szCs w:val="20"/>
          <w:color w:val="auto"/>
        </w:rPr>
      </w:pPr>
    </w:p>
    <w:p>
      <w:pPr>
        <w:ind w:right="420" w:firstLine="648"/>
        <w:spacing w:after="0" w:line="239" w:lineRule="exact"/>
        <w:rPr>
          <w:sz w:val="20"/>
          <w:szCs w:val="20"/>
          <w:color w:val="auto"/>
        </w:rPr>
      </w:pPr>
      <w:r>
        <w:rPr>
          <w:rFonts w:ascii="Times New Roman" w:cs="Times New Roman" w:eastAsia="Times New Roman" w:hAnsi="Times New Roman"/>
          <w:sz w:val="18"/>
          <w:szCs w:val="18"/>
          <w:color w:val="auto"/>
        </w:rPr>
        <w:t>The following discussion of ImmunityBio’s cash flows is based on the condensed consolidated statements of cash flows in Item 1. “Financial Statements” and is not meant to be an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inclusive discussion of the changes in its cash flows for the periods presented below.</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cash for periods indicated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7115175"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3003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30" w:lineRule="exact"/>
        <w:rPr>
          <w:sz w:val="20"/>
          <w:szCs w:val="20"/>
          <w:color w:val="auto"/>
        </w:rPr>
      </w:pPr>
    </w:p>
    <w:p>
      <w:pPr>
        <w:ind w:left="340" w:right="3020" w:hanging="134"/>
        <w:spacing w:after="0" w:line="266"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30480</wp:posOffset>
            </wp:positionV>
            <wp:extent cx="19716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4" w:lineRule="exact"/>
        <w:rPr>
          <w:sz w:val="20"/>
          <w:szCs w:val="20"/>
          <w:color w:val="auto"/>
        </w:rPr>
      </w:pPr>
    </w:p>
    <w:p>
      <w:pPr>
        <w:ind w:left="58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19716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19716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352" w:lineRule="exact"/>
        <w:rPr>
          <w:sz w:val="20"/>
          <w:szCs w:val="20"/>
          <w:color w:val="auto"/>
        </w:rPr>
      </w:pPr>
    </w:p>
    <w:p>
      <w:pPr>
        <w:spacing w:after="0"/>
        <w:tabs>
          <w:tab w:leader="none" w:pos="720" w:val="left"/>
          <w:tab w:leader="none" w:pos="1580" w:val="left"/>
          <w:tab w:leader="none" w:pos="2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(207,329)</w:t>
        <w:tab/>
        <w:t>$</w:t>
      </w:r>
      <w:r>
        <w:rPr>
          <w:sz w:val="20"/>
          <w:szCs w:val="20"/>
          <w:color w:val="auto"/>
        </w:rPr>
        <w:tab/>
      </w:r>
      <w:r>
        <w:rPr>
          <w:rFonts w:ascii="Times New Roman" w:cs="Times New Roman" w:eastAsia="Times New Roman" w:hAnsi="Times New Roman"/>
          <w:sz w:val="17"/>
          <w:szCs w:val="17"/>
          <w:color w:val="auto"/>
        </w:rPr>
        <w:t>(164,083)</w:t>
      </w:r>
    </w:p>
    <w:p>
      <w:pPr>
        <w:spacing w:after="0" w:line="50" w:lineRule="exact"/>
        <w:rPr>
          <w:sz w:val="20"/>
          <w:szCs w:val="20"/>
          <w:color w:val="auto"/>
        </w:rPr>
      </w:pPr>
    </w:p>
    <w:p>
      <w:pPr>
        <w:jc w:val="both"/>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(87,112)</w:t>
      </w:r>
      <w:r>
        <w:rPr>
          <w:sz w:val="20"/>
          <w:szCs w:val="20"/>
          <w:color w:val="auto"/>
        </w:rPr>
        <w:tab/>
      </w:r>
      <w:r>
        <w:rPr>
          <w:rFonts w:ascii="Times New Roman" w:cs="Times New Roman" w:eastAsia="Times New Roman" w:hAnsi="Times New Roman"/>
          <w:sz w:val="18"/>
          <w:szCs w:val="18"/>
          <w:color w:val="auto"/>
        </w:rPr>
        <w:t>(17,088)</w:t>
      </w:r>
    </w:p>
    <w:p>
      <w:pPr>
        <w:spacing w:after="0" w:line="50" w:lineRule="exact"/>
        <w:rPr>
          <w:sz w:val="20"/>
          <w:szCs w:val="20"/>
          <w:color w:val="auto"/>
        </w:rPr>
      </w:pPr>
    </w:p>
    <w:p>
      <w:pPr>
        <w:ind w:left="840"/>
        <w:spacing w:after="0"/>
        <w:tabs>
          <w:tab w:leader="none" w:pos="2400" w:val="left"/>
        </w:tabs>
        <w:rPr>
          <w:sz w:val="20"/>
          <w:szCs w:val="20"/>
          <w:color w:val="auto"/>
        </w:rPr>
      </w:pPr>
      <w:r>
        <w:rPr>
          <w:rFonts w:ascii="Times New Roman" w:cs="Times New Roman" w:eastAsia="Times New Roman" w:hAnsi="Times New Roman"/>
          <w:sz w:val="18"/>
          <w:szCs w:val="18"/>
          <w:color w:val="auto"/>
        </w:rPr>
        <w:t>159,119</w:t>
      </w:r>
      <w:r>
        <w:rPr>
          <w:sz w:val="20"/>
          <w:szCs w:val="20"/>
          <w:color w:val="auto"/>
        </w:rPr>
        <w:tab/>
      </w:r>
      <w:r>
        <w:rPr>
          <w:rFonts w:ascii="Times New Roman" w:cs="Times New Roman" w:eastAsia="Times New Roman" w:hAnsi="Times New Roman"/>
          <w:sz w:val="18"/>
          <w:szCs w:val="18"/>
          <w:color w:val="auto"/>
        </w:rPr>
        <w:t>120,300</w:t>
      </w:r>
    </w:p>
    <w:p>
      <w:pPr>
        <w:spacing w:after="0" w:line="266" w:lineRule="exact"/>
        <w:rPr>
          <w:sz w:val="20"/>
          <w:szCs w:val="20"/>
          <w:color w:val="auto"/>
        </w:rPr>
      </w:pPr>
    </w:p>
    <w:p>
      <w:pPr>
        <w:ind w:left="2660" w:hanging="1507"/>
        <w:spacing w:after="0"/>
        <w:tabs>
          <w:tab w:leader="none" w:pos="2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9716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3" w:lineRule="exact"/>
        <w:rPr>
          <w:sz w:val="20"/>
          <w:szCs w:val="20"/>
          <w:color w:val="auto"/>
        </w:rPr>
      </w:pPr>
    </w:p>
    <w:p>
      <w:pPr>
        <w:spacing w:after="0"/>
        <w:tabs>
          <w:tab w:leader="none" w:pos="720" w:val="left"/>
          <w:tab w:leader="none" w:pos="1580" w:val="left"/>
          <w:tab w:leader="none" w:pos="2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(135,349)</w:t>
        <w:tab/>
        <w:t>$</w:t>
      </w:r>
      <w:r>
        <w:rPr>
          <w:sz w:val="20"/>
          <w:szCs w:val="20"/>
          <w:color w:val="auto"/>
        </w:rPr>
        <w:tab/>
      </w:r>
      <w:r>
        <w:rPr>
          <w:rFonts w:ascii="Times New Roman" w:cs="Times New Roman" w:eastAsia="Times New Roman" w:hAnsi="Times New Roman"/>
          <w:sz w:val="18"/>
          <w:szCs w:val="18"/>
          <w:color w:val="auto"/>
        </w:rPr>
        <w:t>(61,135)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971675"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71675" cy="3429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7420" w:space="720"/>
            <w:col w:w="3100"/>
          </w:cols>
          <w:pgMar w:left="320" w:top="121"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of $207.3 million consisted of a net loss of $268.7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$59.9 million in adjustments for non-cash items and $1.5 million of cash provided by net working capital. Adjustments for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primarily consisted of a $21.1 million change in the fair value of warrant liabilities, $17.9 million in stock-based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 million in non-cash interest primarily related to the revenue interest liability and related-party promissory notes, $11.4 million in amortization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related-party note discounts, $9.0 million in depreciation and amortization expense, $2.7 million in non-cash lease expense related to operating lease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and $0.1 million in other non-cash items, reduced by an $18.5 million change in fair value of derivative liabilities and $0.9 million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discounts on marketable debt securities. The changes in net working capital consisted primarily of an increase of $9.0 million in accounts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 decrease of $3.1 million in prepaid and other current assets and a decrease of $0.2 million in other assets, partially offset by decreases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million in accrued expenses and other liabilities and $2.4 million in operating lease liabilities, an increase of $1.8 million in inventories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$1.0 million in accounts receivable, net.</w:t>
      </w:r>
    </w:p>
    <w:p>
      <w:pPr>
        <w:spacing w:after="0" w:line="207"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During the six months ended June 30, 2023, net cash used in operating activities of $164.1 million consisted of a net loss of $254.8 million, partially offset by $54.0 million in adjustments for non-cash items and $36.7 million of cash provided by net working capital. Adjustments for non-cash items primarily consisted of $23.8 million in amortization of related-party note discounts, $21.9 million in stock-based compensation expense, $9.4 million in depreciation and amortization expense, a $6.8 million change in the fair value of a related-party convertible note, $5.0 million in non-cash interest and debt discount amortization primarily related to related-party promissory notes, $3.2 million in non-cash lease expense related to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$1.0 million in transaction costs allocable to warrant liabilities, $0.3 million in unrealized losses on equity securities driven by a decrease in the value of our investments, and $0.1 million of other, reduced by a $17.5 million change in the fair value of warrant liabilities. The changes in net working capital consisted primarily of an increase of $27.9 million in accrued expenses and other liabilities, a decrease of $11.2 million in prepaid and other current assets, and a decrease of $1.0 million in other assets, partially offset by decreases of $1.3 million in operating lease liabilities, $1.2 million with related parties, and $0.9 million in accounts payable.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negative cash flows from operating activities, with such negative cash flows likely to continue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was $87.1 million, which included cash outflows of</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$134.1 million of purchases of marketable debt securities, and $2.0 million of purchases of property, plant and equipment, partially offset by proceeds of $49.0 million from maturities and sales of marketable debt securities.</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net cash used in investing activities was $17.1 million, which included cash outflows of $17.0 million of purchases of property, plant and equipment, and $0.2 million of purchases of marketable debt securities, partially offset by $0.1 million from sales of marketable debt securities.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investments in property, plant and equipment are primarily related to acquisitions of equipment that will be used for the manufacturing of our approved product and product candidates and expenditures related to the build out of our manufacturing facilities. We expect to accelerate our capital spending as we scale our GMP manufacturing capabilities, which will require significant capital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was $159.1 million, which consisted of $96.9 million in net proceeds from payments received pursuant to the RIPA, $57.7 million of proceeds from the exercise of warrants, $4.9 million in net proceeds from the partial exercise of the Oberland stock option, $3.6 million in net proceeds from equity offerings, and $0.4 million in proceeds from the exercise of stock options, partially offset by $4.4 million related to net share settlement of vested RSUs for payment of payroll tax withholding.</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net cash provided by financing activities was $120.3 million, which consisted of $60.8 million in net proceeds from equity offerings, $59.7 million in net proceeds from issuances of related-party promissory notes, and $0.2 million in proceeds from the exercise of stock options, partially offset by $0.4 million related to net share settlement of vested RSUs for payment of payroll tax withholding.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Until April 2024, we had no clinical products approved for commercial sale and thus had not generated any revenue from therapeutic and vaccine product candidates that are or were under development. Now that we have received FDA approval for ANKTIVA, we have begun to generate revenue although we expect it to take some time to generate significant revenue from our approved product and we can provide no assurances when, or if, this will occur. We began commercial distribution of our approved product in May 2024; however, we can provide no assurance with respect to our future revenues, market acceptance, reimbursement from third-party payors, or the profitability of our approved product or any other product candidate for which we may obtain approval. We do not expect additional revenue from our other product candidates unless and until we obtain regulatory approval of and commercialize any of our other product candidates, and we do not know when, or if, this will occur. In addition, we expect our operating expenses to significantly increase in connection with our ongoing development activities, particularly as we continue the research, development and clinical trials of, and seek regulatory approval for, our other product candidates. We have also incurred and expect that we will continue to incur in the future additional costs associated with operating as a public company as well as costs related to future fundraising efforts. In addition, subject to obtaining regulatory approval of our other product candidates, we expect to incur significant incremental commercialization expenses for product sales, marketing, manufacturing and distribution. We anticipate that we will need substantial additional funding in connection with our continuing operations.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our operating expenses will increase substantially if and as we:</w:t>
      </w:r>
    </w:p>
    <w:p>
      <w:pPr>
        <w:spacing w:after="0" w:line="117"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commercialize our approved product;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research and development, including preclinical and clinical development of our other existing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seek regulatory approval for our other current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b w:val="1"/>
          <w:bCs w:val="1"/>
          <w:color w:val="auto"/>
        </w:rPr>
      </w:pPr>
    </w:p>
    <w:p>
      <w:pPr>
        <w:ind w:left="980" w:right="24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 commercialization infrastructure and scale up our manufacturing and distribution capabilities to commercialize any of our other product candidates for which we may obtain regulatory approval;</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comply with regulatory standards and laws;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117"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hire clinical, manufacturing, scientific and other personnel to support our product candidates’ development and future commercialization efforts;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 operational, financial and management information systems and personnel;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continuing anticipated operating cash outflows as we commercialize our approved product and accelerate our development efforts, we believe that substantial doubt exists regarding our ability to continue as a going concern without additional funding or financial support. However, we believe our existing cash, cash equivalents, and investments in marketable securities; sales of our approved product; capital to be raised through equity offerings, including but not limited to, the offering, issuance and sale by us of our common stock under the ATM, of which we had $296.5 million available for future issuance as of June 30, 2024; and our potential ability to borrow from affiliated entities will be sufficient to fund our operations through at least the next 12 months following the issuance date of the consolidated financial statements based primarily upon our Executive Chairman and Global Chief Scientific and Medical Officer’s intent and ability to support our operations with additional funds, including loans from affiliated entities, as required, which we believe alleviates such doubt. In addition to funds from the future sales of our approved product, which we expect to take time to establish, we may also seek to sell additional equity, through one or more follow-on public offerings, or in separate financings, or obtain a credit facility, issue other debt in compliance with the terms of the RIPA, or engage in strategic partnership transactions. However, we may not be able to secure such external financing in a timely manner or on favorable terms, if at all. Without additional funds, we may choose to delay or reduce our operating or investment expenditures. Further, because of the numerous risks and uncertainties associated with the development and commercialization of our product candidates, we may need additional funds to meet our needs sooner than planned.</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and the time required to successfully commercialize our approved product;</w:t>
      </w:r>
    </w:p>
    <w:p>
      <w:pPr>
        <w:spacing w:after="0" w:line="117" w:lineRule="exact"/>
        <w:rPr>
          <w:rFonts w:ascii="Times New Roman" w:cs="Times New Roman" w:eastAsia="Times New Roman" w:hAnsi="Times New Roman"/>
          <w:sz w:val="18"/>
          <w:szCs w:val="18"/>
          <w:b w:val="1"/>
          <w:bCs w:val="1"/>
          <w:color w:val="auto"/>
        </w:rPr>
      </w:pPr>
    </w:p>
    <w:p>
      <w:pPr>
        <w:ind w:left="980" w:right="460" w:hanging="324"/>
        <w:spacing w:after="0" w:line="282"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progress, timing, number, scope and costs of researching and developing our product candidates and our ongoing, planned and potential clinical trials;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of regulatory approvals;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any of our other product candidates, if approved and the costs of such commercialization activities;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780" w:hanging="324"/>
        <w:spacing w:after="0" w:line="282"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product candidates that we may commercialize, if any, including the selling prices for such potential products and the availability of adequate third-party coverage and reimbursement for patients;</w:t>
      </w:r>
    </w:p>
    <w:p>
      <w:pPr>
        <w:spacing w:after="0" w:line="53"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principal payments on our related-party promissory notes, and repayment of Revenue Interests and Test Date payments due under the RIPA;</w:t>
      </w:r>
    </w:p>
    <w:p>
      <w:pPr>
        <w:spacing w:after="0" w:line="53"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building, staffing and validating our own manufacturing facilities in the U.S., including having a product candidate successfully manufactured consistent with FDA and EMA regulations;</w:t>
      </w:r>
    </w:p>
    <w:p>
      <w:pPr>
        <w:spacing w:after="0" w:line="53"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timing and costs of our current and any potential future collaborations, business or product acquisitions, CVRs, milestones, royalties, licensing or other arrangements that we have established or may establish;</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necessary to respond to technological, regulatory, political and market developments;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filing, prosecuting, maintaining, defending and enforcing any patent claims and other intellectual property rights.</w:t>
      </w:r>
    </w:p>
    <w:p>
      <w:pPr>
        <w:spacing w:after="0" w:line="17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 including but not limited to the offering, issuance and sale by us of our common stock that may be issued and sold under the ATM.</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equity-linked securities (including warrants), convertible debt or through the ATM, our shelf registration statements, or other offerings, or if any of our current debt is converted into equity or if our existing warrants are exercised,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material cash requirements to pay related-party affiliates and third parties under various contractual obligations discussed below:</w:t>
      </w:r>
    </w:p>
    <w:p>
      <w:pPr>
        <w:spacing w:after="0" w:line="117" w:lineRule="exact"/>
        <w:rPr>
          <w:sz w:val="20"/>
          <w:szCs w:val="20"/>
          <w:color w:val="auto"/>
        </w:rPr>
      </w:pPr>
    </w:p>
    <w:p>
      <w:pPr>
        <w:ind w:left="980" w:right="100" w:hanging="324"/>
        <w:spacing w:after="0" w:line="261"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are obligated to make payments to several related-party affiliates under written agreements and other informal arrangements. We are also obligated to pay interest and to repay principal under our related-party promissory notes.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information regarding our financing obligations.</w:t>
      </w:r>
    </w:p>
    <w:p>
      <w:pPr>
        <w:spacing w:after="0" w:line="71" w:lineRule="exact"/>
        <w:rPr>
          <w:rFonts w:ascii="Times New Roman" w:cs="Times New Roman" w:eastAsia="Times New Roman" w:hAnsi="Times New Roman"/>
          <w:sz w:val="18"/>
          <w:szCs w:val="18"/>
          <w:b w:val="1"/>
          <w:bCs w:val="1"/>
          <w:color w:val="auto"/>
        </w:rPr>
      </w:pPr>
    </w:p>
    <w:p>
      <w:pPr>
        <w:ind w:left="980" w:right="80" w:hanging="324"/>
        <w:spacing w:after="0" w:line="266"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obligated to make payments to Oberland associated with our revenue interest liability, which do not have a fixed repayment schedule. Oberland’s right to receive payments under the RIPA shall terminate when Oberland has received maximum payments (including any True-Up Payment) equal to 195.0% of the then Cumulative Purchaser Payments unless the RIPA is terminated prior to such date.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120"/>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prior to the Test Date, every $100.0 million of worldwide net sales, excluding those in China, of less than or equal to $600.0 million in a calendar year will result in a tiered Revenue Interest Payment of approximately $10.0 million or 10.0% (after funding of the Second Payment). Worldwide net sales, excluding those in China, for a calendar year exceeding $600.0 million will result in a tiered Revenue Interest Payment of approximately $4.5 million or 4.5% (after funding of the Second Payment) for every $100.0 million of worldwide net sales, excluding those in China, above the threshold.</w:t>
      </w:r>
    </w:p>
    <w:p>
      <w:pPr>
        <w:spacing w:after="0" w:line="75"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 xml:space="preserve">In the future, cumulative worldwide net sales, excluding those in China, levels up to the Test Date will determine whether or not we are required to make a True-Up Payment and implement modified payment rates. The amount of the obligation and timing of payment is likely to change.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more information regarding the RIPA.</w:t>
      </w:r>
    </w:p>
    <w:p>
      <w:pPr>
        <w:spacing w:after="0" w:line="70" w:lineRule="exact"/>
        <w:rPr>
          <w:sz w:val="20"/>
          <w:szCs w:val="20"/>
          <w:color w:val="auto"/>
        </w:rPr>
      </w:pPr>
    </w:p>
    <w:p>
      <w:pPr>
        <w:ind w:left="980" w:right="240" w:hanging="324"/>
        <w:spacing w:after="0" w:line="277" w:lineRule="auto"/>
        <w:tabs>
          <w:tab w:leader="none" w:pos="975"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We are obligated to make payments under our operating leases, which primarily consist of facility leases. See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Lease Arrangements,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Note 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Related-Party Agreements,</w:t>
      </w:r>
      <w:r>
        <w:rPr>
          <w:rFonts w:ascii="Times New Roman" w:cs="Times New Roman" w:eastAsia="Times New Roman" w:hAnsi="Times New Roman"/>
          <w:sz w:val="17"/>
          <w:szCs w:val="17"/>
          <w:color w:val="auto"/>
        </w:rPr>
        <w:t xml:space="preserve"> of the “Notes to Unaudited Condensed Consolidated Financial Statements” that appear in</w:t>
      </w:r>
    </w:p>
    <w:p>
      <w:pPr>
        <w:spacing w:after="0" w:line="1" w:lineRule="exact"/>
        <w:rPr>
          <w:rFonts w:ascii="Times New Roman" w:cs="Times New Roman" w:eastAsia="Times New Roman" w:hAnsi="Times New Roman"/>
          <w:sz w:val="17"/>
          <w:szCs w:val="17"/>
          <w:b w:val="1"/>
          <w:bCs w:val="1"/>
          <w:color w:val="auto"/>
        </w:rPr>
      </w:pPr>
    </w:p>
    <w:p>
      <w:pPr>
        <w:ind w:left="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Item 1. “Financial Statements” of this Quarterly Report for information regarding our lease obligations.</w:t>
      </w:r>
    </w:p>
    <w:p>
      <w:pPr>
        <w:spacing w:after="0" w:line="98" w:lineRule="exact"/>
        <w:rPr>
          <w:rFonts w:ascii="Times New Roman" w:cs="Times New Roman" w:eastAsia="Times New Roman" w:hAnsi="Times New Roman"/>
          <w:sz w:val="17"/>
          <w:szCs w:val="17"/>
          <w:b w:val="1"/>
          <w:bCs w:val="1"/>
          <w:color w:val="auto"/>
        </w:rPr>
      </w:pPr>
    </w:p>
    <w:p>
      <w:pPr>
        <w:ind w:left="980" w:right="20" w:hanging="324"/>
        <w:spacing w:after="0" w:line="261"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the acquisitions of Altor and VivaBioCell, we are obligated to pay contingent consideration upon the achievement of certain milestones.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Contingencies—Contingent Consideration Related to Business Combinations,</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information regarding our contingent consideration obligations.</w:t>
      </w:r>
    </w:p>
    <w:p>
      <w:pPr>
        <w:spacing w:after="0" w:line="71"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have contractual obligations to make payments to related-party affiliates and third parties under unconditional purchase arrangements. See Note 7, </w:t>
      </w:r>
      <w:r>
        <w:rPr>
          <w:rFonts w:ascii="Times New Roman" w:cs="Times New Roman" w:eastAsia="Times New Roman" w:hAnsi="Times New Roman"/>
          <w:sz w:val="18"/>
          <w:szCs w:val="18"/>
          <w:i w:val="1"/>
          <w:iCs w:val="1"/>
          <w:color w:val="auto"/>
        </w:rPr>
        <w:t>Commitments and Contingencies—Unconditional Purchase Obligations,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March 19, 2024 for information on these unconditional purchase obligations.</w:t>
      </w:r>
    </w:p>
    <w:p>
      <w:pPr>
        <w:spacing w:after="0" w:line="71" w:lineRule="exact"/>
        <w:rPr>
          <w:rFonts w:ascii="Times New Roman" w:cs="Times New Roman" w:eastAsia="Times New Roman" w:hAnsi="Times New Roman"/>
          <w:sz w:val="18"/>
          <w:szCs w:val="18"/>
          <w:b w:val="1"/>
          <w:bCs w:val="1"/>
          <w:color w:val="auto"/>
        </w:rPr>
      </w:pPr>
    </w:p>
    <w:p>
      <w:pPr>
        <w:ind w:left="980" w:right="40" w:hanging="324"/>
        <w:spacing w:after="0" w:line="261"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certain contractual commitments that are expected to be paid within one year, depending on the progress of build outs, completion of services, and the realization of milestones associated with third-party agreements. This amount totals $50.3 million and is primarily related to capital expenditures, open purchase orders as of June 30, 2024 for the acquisition of goods and services in the ordinary course of business, and near-term upfront milestone payments to third parties.</w:t>
      </w:r>
    </w:p>
    <w:p>
      <w:pPr>
        <w:spacing w:after="0" w:line="71" w:lineRule="exact"/>
        <w:rPr>
          <w:rFonts w:ascii="Times New Roman" w:cs="Times New Roman" w:eastAsia="Times New Roman" w:hAnsi="Times New Roman"/>
          <w:sz w:val="18"/>
          <w:szCs w:val="18"/>
          <w:b w:val="1"/>
          <w:bCs w:val="1"/>
          <w:color w:val="auto"/>
        </w:rPr>
      </w:pPr>
    </w:p>
    <w:p>
      <w:pPr>
        <w:ind w:left="980" w:right="40" w:hanging="324"/>
        <w:spacing w:after="0" w:line="261"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we have contractual commitments that are expected to be paid in fiscal year 2025 and beyond based on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June 30, 2024, the maximum amount that may be payable related to these commitments is $432.7 million.</w:t>
      </w:r>
    </w:p>
    <w:p>
      <w:pPr>
        <w:spacing w:after="0" w:line="71" w:lineRule="exact"/>
        <w:rPr>
          <w:rFonts w:ascii="Times New Roman" w:cs="Times New Roman" w:eastAsia="Times New Roman" w:hAnsi="Times New Roman"/>
          <w:sz w:val="18"/>
          <w:szCs w:val="18"/>
          <w:b w:val="1"/>
          <w:bCs w:val="1"/>
          <w:color w:val="auto"/>
        </w:rPr>
      </w:pPr>
    </w:p>
    <w:p>
      <w:pPr>
        <w:ind w:left="980" w:right="380" w:hanging="324"/>
        <w:spacing w:after="0" w:line="258"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our leasehold interest in the Dunkirk Facility, we committed to spend an aggregate of $1.52 billion on operational expenses during the initial 10-year term, and an additional $1.50 billion on operational expenses if we elect to renew the lease for the additional 10-year term. These amounts are not included in the discussion above.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Acquisition—Acquisition</w:t>
      </w:r>
      <w:r>
        <w:rPr>
          <w:rFonts w:ascii="Times New Roman" w:cs="Times New Roman" w:eastAsia="Times New Roman" w:hAnsi="Times New Roman"/>
          <w:sz w:val="18"/>
          <w:szCs w:val="18"/>
          <w:color w:val="auto"/>
        </w:rPr>
        <w:t>, of the “Notes to Unaudited Condensed Consolidated Financial Statements” that appears in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this Quarterly Report for more information on these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Part II, Item 7. “Management’s Discussion and Analysis of Financial Condition and Results of Operations” of our Annual Report filed with the SEC on March 19, 2024, we disclose those accounting policies that we consider to be significant in determining our results of operations and financial condition. There have been no material changes to those policies that we consider to be significant as of the date of this Quarterly Report, except as updated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Unaudited Condensed Consolidated Financial Statements” that appears in Item 1. “Financial Statements” of this Quarterly Report as it relates to revenue recognition, cost of revenue, accounts receivable, inventory, warrants, convertible notes, debt, revenue interest liability, and derivative liabilities.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which have been prepared in accordance with U.S. GAAP. The preparation of condensed consolidated financial statements requires management to make certain estimates and assumptions that affect the reported amounts of assets, liabilities and expenses and the disclosure of contingent assets and liabilities at the date of the condensed consolidated financial statements and the reported amounts of revenues and expenses during the reporting period. On an ongoing basis, we evaluate our estimates, including those related to the valuation of equity-based awards, deferred income taxes and related valuation allowances, revenue interest liability, preclinical and clinical trial accruals, impairment assessments, CVR measurement and assessments, the measurement of right-of-use assets and lease liabilities, useful lives of long-lived assets, loss contingencies, fair value calculation of warrants and convertible promissory notes, fair value measurements, asset acquisition, and the assessment of our ability to fund our operations for at least the next 12 months from the date of issuance of these condensed consolidated financial statements. We base our estimates on historical experience and on various other market-specific and relevant assumptions that we believe to be reasonable under the circumstances. Estimates are assessed each period and updated to reflect current information, such as the economic considerations related to the impact that any ongoing pandemic could have on our significant accounting estimates. Actual results could differ from those estimates.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Unaudited Condensed Consolidated Financial Statements” that appears in Item 1. “Financial Statements” of this Quarterly Report for a discussion of recent accounting pronouncements or changes in accounting pronouncements that are of significance, or potential significance, to us.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Subsequent to June 30, 2024, institutional holders exercised a total of 4,740,249 warrants pursuant to the February 2023 Warrant agreement at an exercise price of $3.2946 per share resulting in the issuance of 4,740,249 shares of the company’s common stock for proceeds totaling $15.6 million. As of August 12, 2024, a total of 2,814,523 warrants remain outstanding under the February 2023 Warrant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HCW Settlement</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July 13, 2024, we entered into a Settlement with HCW and Dr. Hing Wong to resolve the claims asserted in the consolidated arbitration and related matters. Under the terms of the Settlement, in part and for no monetary consideration from ImmunityBio, HCW transferred and assigned to ImmunityBio molecules (along with other related assets, including master cell banks, clinical trial protocols, inventory and FDA documents), controlled by HCW that were generated through the use of a TF Platform related to the human TGF-β receptor and TGF-β traps, including, without limitation, HCW9218, HCW9219, HCW9209 and any derivatives thereof or therefrom, including assignment of all patents, know how and all other intellectual property existing as of the Settlement effective date and thereafter that is necessary or reasonably useful for the exploitation of such TGF-β molecules, with the exception that future reasonably useful intellectual property is the subject of a non-exclusive license to ImmunityBio. For indications outside of oncology, ImmunityBio has agreed to grant an exclusive license back to HCW for the transferred intellectual property for TGF-β products, and a non-exclusive license for neoadjuvant ovarian cancer, subject to certain requirements.</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the Settlement provides to ImmunityBio a worldwide, perpetual, irrevocable, fully paid-up, royalty-free, exclusive license to exploit fusion proteins, molecules and/or antibodies created utilizing the TF Platform directed to the receptors of PDL-1, IL-7, IL-12, IL-18, and IL-21, and one additional target to be selected by ImmunityBio within the next six months at its sole discretion, in the oncology field. Furthermore, the Settlement provides additional license terms including, without limitation, a non-exclusive license to ImmunityBio to exploit HCW9201, another fusion protein, and the anti-tissue factor based antibody HCW9101 and the linked resins to manufacture and purify the fusion proteins described above, as well as a right of first refusal for ImmunityBio with respect to any other fusion protein developed by HCW using the TF Platform going forward.</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Settlement, the parties have agreed to mutual, full and complete releases, and the company has agreed to dismiss the consolidated arbitration claims and related matters following HCW’s compliance with the terms of the Settlement.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Settlement does not purport to be complete and is qualified in its entirety by reference to the full text of the Settlement, a copy of which is intended to be filed with the company’s Quarterly Report on Form 10-Q for the period ending September 30, 2024, subject to any potential redactions thereto as appropriate.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Financial market risks related to interest rates, foreign currency exchange rates, market risk on the price and volatility of our common stock, and inflation are described in Part II, Item 7A. “Quantitative and Qualitative Disclosures About Market Risk” of our Annual Report filed with the SEC on March 19, 2024. There have been no material changes to such financial market risks as of the date of this Quarterly Report. We do not currently anticipate any other near-term changes in the nature of our financial market risk exposures or in management’s objectives and strategies with respect to managing such exposures.</w:t>
      </w:r>
    </w:p>
    <w:p>
      <w:pPr>
        <w:spacing w:after="0" w:line="2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with the participation of our CEO and CFO, evaluated the effectiveness of our disclosure controls and procedures as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June 30, 2024. The term “disclosure controls and procedures,” as defined in Rule 13a-15(e) of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 apply its judgment in evaluating the cost-benefit relationship of possible controls and procedures. Based on the evaluation of our disclosure controls and procedures as of June 30, 2024, our CEO and CFO have concluded that, as of June 30, 2024,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May 2024, we began shipping and recording revenue and inventory related to ANKTIVA. In addition, we are using a third-party logistics provider for shipping, finished goods inventory management, customer service, and certain other logistical and financial reporting services related to these shipments of ANKTIVA. As a result, we are relying on their systems and processes for the above functions. We have implemented a variety of internal control processes in various functional areas of our company to ensure that financial data related to ANKTIVA revenue and inventory activity has been correctly reflected in our condensed consolidated financial statements. Additionally, we also evaluated the adequacy and effectiveness of the internal controls at our third-party logistics provider. We are not aware of any material adverse impacts on our internal control over financial reporting as a result of the implementation of these new controls.</w:t>
      </w:r>
    </w:p>
    <w:p>
      <w:pPr>
        <w:spacing w:after="0" w:line="18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other changes in our internal control over financial reporting (as defined in Rules 13a-15(f) and 15d-15(f) of the Exchange Act) during the fiscal quarter ended June 30, 2024, that our certifying officers concluded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Beike Biotechnology Co. Ltd. Arbitration</w:t>
      </w:r>
    </w:p>
    <w:p>
      <w:pPr>
        <w:spacing w:after="0" w:line="1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agreement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w:t>
      </w:r>
    </w:p>
    <w:p>
      <w:pPr>
        <w:spacing w:after="0" w:line="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and the company served its Statement of Defense and Counterclaim on June 21, 2024, and Beike served its Statement of Defense to the Counterclaim and Reply on August 2, 2024. The hearing in the arbitration is scheduled to begin on June 9, 2025. Given that no discovery has occurred, it remains too early to evaluate the likely outcome of the case or to estimate any range of potential loss. We believe the claims asserted against the company lack merit and intend to defend the case, and to pursue our counterclaims, vigorously.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June 30, 2023, a putative securities class action complaint, captioned </w:t>
      </w:r>
      <w:r>
        <w:rPr>
          <w:rFonts w:ascii="Times New Roman" w:cs="Times New Roman" w:eastAsia="Times New Roman" w:hAnsi="Times New Roman"/>
          <w:sz w:val="18"/>
          <w:szCs w:val="18"/>
          <w:i w:val="1"/>
          <w:iCs w:val="1"/>
          <w:color w:val="auto"/>
        </w:rPr>
        <w:t>Salzman v. ImmunityBio, Inc. et al.</w:t>
      </w:r>
      <w:r>
        <w:rPr>
          <w:rFonts w:ascii="Times New Roman" w:cs="Times New Roman" w:eastAsia="Times New Roman" w:hAnsi="Times New Roman"/>
          <w:sz w:val="18"/>
          <w:szCs w:val="18"/>
          <w:color w:val="auto"/>
        </w:rPr>
        <w:t xml:space="preserve">, No. 3:23-cv-01216-BEN-WVG, was filed in the U.S.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BLA for its then product candidate, ANKTIVA with BCG for the treatment of adult patients with BCG-unresponsive NMIBC with CIS, with or without papillary tumors, in its present form due to deficiencies related to its pre-license inspection of the company’s third-party CMOs, the complaint alleges that the defendants had previously made materially false and misleading statements and/or omitted material adverse facts regarding its third-party clinical manufacturing organizations and the prospects for regulatory approval of the BLA. The complaint did not specify the amount of damages being sought. On September 27, 2023, the court appointed a lead plaintiff, approved their selection of lead counsel, and re-captioned the case </w:t>
      </w:r>
      <w:r>
        <w:rPr>
          <w:rFonts w:ascii="Times New Roman" w:cs="Times New Roman" w:eastAsia="Times New Roman" w:hAnsi="Times New Roman"/>
          <w:sz w:val="18"/>
          <w:szCs w:val="18"/>
          <w:i w:val="1"/>
          <w:iCs w:val="1"/>
          <w:color w:val="auto"/>
        </w:rPr>
        <w:t>In re. ImmunityBio, Inc. Securities Litigation,</w:t>
      </w:r>
      <w:r>
        <w:rPr>
          <w:rFonts w:ascii="Times New Roman" w:cs="Times New Roman" w:eastAsia="Times New Roman" w:hAnsi="Times New Roman"/>
          <w:sz w:val="18"/>
          <w:szCs w:val="18"/>
          <w:color w:val="auto"/>
        </w:rPr>
        <w:t xml:space="preserve"> No. 3:23-cv-01216. On November 17, 2023, the lead plaintiff filed an amended complaint, which named the same defendants and asserted the same claims as the previous complaint. On January 8, 2024, the defendants filed a motion to dismiss the amended complaint. On June 20, 2024, the court issued an order granting in part and denying in part the motion to dismiss. On July 16, 2024, the lead plaintiff notified the court that he would proceed with his current pleading. The company disputes the claims and intends to defend the case vigorously. The company is unable to estimate a range of loss, if any, that could result were there to be an adverse final decision in this action. If an unfavorable outcome were to occur, it is possible that the impact could be material to the company’s results of operations in the period(s) in which any such outcome becomes probable and estimable.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Altor BioScience, LLC, and NantCell, Inc. Matters Against Dr. Hing Wong and HCW Biologics, Inc.</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23, 2022, Altor and NantCell filed an arbitration demand against Dr. Hing Wong, former CEO of Altor and NantCell. The demand asserts claims for breach of Dr. Wong’s contracts with the companies, breach of the covenant of good faith and fair dealing, conversion, fraudulent concealment, unjust enrichment, breach of fiduciary duty, and replevin. The same day, Dr. Wong filed an arbitration demand seeking a declaratory judgment finding that Dr. Wong is not liable to Altor or NantCell for any of their claims. The parties have agreed to consolidate the arbitration filings in one proceeding, and on January 23, 2023, Dr. Wong filed an Answering Statement denying the claims.</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Also, on December 23, 2022 Altor and NantCell filed a complaint in the United States District Court for the Southern District of Florida against HCW, Dr. Wong’s new company. Altor’s and NantCell’s complaint asserts claims for misappropriation of trade secrets under both Florida and federal law, inducement of breach of contract, tortious interference with contractual relations, inducement of breach of fiduciary duty, conversion, unjust enrichment, replevin, request for assignment of patents and patent applications, and establishment of a constructive trust. On January 31, 2023, HCW filed motions to compel arbitration of Altor’s and NantCell’s claims, or in the alternative to stay or dismiss them. Altor and NantCell filed an opposition to the motions on February 14, 2023, and HCW filed reply papers on February 21, 2023. At a hearing on April 18, 2023, the court heard argument and requested supplemental briefing. After the hearing, the parties reached an agreement to consolidate all claims in a single arbitration proceeding. On May 1, 2023, we filed our arbitration demand asserting the same claims against HCW that were asserted in the federal court complaint. On May 15, 2023, HCW filed an Answering Statement denying the claims. The hearing in the consolidated arbitration took place from May 20, 2024 to May 30, 2024. On July 13, 2024, the parties entered into a definitive Settlement Agreement and Release to resolve the claims asserted in the consolidated arbitration and related matters, pursuant to which HCW transferred and assigned to ImmunityBio ownership of intellectual property (including issued patents, pending patent applications, and know-how) and preclinical and clinical drug candidates that we believe has the potential to become an important component of our fusion protein platform against oncology indications in the years to come. See Part I, Item 2. “</w:t>
      </w:r>
      <w:r>
        <w:rPr>
          <w:rFonts w:ascii="Times New Roman" w:cs="Times New Roman" w:eastAsia="Times New Roman" w:hAnsi="Times New Roman"/>
          <w:sz w:val="18"/>
          <w:szCs w:val="18"/>
          <w:i w:val="1"/>
          <w:iCs w:val="1"/>
          <w:color w:val="auto"/>
        </w:rPr>
        <w:t>Management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details regarding the Settlement.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any of which may be relevant to decisions regarding an investment in or ownership of our stock. The occurrence of any of these risks could have a significant adverse effect on our reputation, business, financial condition, results of operations, growth, and ability to accomplish our strategic objectives. We have organized the description of these risks into groupings in an effort to enhance readability, but many of the risks interrelate or could be grouped or ordered in other ways, so no special significance should be attributed to the groupings or order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21" w:lineRule="exact"/>
        <w:rPr>
          <w:sz w:val="20"/>
          <w:szCs w:val="20"/>
          <w:color w:val="auto"/>
        </w:rPr>
      </w:pPr>
    </w:p>
    <w:p>
      <w:pPr>
        <w:ind w:left="980" w:right="240" w:hanging="324"/>
        <w:spacing w:after="0" w:line="266"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 vertically integrated biotechnology company with a single approved product and a limited operating history, and have many other product candidates at the clinical stage. We have a history of operating losses and we expect to continue to incur losses and may never be profitable,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anticipate needing additional financing to fund our operations and complete the commercialization of our approved product and the development and commercialization of our other product candidates.</w:t>
      </w:r>
    </w:p>
    <w:p>
      <w:pPr>
        <w:spacing w:after="0" w:line="53"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RIPA imposes Revenue Interest Payment obligations, which may adversely affect our financial position and results of operations, as well as affirmative and negative covenants, which restrict our business operations.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debt and revenue interest liability could adversely affect our cash flows and limit our flexibility to raise additional capital.</w:t>
      </w:r>
    </w:p>
    <w:p>
      <w:pPr>
        <w:spacing w:after="0" w:line="117" w:lineRule="exact"/>
        <w:rPr>
          <w:rFonts w:ascii="Times New Roman" w:cs="Times New Roman" w:eastAsia="Times New Roman" w:hAnsi="Times New Roman"/>
          <w:sz w:val="18"/>
          <w:szCs w:val="18"/>
          <w:b w:val="1"/>
          <w:bCs w:val="1"/>
          <w:color w:val="auto"/>
        </w:rPr>
      </w:pPr>
    </w:p>
    <w:p>
      <w:pPr>
        <w:ind w:left="980" w:right="260" w:hanging="324"/>
        <w:spacing w:after="0" w:line="266"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Approved Product and our Other Product Candidates</w:t>
      </w:r>
    </w:p>
    <w:p>
      <w:pPr>
        <w:spacing w:after="0" w:line="121" w:lineRule="exact"/>
        <w:rPr>
          <w:sz w:val="20"/>
          <w:szCs w:val="20"/>
          <w:color w:val="auto"/>
        </w:rPr>
      </w:pPr>
    </w:p>
    <w:p>
      <w:pPr>
        <w:ind w:left="980" w:hanging="324"/>
        <w:spacing w:after="0" w:line="261"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substantially dependent on the successful commercialization of our approved product and the success and regulatory approval of our other product candidates. If we are unable to successfully commercialize our approved product or successfully complete clinical development of, obtain regulatory approval for, or commercialize, our other product candidates, or if we experience delays in doing so, our business will be materially harmed.</w:t>
      </w:r>
    </w:p>
    <w:p>
      <w:pPr>
        <w:spacing w:after="0" w:line="71" w:lineRule="exact"/>
        <w:rPr>
          <w:rFonts w:ascii="Times New Roman" w:cs="Times New Roman" w:eastAsia="Times New Roman" w:hAnsi="Times New Roman"/>
          <w:sz w:val="18"/>
          <w:szCs w:val="18"/>
          <w:b w:val="1"/>
          <w:bCs w:val="1"/>
          <w:color w:val="auto"/>
        </w:rPr>
      </w:pPr>
    </w:p>
    <w:p>
      <w:pPr>
        <w:ind w:left="980" w:right="560" w:hanging="324"/>
        <w:spacing w:after="0" w:line="282"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limited experience as a commercial company and the sales, marketing, and distribution of our approved product or any future approved products may be unsuccessful or less successful than anticipated.</w:t>
      </w:r>
    </w:p>
    <w:p>
      <w:pPr>
        <w:spacing w:after="0" w:line="53"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developed an approved product and are developing other product candidates in combination with other therapies, which exposes us to additional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21" w:lineRule="exact"/>
        <w:rPr>
          <w:sz w:val="20"/>
          <w:szCs w:val="20"/>
          <w:color w:val="auto"/>
        </w:rPr>
      </w:pPr>
    </w:p>
    <w:p>
      <w:pPr>
        <w:ind w:left="980" w:right="180" w:hanging="324"/>
        <w:spacing w:after="0" w:line="272" w:lineRule="auto"/>
        <w:tabs>
          <w:tab w:leader="none" w:pos="975"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have relied and will continue to rely on third parties and related parties to conduct some of our preclinical studies and clinical trials, manufacture products, and perform many essential services for any products that we commercialize, and any failure by a third party, related party, or by us to perform as expected, to comply with legal and regulatory requirements or to conduct the clinical trials according to</w:t>
      </w:r>
    </w:p>
    <w:p>
      <w:pPr>
        <w:spacing w:after="0" w:line="1" w:lineRule="exact"/>
        <w:rPr>
          <w:rFonts w:ascii="Times New Roman" w:cs="Times New Roman" w:eastAsia="Times New Roman" w:hAnsi="Times New Roman"/>
          <w:sz w:val="17"/>
          <w:szCs w:val="17"/>
          <w:b w:val="1"/>
          <w:bCs w:val="1"/>
          <w:color w:val="auto"/>
        </w:rPr>
      </w:pPr>
    </w:p>
    <w:p>
      <w:pPr>
        <w:ind w:left="980" w:right="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GCP guidelines, and in a timely manner, may delay or prevent our ability to commercialize our approved product, to seek or obtain regulatory approval for or commercialize our other product candidates or may subject us to regulatory sanctions.</w:t>
      </w:r>
    </w:p>
    <w:p>
      <w:pPr>
        <w:spacing w:after="0" w:line="73" w:lineRule="exact"/>
        <w:rPr>
          <w:rFonts w:ascii="Times New Roman" w:cs="Times New Roman" w:eastAsia="Times New Roman" w:hAnsi="Times New Roman"/>
          <w:sz w:val="17"/>
          <w:szCs w:val="17"/>
          <w:b w:val="1"/>
          <w:bCs w:val="1"/>
          <w:color w:val="auto"/>
        </w:rPr>
      </w:pPr>
    </w:p>
    <w:p>
      <w:pPr>
        <w:ind w:left="980" w:right="180" w:hanging="324"/>
        <w:spacing w:after="0" w:line="261"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successfully commercialize our approved product or any other product candidates if approved.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160" w:hanging="324"/>
        <w:spacing w:after="0" w:line="266"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spacing w:after="0" w:line="67"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formed, and may in the future form or seek, strategic alliances or enter into collaborations with third parties or additional licensing arrangements, and we may not realize the benefits of such alliances or licensing arrangements, and we may engage in disputes with such third parties, which can be costly and time consuming.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121" w:lineRule="exact"/>
        <w:rPr>
          <w:sz w:val="20"/>
          <w:szCs w:val="20"/>
          <w:color w:val="auto"/>
        </w:rPr>
      </w:pPr>
    </w:p>
    <w:p>
      <w:pPr>
        <w:ind w:left="980" w:right="220" w:hanging="324"/>
        <w:spacing w:after="0" w:line="266"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be unable to obtain U.S. or foreign regulatory approval and, as a result, may be unable to commercialize our other product candidates. We are, and will continue to be subject to ongoing extensive regulation, regulatory obligations and continued regulatory review, which may result in significant additional expense.</w:t>
      </w:r>
    </w:p>
    <w:p>
      <w:pPr>
        <w:spacing w:after="0" w:line="67"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Obtaining and maintaining regulatory approval of our approved product or other product candidates in one jurisdiction does not mean that we will be successful in obtaining regulatory approval in other jurisdictions.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61"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 though we have a regulatory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product candidates.</w:t>
      </w:r>
    </w:p>
    <w:p>
      <w:pPr>
        <w:spacing w:after="0" w:line="7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establish adequate sales, marketing and distribution capabilities, we may not be successful commercializing our approved product or other product candidates if and when they are approved.</w:t>
      </w:r>
    </w:p>
    <w:p>
      <w:pPr>
        <w:spacing w:after="0" w:line="53"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Problems related to large-scale commercial manufacturing could cause delays in product launches, an increase in product costs, product recalls or product shortages.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sz w:val="20"/>
          <w:szCs w:val="20"/>
          <w:color w:val="auto"/>
        </w:rPr>
      </w:pPr>
    </w:p>
    <w:p>
      <w:pPr>
        <w:ind w:left="980" w:right="100" w:hanging="324"/>
        <w:spacing w:after="0" w:line="266"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obtain, maintain, protect and enforce patent protection and other proprietary rights for our approved product and our other product candidates and technologies, we may not be able to compete effectively or operate profitably and our ability to prevent our competitors from commercializing similar or identical technology and we would be adversely affected.</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of our owned or in-licensed patent applications do not issue as patents in any jurisdiction, we may not be able to compete effectively.</w:t>
      </w:r>
    </w:p>
    <w:p>
      <w:pPr>
        <w:spacing w:after="0" w:line="117" w:lineRule="exact"/>
        <w:rPr>
          <w:rFonts w:ascii="Times New Roman" w:cs="Times New Roman" w:eastAsia="Times New Roman" w:hAnsi="Times New Roman"/>
          <w:sz w:val="18"/>
          <w:szCs w:val="18"/>
          <w:b w:val="1"/>
          <w:bCs w:val="1"/>
          <w:color w:val="auto"/>
        </w:rPr>
      </w:pPr>
    </w:p>
    <w:p>
      <w:pPr>
        <w:ind w:left="980" w:right="20" w:hanging="324"/>
        <w:spacing w:after="0" w:line="258"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approved product and other product candidates, or may put our patents and other proprietary rights at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CVRs</w:t>
      </w:r>
    </w:p>
    <w:p>
      <w:pPr>
        <w:spacing w:after="0" w:line="121" w:lineRule="exact"/>
        <w:rPr>
          <w:sz w:val="20"/>
          <w:szCs w:val="20"/>
          <w:color w:val="auto"/>
        </w:rPr>
      </w:pPr>
    </w:p>
    <w:p>
      <w:pPr>
        <w:ind w:left="980" w:right="120" w:hanging="324"/>
        <w:spacing w:after="0" w:line="282" w:lineRule="auto"/>
        <w:tabs>
          <w:tab w:leader="none" w:pos="97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our Executive Chairman, Global Chief Scientific and Medical Officer and principal stockholder, has significant interests in other companies which may conflict with our interests.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through his voting control of the company, has the ability to control actions that require stockholder approval.</w:t>
      </w:r>
    </w:p>
    <w:p>
      <w:pPr>
        <w:spacing w:after="0" w:line="117" w:lineRule="exact"/>
        <w:rPr>
          <w:rFonts w:ascii="Times New Roman" w:cs="Times New Roman" w:eastAsia="Times New Roman" w:hAnsi="Times New Roman"/>
          <w:sz w:val="18"/>
          <w:szCs w:val="18"/>
          <w:b w:val="1"/>
          <w:bCs w:val="1"/>
          <w:color w:val="auto"/>
        </w:rPr>
      </w:pPr>
    </w:p>
    <w:p>
      <w:pPr>
        <w:ind w:left="980" w:right="400" w:hanging="324"/>
        <w:spacing w:after="0" w:line="266" w:lineRule="auto"/>
        <w:tabs>
          <w:tab w:leader="none" w:pos="97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certain related-party promissory notes,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market price of our common stock has been and may continue to be volatile, and investors may have difficulty selling their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17"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vertically integrated biotechnology company with a single approved product and a limited operating history, and have many other product candidates at the clinical stage. We have a history of operating losses and we expect to continue to incur losses and may never be profitable, which, together with our limited operating history, makes it difficult to assess our future viability.</w:t>
      </w:r>
    </w:p>
    <w:p>
      <w:pPr>
        <w:spacing w:after="0" w:line="6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 vertically integrated biotechnology company with a limited operating history upon which you can evaluate our business and prospects regarding the commercialization of our approved product and we have a broad portfolio of product candidates at various stages of development. 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22, 2024, the FDA approved ANKTIVA for commercial sale, and we expect to begin generating revenue, although we expect it to take some time to generate significant revenue from our approved product. We can provide no assurance when, or if, this will occur. We do not expect additional revenue from our other product candidates unless and until we obtain regulatory approval of and commercialize any of such other product candidates, and we do not know when, or if, this will occur. In addition, we have limited experience and have not yet demonstrated an ability to successfully overcome many of the risks and uncertainties frequently encountered by companies in new and rapidly evolving fields, particularly in the biotechnology industry, including in connection with obtaining marketing approvals, manufacturing a commercial-scale product or arranging for a third party to do so on our behalf, and conducting sales and marketing activities necessary for successful product commercialization. Because of the numerous risks and uncertainties associated with the commercialization of our approved product and other development efforts, we are unable to predict when we may become profitable, if at all.</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Since the commencement of our operations, we have incurred significant losses each year, and, as of June 30, 2024, we had an accumulated deficit of $3.2 billion. We expect to continue to incur significant expenses as we seek to expand our business, including in connection with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other product candidates. Furthermore, the timing and magnitude of sales of our approved product and other revenues remain uncertain and may take a significant amount of time to materialize.</w:t>
      </w:r>
    </w:p>
    <w:p>
      <w:pPr>
        <w:spacing w:after="0" w:line="187" w:lineRule="exact"/>
        <w:rPr>
          <w:sz w:val="20"/>
          <w:szCs w:val="20"/>
          <w:color w:val="auto"/>
        </w:rPr>
      </w:pPr>
    </w:p>
    <w:p>
      <w:pPr>
        <w:jc w:val="both"/>
        <w:ind w:right="120" w:firstLine="648"/>
        <w:spacing w:after="0" w:line="256" w:lineRule="auto"/>
        <w:rPr>
          <w:sz w:val="20"/>
          <w:szCs w:val="20"/>
          <w:color w:val="auto"/>
        </w:rPr>
      </w:pPr>
      <w:r>
        <w:rPr>
          <w:rFonts w:ascii="Times New Roman" w:cs="Times New Roman" w:eastAsia="Times New Roman" w:hAnsi="Times New Roman"/>
          <w:sz w:val="18"/>
          <w:szCs w:val="18"/>
          <w:color w:val="auto"/>
        </w:rPr>
        <w:t>If we are required by the FDA or any equivalent foreign regulatory authority to perform clinical trials or studies in addition to those we currently expect to conduct, or if there are any delays in completing the clinical trials of our other product candidates, our expenses could increase substantially. In May 2022, we submitted a BLA for our then product candidate, ANKTIVA with BCG for the treatment of adult patients with BCG-unresponsive NMIBC with CIS, with or without papillary tumors. In May 2023, we received a CRL from the FDA, indicating that the FDA had determined it could not approve the original BLA submission in its initial form, citing deficiencies related to the FDA’s pre-license inspection of our third-party CMOs, among other items and recommendations to address the issues raised.</w:t>
      </w:r>
    </w:p>
    <w:p>
      <w:pPr>
        <w:spacing w:after="0" w:line="18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had previously received a CRL in response to our initial BLA submission, which required us to resubmit the BLA to the FDA addressing the issues in the CRL. On April 22, 2024, the FDA approved our product, ANKTIVA with BCG for the treatment of adult patients with BCG-unresponsive NMIBC with CIS, with or without papillary tumors. We are required to comply with certain post-marketing commitments, including completion of our QUILT 3032 clinical trial and annual reporting for up to four years, with a final report submission to the FDA by the end of 2029. We began commercial distribution of our approved product in May 2024, however we can provide no assurance with respect to our future revenues, market acceptance, reimbursement from third-party payors, or the profitability of our approved product or other product candidates for which we may obtain regulatory approval.</w:t>
      </w:r>
    </w:p>
    <w:p>
      <w:pPr>
        <w:spacing w:after="0" w:line="189"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expect our expenses and net losses to increase significantly as we begin to commercialize our approved product, continue to develop and seek regulatory approvals for, our other product candidates, and plan to commercialize other approved products, if any, as well as hire additional personnel, protect our intellectual property and incur additional costs associated with operating as a public company. Since ANKTIVA is approved for use with BCG, any shortage or supply chain issues associated with BCG could impact the demand for ANKTIVA and our ability to commercialize our approved product.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net losses may fluctuate significantly from quarter to quarter and year to year, depending on sales, the timing of our clinical studies and trials, associated manufacturing needs, commercialization activities of our approved product, and any of our other product candidates, if they are approved, and our expenditures on other research and development activities.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also face the risks associated with the shift from development to commercialization of new products based on innovative technologies. Our ability to achieve profitability, if ever, is dependent upon, among other things, obtaining regulatory approvals for additional product candidates and successfully commercializing our approved product, and other product candidates alone or with third parties. However, our operations may not become profitable even with commercial sales of our approved product or other product candidates, even if they are successfully developed, approved and thereafter commercialized. Even if we do become profitable, we may not be able to sustain or increase our profitability on a quarterly or annual basis. As a result, it may be more difficult for you to assess our future viability than it could be if we had a longer operating history.</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anticipate needing additional financing to fund our operations and complete the commercialization of our approved product and the development and commercialization of our other product candidates, and if we are unable to obtain such financing when needed, or on acceptable terms, we may be unable to complete the successful commercialization of our approved product and the development and commercialization of our other product candidates.</w:t>
      </w:r>
    </w:p>
    <w:p>
      <w:pPr>
        <w:spacing w:after="0" w:line="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 significant portion of our funding had been in the form of promissory notes totaling $735.0 million in indebtedness (consisting of related-party promissory notes and accrued and unpaid interest) outstanding as of June 30, 2024 held by entities affiliated with Dr. Soon-Shiong.</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we held cash, cash equivalents and marketable securities totaling $218.0 million. We will need to obtain additional financing to fund our future operations, including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or marketing and/or distribution arrangements. However, we may be unable to raise additional funds or enter into such other arrangements when needed on favorable terms, or at all.</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To the extent that we raise additional capital through the sale of equity or equity-linked securities (including warrants), convertible debt or under the ATM, our shelf registration statements, or other offerings, or if any of our current debt is converted into equity or if our existing warrants are exercised, your ownership interest will be diluted, and the liquidation or other preferences may adversely affect your rights as a stockholder. If we incur additional indebtedness, our fixed payment obligations will increase, and we may have to comply with certain restrictive covenants that are similar to those associated with the revenue interest liability,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or exercise our Call Option (as defined in the RIPA) to purchase the outstanding revenue interest liability, which will require us to generate a significant amount of cash flow to offset these outflows.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See </w:t>
      </w:r>
      <w:r>
        <w:rPr>
          <w:rFonts w:ascii="Times New Roman" w:cs="Times New Roman" w:eastAsia="Times New Roman" w:hAnsi="Times New Roman"/>
          <w:sz w:val="18"/>
          <w:szCs w:val="18"/>
          <w:u w:val="single" w:color="auto"/>
          <w:color w:val="0000FF"/>
        </w:rPr>
        <w:t>“—Our payment obligations under the RIPA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adversely affect our financial position and results of operations and our ability to raise additional capital which in turn may increase our vulnerability to adverse regulatory developments or economic or business downturns”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Revenue Interest Purchase Agreement,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Unaudited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Condensed Consolidated Financial Statements” that appears in Part I, Item 1. “Financial Information” of this Quarterly Report for more information.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under the RIPA may adversely affect our financial position and results of operations and our ability to raise additional capital, which in turn may increase our vulnerability to adverse regulatory developments or economic or business downturns.</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December 29, 2023, we entered into the RIPA with Infinity and Oberland. Pursuant to the RIPA, Oberland acquired certain Revenue Interests from us for a gross purchase price of $200.0 million paid on closing, less certain transaction expenses. In addition, on May 13, 2024, Oberland purchased additional Revenue Interests from us in exchange for a $100.0 million Second Payment, which we requested upon satisfaction of certain conditions specified in the RIPA, including the receipt of approval by the FDA of our BLA for ANKTIVA on or before June 30, 2024. In consideration for the aforementioned payments, Oberland has the right to receive quarterly Revenue Interest Payments from us based on, among other things, our worldwide net sales, excluding those in China, which are tiered payments ranging from 4.50% to 10.00%, subject to increase or decrease, following December 31, 2029 depending on whether the aggregate payments made to Oberland as of that date met or exceeded the Cumulative Purchaser Payments (as defined in the RIPA). In addition, if the aggregate payments to Oberland as of December 31, 2029 do not equal or exceed the amount of the Cumulative Purchaser Payments, then we are obligated to make a one-time payment to Oberland in an amount equal to 100% of the Cumulative Purchaser Payments, less the aggregate amount of our previous payments to Oberland as of December 31, 2029 (the True-Up Payment, as defined in the RIPA).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Purchase Agreement</w:t>
      </w:r>
      <w:r>
        <w:rPr>
          <w:rFonts w:ascii="Times New Roman" w:cs="Times New Roman" w:eastAsia="Times New Roman" w:hAnsi="Times New Roman"/>
          <w:sz w:val="18"/>
          <w:szCs w:val="18"/>
          <w:color w:val="auto"/>
        </w:rPr>
        <w:t>, of the “Notes to Unaudited Condensed Consolidated Financial Statements” that appears in Part I,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this Quarterly Report for more information.</w:t>
      </w:r>
    </w:p>
    <w:p>
      <w:pPr>
        <w:spacing w:after="0" w:line="19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RIPA and our payment obligations to Oberland could have important negative consequences to holders of our securities. For example, a portion of our cash flow from operations will be needed to make required payments to Oberland and will not be available to fund future operations.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Payment requirements under the RIPA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amounts owed to Oberland when due would result in a default under the RIPA and could result in foreclosure on all or substantially all of our assets, which would have a material adverse effect.</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RIPA contains affirmative and negative operational covenants and events of default, which may prevent us from capitalizing on business opportunities and taking some corporate actions and give rise to a Put Option in favor of Oberland, which could have a material adverse effect on our financial condition and business operations.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RIPA contains affirmative and negative covenants and events of default, including covenants and restrictions that, among other things, restrict our ability to incur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Additionally, Oberland has a Put Option enabling them to terminate the RIPA and to require the company to repurchase the Revenue Interests upon enumerated events such as a bankruptcy event, failure to make a payment, an uncured material breach, default on certain third-party agreements, a breach or default under any subordination agreements with respect to indebtedness to existing stockholders, any right to repurchase or accelerate debt instruments like permitted convertible notes, existing stockholder indebtedness, or subordinated notes during certain time periods, judgments in excess of certain amounts against us, a material adverse effect, the loss of regulatory approval of our approved product, or a change of control. The triggering of the Put Option, including by our failure to comply with these covenants, would permit Oberland to declare certain amounts to be immediately due and payable. If we were to default under the terms of the RIPA, including by failure to make such accelerated payments, Oberland could exercise remedies, including initiating foreclosure proceedings against all or substantially all of our assets. Oberland’s right to repayment is senior to the rights of the holders of our common stock. Any triggering of the Put Option or other declaration by Oberland of an event of default under the RIPA could significantly harm our financial condition, business and prospects and could cause the price of our common stock to decline.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and revenue interest liability could adversely affect our cash flows and limit our flexibility to raise additional capital.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significant amount of debt and revenue interest liability and may need to incur additional debt to support our growth. As of</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June 30, 2024, our indebtedness totaled $735.0 million, (consisting of related-party promissory notes and accrued and unpaid interest), held by entities affiliated with Dr. Soon-Shiong along with a $300.0 million revenue interest liability with Oberland. Our substantial amount of debt could have important consequences and could:</w:t>
      </w:r>
    </w:p>
    <w:p>
      <w:pPr>
        <w:spacing w:after="0" w:line="78" w:lineRule="exact"/>
        <w:rPr>
          <w:sz w:val="20"/>
          <w:szCs w:val="20"/>
          <w:color w:val="auto"/>
        </w:rPr>
      </w:pPr>
    </w:p>
    <w:p>
      <w:pPr>
        <w:ind w:left="980" w:right="120" w:hanging="324"/>
        <w:spacing w:after="0" w:line="266"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us to dedicate a substantial portion of our cash and cash equivalents to make interest and principal payments on our debt and revenue interest liability payments, reducing the availability of our cash and cash equivalents and cash flow from operations to fund future capital expenditures, working capital, execution of our strategy and other general corporate requirements;</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cost of borrowing and even limit our ability to access additional debt to fund future growth;</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vulnerability to general adverse economic and industry conditions and adverse changes in governmental regulations;</w:t>
      </w:r>
    </w:p>
    <w:p>
      <w:pPr>
        <w:spacing w:after="0" w:line="11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flexibility in planning for, or reacting to, changes in our business and industry, which may place us at a disadvantage compared with our competitors; and</w:t>
      </w:r>
    </w:p>
    <w:p>
      <w:pPr>
        <w:spacing w:after="0" w:line="53"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ability to borrow additional funds, even when necessary to maintain adequate liquidity, which would also limit our ability to further expand our business.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 foregoing factors could have a material adverse effect on our business, results of operations and financial condition.</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Further, the company’s ability to make scheduled payments of the principal of, potential Test Date payments of, to pay interest or royalties on, or to refinance any current or future indebtedness, including the related-party promissory notes or the revenue interest liability, depends on our future performance, which is subject to economic, financial, competitive and other factors beyond our control. Our business may not generate sufficient cash flows from operations in the future to service our indebtedness, pay the revenue interest liability, and make necessary capital expenditures. If we are unable to generate such cash flows, we may be required to adopt one or more alternatives, such as selling assets, restructuring indebtedness, including the revenue interest liability, or obtaining additional equity or equity-linked capital on terms that may be onerous or highly dilutive. Our ability to refinance our indebtedness, including the revenue interest liability, at maturity or otherwise, will depend on the capital markets and our financial condition at such time. We may not be able to engage in any of these activities or engage in these activities on desirable terms, which could result in a default on our debt obligations.</w:t>
      </w:r>
    </w:p>
    <w:p>
      <w:pPr>
        <w:spacing w:after="0" w:line="18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refinance the related-party promissory notes or revenue interest liability or what terms will be available in the market at the time of refinancing. Furthermore, if prevailing interest rates or other factors at the time of refinancing result in higher interest rates upon refinancing, then the interest expense relating to the refinancing would increase. These risks could materially adversely affect our financial condition, cash flows and results of operations.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our RDOs during the years ended December 31, 2023 and 2022, we entered into warrant agreements with certain institutional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that allows such investors to purchase up to an aggregate total of 37,732,820 shares of our common stock at exercise prices ranging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$3.2946 per share to $6.60 per share. As of June 30, 2024, 20,230,329 warrants were exercisable and had expiration dates ranging from December 12,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July 24, 2026.</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warrants as derivative instruments, and changes in the fair value of the warrants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condensed consolidated statements of operations for each reporting period. As of June 30, 2024, the fair value of warrant liabilities included in the condensed consolidated balance sheet was $65.4 million. We use the Black-Scholes option pricing model to determine the fair value of the warrants. As a result, the valuation of these derivative instruments is subjective, and the Black-Scholes option pricing model requires the input of subjective assumptions, including the expected stock price volatility and probability of a fundamental transaction (a strategic merger or sale). Changes in these assumptions can materially affect the fair value estimate. We could, at any point in time, ultimately incur amounts different than the carrying value, which could have a significant impact on our results of operations and financial position.</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account for the revenue interest liability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consolidated statement of operations. The interest rate on the liability and the underlying value of the bifurcated embedded derivative may vary during the term of the agreement depending on a number of factors, including the level of actual and forecasted net sales, and in the case of the derivative, specific probabilities associated with RIPA Put/Call events or Test Date payments underlying our Monte Carlo analysis. The company evaluates the interest rate quarterly based on actual and forecasted net sales utilizing the prospective method. A significant increase or decrease in actual or forecasted net sales will materially impact the revenue interest liability and/or the bifurcated embedded derivative, interest expense, and the time period for repayment.</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Fluctuations in warrant, revenue interest liability, and derivative values, and changes in the assumptions and factors used in the model may impact our operating results, making it difficult to forecast our operating results and making period-to-period comparisons less predictive of future performance. In one or more future quarters, our results of operations may fall below the expectations of securities analysts and investors. In that event, the market price of our common stock could decline. In addition, the market price of our common stock may fluctuate or decline regardless of our operating performance</w:t>
      </w:r>
      <w:r>
        <w:rPr>
          <w:rFonts w:ascii="Times New Roman" w:cs="Times New Roman" w:eastAsia="Times New Roman" w:hAnsi="Times New Roman"/>
          <w:sz w:val="18"/>
          <w:szCs w:val="18"/>
          <w:color w:val="373739"/>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could have a material effect on our reported financial results.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470-50, we recorded amendments to our related-party promissory notes entered into on September 11, 2023 under the debt modification accounting model, as the amendments were not substantially different than the terms of the promissory notes prior to the amendment. Under this model, the unamortized debt discounts from the promissory notes are amortized as an adjustment of interest expense over the remaining term of modified promissory notes using the effective interest rate method. Also, the increase in fair value of the embedded conversion feature from the debt modification was accounted for as a debt discount to the $200.0 million convertible note that is not recorded at fair value with a corresponding increase in additional paid-in capital. In addition, we recorded amendments to our related-party promissory notes entered into on December 29, 2023 under the debt extinguishment model, and as a result recognized a total net gain on extinguishment of $36.1 million, which was recorded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consolidated statement of stockholders’ deficit, as the debt was acquired from entities under common control. As a result of the debt amendments, we will be required to record a greater amount of non-cash interest expense in current periods presented as a result of the amortization of the discount associated with certain promissory notes. We will either report lower net income or a higher net loss in our consolidated financial results because FASB ASC Topic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requires interest to include both the current period’s amortization of the debt discount and the instrument’s coupon interest, which could adversely affect our reported or future financial results and the trading price of our common stock.</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our cash on hand in various financial instruments which are subject to risks that could adversely affect our business, results of operations, liquidity and financial condition.</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typically invested our cash in a variety of financial instruments, including investment-grade short- to intermediate-term corporate debt securities, government-sponsored securities and European bonds; however, after our entry into the RIPA, we can no longer invest our excess funds in corporate or European bonds. Certain of our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To manage the risk to our investments, we maintain an investment policy that, among other things, limits the amount that we may invest in any one issue or any single issuer and requires us to only invest in high credit quality securities to preserve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NOLs and research and development credits to offset future taxable income may be subject to certain limitations.</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is subject to limitations on its ability to utilize its pre-change NOLs or credits,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We have not conducted a complete study to assess whether a change of control has occurred or whether there have been multiple changes of control since inception due to the significant complexity and cost associated with such a study. If we have experienced a change of control, as defined by Section 382, at any time since inception (including as a result of the March 2021 merger which pursuant to which NantKwest and NantCell combined their businesses),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 In addition, our NOLs or credits may also be impaired under state law. Accordingly, we may not be able to utilize a material portion of our NOLs or credits.</w:t>
      </w:r>
    </w:p>
    <w:p>
      <w:pPr>
        <w:spacing w:after="0" w:line="19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Since we will need to raise substantial additional funding to finance our operations, we may experience further ownership changes in the future, some of which may be outside of our control. Limits on our ability to use our pre-change NOLs or credits to offset U.S. federal taxable income could potentially result in increased future tax liability to us if we earn net taxable income in the future. In addition, under the legislation commonly referred to as the TCJA, as modified by the Coronavirus Aid, Relief, and Economic Security Act, the amount of NOLs generated in taxable periods beginning after December 31, 2017, that we are permitted to deduct in any taxable year beginning after December 31, 2020 is limited to 80% of our taxable income in such year, where taxable income is determined without regard to the NOL deduction itself. The TCJA allows post-2017 unused NOLs to be carried forward indefinitely. Similar rules may apply under state tax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may be subject to challenge by the IRS or other taxing authorities.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consolidated financial statements reflect adequate reserves to cover such a contingency, but there can be no assurances in that regard.</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5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tax laws applicable to our business, including the laws of the U.S. and other jurisdictions, are subject to interpretation and certain jurisdictions may aggressively interpret their laws in an effort to raise additional tax revenue. It is possible that tax authorities may disagree with certain positions we have taken, are currently taking or will take,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the consolidated financial statements and may materially affect our financial results in the period or periods for which such determination is made.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For example, in August 2022, the U.S. enacted the IRA, which imposes a 15% minimum tax on the adjusted financial statement income of certain large corporations, as well as a 1% percent excise tax on corporate stock repurchases by publicly traded companies. Additionally, for taxable years beginning on or after January 1, 2022, the Code eliminated the right to deduct research and development expenditures currently and requires taxpayers to capitalize and amortize U.S. and foreign research and development expenditures over 5 and 15 tax years, respectively. These updates, as well as any other changes to tax laws that are enacted, could adversely affect our tax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Approved Product and our Other Product Candidates</w:t>
      </w:r>
    </w:p>
    <w:p>
      <w:pPr>
        <w:spacing w:after="0" w:line="117"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successful commercialization of our approved product and the success and regulatory approval of our other product candidates. If we are unable to successfully commercialize our approved product or successfully complete clinical development of, obtain regulatory approval for, or commercialize, our other product candidates, or if we experience delays in doing so, our business will be materially harmed.</w:t>
      </w:r>
    </w:p>
    <w:p>
      <w:pPr>
        <w:spacing w:after="0" w:line="4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Until April 2024, we had no clinical products approved for commercial sale and thus had not generated any revenue from therapeutic and vaccine product candidates that are or were under development. In addition, now that we have received FDA approval for ANKTIVA, we have begun to generate revenue although we expect it to take some time to generate significant revenue from our approved product and we can provide no assurances when, or if, this will occur. We began commercial distribution of our approved product in May 2024; however, we can provide no assurance with respect to our future revenues, both in terms of amounts and pace, market acceptance, reimbursement from third-party payors, or the profitability of our approved product or any other product candidate for which we may obtain approval. We are required to comply with certain post-marketing commitments, including completion of our QUILT 3032 clinical trial and annual reporting for up to four years, with a final report submission to FDA by the end of 2029. Our business currently depends heavily on our ability to successfully commercialize our approved product in the U.S. and in other jurisdictions where we may obtain marketing approval. We may never be able to successfully commercialize our approved product or meet our, or analysts or other third parties’ expectations with respect to revenues. We have never marketed, sold, or distributed for commercial use any pharmaceutical product other than our approved product, with respect to which we only recently began efforts to initiate commercial sales. There is no guarantee that the infrastructure, systems, processes, policies, relationships, and materials we have built for the launch and commercialization of our approved product in the U.S. or elsewhere will be sufficient for us to achieve success at the levels we expect.</w:t>
      </w:r>
    </w:p>
    <w:p>
      <w:pPr>
        <w:spacing w:after="0" w:line="18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We may encounter issues and challenges in commercializing our approved product and generating substantial revenues. We may also encounter challenges related to reimbursement of our approved product, including potential limitations in the scope, breadth, availability, or amount of reimbursement covering our approved product. Similarly, healthcare settings or patients may determine that the financial burdens of treatment are not acceptable and as a result physicians may be reluctant to recommend our approved product to their patients. We may face other limitations or issues related to the price of our approved product. Our results may also be negatively impacted if we have not adequately sized our field teams or our physician segmentation and our targeting strategy is inadequate or if we encounter deficiencies or inefficiencies in our infrastructure or processes. Other factors that may hinder our ability to successfully commercialize approved product, or any of our other product candidates if or when approved and generate substantial revenues, include:</w:t>
      </w:r>
    </w:p>
    <w:p>
      <w:pPr>
        <w:spacing w:after="0" w:line="63"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acceptance of our approved product by patients and the medical community, including industry groups and third-party payors;</w:t>
      </w:r>
    </w:p>
    <w:p>
      <w:pPr>
        <w:spacing w:after="0" w:line="117" w:lineRule="exact"/>
        <w:rPr>
          <w:rFonts w:ascii="Times New Roman" w:cs="Times New Roman" w:eastAsia="Times New Roman" w:hAnsi="Times New Roman"/>
          <w:sz w:val="18"/>
          <w:szCs w:val="18"/>
          <w:b w:val="1"/>
          <w:bCs w:val="1"/>
          <w:color w:val="auto"/>
        </w:rPr>
      </w:pPr>
    </w:p>
    <w:p>
      <w:pPr>
        <w:ind w:left="980" w:right="260" w:hanging="324"/>
        <w:spacing w:after="0" w:line="266"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of our third-party manufacturer(s) to manufacture commercial supplies of our approved product at acceptable costs, to remain in good standing with regulatory agencies, and to maintain commercially viable manufacturing processes that are, to the extent required, compliant with cGMP regulations;</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remain compliant with laws and regulations that apply to us and our commercial activities;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FDA-mandated package-insert requirements and successful completion of FDA post-marketing requirements;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actual market size for our approved product, which may be different than expected;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length of time that patients who are prescribed our drug remain on treatment;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marketing approval for our approved product outside of the U.S.;</w:t>
      </w:r>
    </w:p>
    <w:p>
      <w:pPr>
        <w:spacing w:after="0" w:line="117" w:lineRule="exact"/>
        <w:rPr>
          <w:rFonts w:ascii="Times New Roman" w:cs="Times New Roman" w:eastAsia="Times New Roman" w:hAnsi="Times New Roman"/>
          <w:sz w:val="18"/>
          <w:szCs w:val="18"/>
          <w:b w:val="1"/>
          <w:bCs w:val="1"/>
          <w:color w:val="auto"/>
        </w:rPr>
      </w:pPr>
    </w:p>
    <w:p>
      <w:pPr>
        <w:ind w:left="980" w:right="80" w:hanging="324"/>
        <w:spacing w:after="0" w:line="266"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sufficiency of our drug supply to meet commercial and clinical demands, which could be negatively impacted if our projections regarding the potential number of patients are inaccurate, we are subject to unanticipated regulatory requirements, or our current drug supply is destroyed, or negatively impacted at our manufacturing sites, storage sites, or in transit;</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reimbursement for our approved product and physicians’ understanding regarding the same;</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compete with other therapies that may emerge for the treatment of bladder cancer; and</w:t>
      </w:r>
    </w:p>
    <w:p>
      <w:pPr>
        <w:spacing w:after="0" w:line="117"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maintain, enforce, and defend third party challenges to our intellectual property rights in and to our approved product or any of our other product candidates.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of these issues could impair our ability to successfully commercialize our approved product or to generate substantial revenues or profits or to meet our expectations with respect to the amount or timing of revenues or profits. Any issues or hurdles related to our commercialization efforts may materially adversely affect our business, results of operations, financial condition, and prospects. There is no guarantee that we will be successful in our launch or commercialization efforts with respect to our approved product. We may also experience significant fluctuations in sales of our approved product from period to period and, ultimately, we may never generate sufficient revenues from our approved product to reach or maintain profitability or sustain our anticipated levels of operations. Any inability on our part to successfully commercialize our approved product in the U.S., and any other international markets where it may subsequently be approved, or any significant delay, could have a material adverse impact on our ability to execute upon our business strategy.</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ANKTIVA, our novel antibody-cytokine fusion protein, and our other product candidates, second-generation hAd5 and saRNA vaccine candidates, and our NK cell therapy candidates. Our other product candidates will require additional clinical and non-clinical development, regulatory approval, commercial manufacturing arrangements, enhancement of our commercial organization and service providers, significant marketing efforts, and further investment before we can generate any revenues from the sale of these other potential products. We expect to invest heavily in our other current product candidates and in any future product candidates that we may develop. Our product candidates are susceptible to the risks of failure inherent at any stage of product development, including the appearance of unexpected adverse events or failure to achieve primary endpoints in clinical trials. Furthermore, we cannot assure you that we will meet our timelines for current or future clinical trials, including post-market study requirements for our approved product, which may be delayed or not completed for a number of reasons. Additionally, our ability to generate revenues from our approved product and any other combination therapy products will depend on the availability of the other therapies used in combination therewith, including BCG, with which our approved product and other product candidates are intended to be used. In particular, there has been a shortage of BCG in the U.S. According to the American Urological Association, Merck &amp; Co., Inc. is the sole manufacturer and supplier of BCG in the U.S. and many other countries around the world. Although Merck has boosted its production of BCG, increasing demand for BCG has led to supply constraints for BCG, which can materially impact the demand for our approved product and our ability to commercialize our approved product.</w:t>
      </w:r>
    </w:p>
    <w:p>
      <w:pPr>
        <w:spacing w:after="0" w:line="1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sales, marketing, and distribution of our approved product or any future approved products may be unsuccessful or less successful than anticipated.</w:t>
      </w:r>
    </w:p>
    <w:p>
      <w:pPr>
        <w:spacing w:after="0" w:line="5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recently began commercializing our approved product in the U.S. As a company, we had no prior experience commercializing a product. The success of our commercialization efforts for our approved product and any future approved products is difficult to predict and subject to the effective execution of our business plan, including, among other things, the continued development of our internal and external sales, marketing, and distribution capabilities and our ability to navigate the significant expenses and risks involved with the development and management of such capabilities.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For example, we have completed hiring and contracting for service providers in areas to support commercialization, including in sales management, sales representatives, marketing, access and reimbursement, sales support, and distribution. There are significant expenses and risks involved with establishing our sales, marketing, and distribution capabilities, including our ability to hire, contract for, retain, and appropriately incentivize qualified individuals, provide adequate training to sales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commercialization of our approved product may not develop as planned or anticipated, which may require us to, among others, adjust or amend our business plan and incur significant expenses.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Further, 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our approved product does not develop as quickly as planned, or any future approved products does not develop as planned, we may require significant additional capital and financial resources, we may not become profitable, and we may not be able to compete against more established companies in our industry.</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developed an approved product and are developing other product candidates in combination with other therapies, which exposes us to additional risks.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developed an approved product and are developing other product candidates in combination with one or more other therapies. We are studying ANKTIVA therapy along with other products and product candidates, such as BCG, PD-L1 t-haNK, and hAd5 TAAs. Since we have developed a product, or if we choose to develop other products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approved product or our other product candidates. In particular, supply chain issues or shortages of other products used in combination with our approved product or any other product candidates could impact our ability to obtain FDA regulatory approval, meet clinical trial timelines, and commercialize our approved product or other product candidates. The FDA may require us to use more complex clinical trial designs in order to evaluate the contribution of each product and product candidate to any observed effects. To the extent that we do not have rights to already approved products, this may require us to work with another company to satisfy such a requirement or increase our cost of development. It is possible that the results of these trials could show that any positive results are attributable to the already approved product. Following product approval, the FDA may require that products used in conjunction with each other be cross labeled for combined use. If the therapies we use in combination with our approved product or our other product candidates are replaced as the standard of care for the indications we choose for our approved product or any of our other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unapproved therapies face the same risks described with respect to our product candidates currently in development and clinical trials, including the potential for serious adverse effects, delays in clinical trials and lack of FDA approval. If the FDA or comparable foreign regulatory authorities do not approve or revoke their approval of these other therapies, or if safety, efficacy, quality, manufacturing or supply issues arise with, the therapies we choose to evaluate in combination with any of our product candidates, we may be unable to obtain approval of or market such other combination therapies.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our product candidates, which would prevent or delay regulatory approval and commercialization of other product candidates.</w:t>
      </w:r>
    </w:p>
    <w:p>
      <w:pPr>
        <w:spacing w:after="0" w:line="5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programs of our other non-FDA-approved product candidates are at various stages of development. The clinical trials of our product candidates as well as the manufacturing and marketing of our product candidates will be subject to extensive and rigorous review and regulation by numerous government authorities in the U.S. and in other countries where we intend to test and market our product candidates. Before obtaining regulatory approvals for the commercial sale of any of our other product candidates, we must demonstrate through lengthy, complex, and expensive preclinical testing and clinical trials that our product candidates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or their contribution of effect, may not be sufficient to obtain regulatory approval unless we can also show an adequate duration of response. The clinical trials for our product candidates under development may not be completed on schedule, and regulatory authorities may ultimately disagree with our chosen endpoints or may find that our studies or study results do not support product approval. The FDA or foreign regulatory authorities may not interpret the results as we do or accept the therapeutic effects as valid endpoints in clinical trials necessary for market approval, or they may find that our clinical trial design or conduct does not meet the applicable approval requirement, and more trials could be required before we submit our product candidates for approval. Success in early clinical trials does not ensure that large-scale clinical trials will be successful, nor does it predict final results. Product candidates in later stages of clinical trials may fail to show the desired safety, tolerability, and efficacy traits despite having progressed through preclinical studies and initial clinical trials and after reviewing test results, we or our collaborators may abandon projects that we might previously have believed to be promising.</w:t>
      </w:r>
    </w:p>
    <w:p>
      <w:pPr>
        <w:spacing w:after="0" w:line="19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shortage of BCG may adversely impact market uptake of our approved product, ANKTIVA, and it may also delay our ability to execute our clinical trials or seek new approvals.</w:t>
      </w:r>
    </w:p>
    <w:p>
      <w:pPr>
        <w:spacing w:after="0" w:line="51"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There is an ongoing shortage of BCG, which may adversely impact market uptake of our approved product. The BCG shortage may impact the number of patients who are treated with BCG for NMIBC with CIS with or without papillary tumors, therefore limiting the pool of BCG-unresponsive patients who may be candidates for our approved product. In addition, the BCG shortage may also constrain the number of patients we can treat with our approved product since our product is administered along with BCG. In addition, ANKTIVA was awarded </w:t>
      </w:r>
      <w:r>
        <w:rPr>
          <w:rFonts w:ascii="Times New Roman" w:cs="Times New Roman" w:eastAsia="Times New Roman" w:hAnsi="Times New Roman"/>
          <w:sz w:val="18"/>
          <w:szCs w:val="18"/>
          <w:i w:val="1"/>
          <w:iCs w:val="1"/>
          <w:color w:val="auto"/>
        </w:rPr>
        <w:t>Fast Track</w:t>
      </w:r>
      <w:r>
        <w:rPr>
          <w:rFonts w:ascii="Times New Roman" w:cs="Times New Roman" w:eastAsia="Times New Roman" w:hAnsi="Times New Roman"/>
          <w:sz w:val="18"/>
          <w:szCs w:val="18"/>
          <w:color w:val="auto"/>
        </w:rPr>
        <w:t xml:space="preserve"> designation by the FDA for the treatment of BCG-naïve NMIBC with CIS. We are currently enrolling patients in our Phase IIb blinded, randomized, two-cohort, open-label, multi-center trial of intravesical BCG with ANKTIVA versus BCG alone, in BCG-naïve patients with high-grade NMIBC with CIS (Cohort A) and NMIBC papillary (Cohort B), which is impacted by the availability of BGC. If we do not complete new trials timely, our ability to generate clinical safety and effectiveness data sufficient to support submission of a marketing application or commercialization of our other product candidates in new indications could harm our business, operating results, prospects or financial condition.</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expend our limited resources on programs that do not yield successful product candidates as opposed to indications that may be more profitable or for which there is a greater likelihood of success.</w:t>
      </w:r>
    </w:p>
    <w:p>
      <w:pPr>
        <w:spacing w:after="0" w:line="51"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We do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strategic decisions as to which product candidates and indications to pursue and how much of our resources to allocate to each. Our management must also evaluate the benefits of developing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or jointly owned technologies, which in some circumstances we may be contractually obligated to pursue, relative to 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approved product and our other product candidates may not be accurate, and the actual market for our other products, if approved, may be smaller than we estimate.</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our approved product, current product candidates, and any future product candidates represent novel approaches to treating various conditions, it may be difficult to accurately estimate the potential revenues from our approved product and these other product candidates. Accordingly, we may spend significant capital trying to successfully commercialize our approved product or obtain approval for our other product candidates that have an uncertain commercial market. Our projections of addressable patient populations that may benefit from treatment with our approved product or other product candidates are based on our beliefs and estimates of the therapeutic benefit and adverse event profile of our approved product and other product candidates. These estimates, which have been derived from a variety of sources, including scientific literature, preclinical and clinical studies, surveys of clinics, patient foundations, or market research by third parties, may prove to be incorrect. Further, new studies or approvals of new therapeutics may change the estimated incidence or prevalence of these diseases. The number of patients may turn out to be lower than expected. Additionally, the potentially addressable patient population for our approved product or other product candidates may be limited or may not be amenable to treatment with our approved product or other product candidates and may also be limited by the cost of our treatments and the reimbursement of those treatment costs by third-party payors. Even if we obtain significant market share for our approved product or other product candidates, because the potential target populations may be small, we may never achieve profitability without obtaining regulatory approval for additional indications.</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complete a strategic partnership transaction on acceptable terms in accordance with our anticipated timeline, or at all.</w:t>
      </w:r>
    </w:p>
    <w:p>
      <w:pPr>
        <w:spacing w:after="0" w:line="5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continue to explore potential global strategic partnership transactions for commercialization of ANKTIVA for certain indications. Factors that may impact our ability, or decision, to enter into such a strategic partnership, include, without limitation, the put/call features of the RIPA that may be triggered by entry into a strategic partnership depending on its scope and terms, and ultimately there can be no assurance that we will complete a transaction on acceptable terms, or at all. If we do not execute a strategic partnership transaction in the near-term, it would eliminate a potential source of near-term funding, and may impact our ability to raise additional funds to meet our business needs. In addition, there are significant risks involved with building and managing a commercial infrastructure on a stand-alone basis, which could materialize in the event we do not execute a strategic partnership transaction, or depending on the geographic scope of any executed transaction.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or as inclusion and exclusion criteria is discussed with regulators. We also may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not be initiated or completed when we expect, or at all, they may take longer and cost more to complete than we project, our clinical trial costs may be higher than for more conventional therapeutic technologies or drug products, and we may be required to conduct additional clinical trials or modify current or future clinical trials based on feedback we receive from the FDA.</w:t>
      </w:r>
    </w:p>
    <w:p>
      <w:pPr>
        <w:spacing w:after="0" w:line="6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cannot guarantee that any current or future clinical trials will be conducted as planned or completed on schedule, if at all, or that any of our other product candidates will receive regulatory approval. A failure of one or more clinical trials can occur at any stage of the clinical trial process, other events may cause us to stop a clinical trial temporarily or permanently, and our future clinical trials may not be successful.</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Because our current product candidates include, and we expect our future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clinical trial sites outside of the U.S. may not reimburse for costs typically covered by third-party payors in the U.S. As a result, we may be required by those trial sites to pay such costs. Accordingly, our clinical trial costs are likely to be significantly higher per patient than those of more conventional therapeutic technologies or drug products.</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Collaborations with other entities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approval and will increase our future costs.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slow down our product development and approval process, or impair our ability to commence product sales and generate revenues. In addition, if we make manufacturing changes to our approved product or other product candidates, we may be required to, or we may elect to, conduct additional trials to bridge our modified approved product or other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 development and manufacturing work, additional clinical and preclinical studies, or that results in refusal to file or non-approval of a BLA and/or NDA.</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Clinical trial delays could shorten any periods during which our product candidates have patent protection and may allow our competitors to bring products to market before we do, which could impair our ability to successfully commercialize our product candidates and may harm our business and results of operations. In addition, we have in the past experienced clinical holds imposed upon certain of our or investigator-led clinical trials for various reasons, and we may experience further clinical trial holds in the future. If we fail to commence or complete, or experience delays in, any of our planned clinical trials, our stock price and our ability to conduct our business as currently planned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more of our product candidates are approved and commercialized, we may not become profitable.</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other product candidates will depend on our ability to:</w:t>
      </w:r>
    </w:p>
    <w:p>
      <w:pPr>
        <w:spacing w:after="0" w:line="54"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price our other product candidates competitively such that third-party and government reimbursement leads to broad product adoption;</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 broad network of clinical sites for administration of our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right="66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market demand for our other product candidates through our own or our partner’s marketing and sales activities, and any other arrangements to promote these product candidates that we may otherwise establish;</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80" w:hanging="324"/>
        <w:spacing w:after="0" w:line="266"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manufacture our other product candidates through third-party CMOs or in our own manufacturing facilities or facilities owned by entities affiliated with Dr. Soon-Shiong in sufficient quantities and at acceptable quality and manufacturing cost to meet regulatory requirements and commercial demand at launch and thereafter;</w:t>
      </w:r>
    </w:p>
    <w:p>
      <w:pPr>
        <w:spacing w:after="0" w:line="67" w:lineRule="exact"/>
        <w:rPr>
          <w:rFonts w:ascii="Times New Roman" w:cs="Times New Roman" w:eastAsia="Times New Roman" w:hAnsi="Times New Roman"/>
          <w:sz w:val="18"/>
          <w:szCs w:val="18"/>
          <w:b w:val="1"/>
          <w:bCs w:val="1"/>
          <w:color w:val="auto"/>
        </w:rPr>
      </w:pPr>
    </w:p>
    <w:p>
      <w:pPr>
        <w:ind w:left="980" w:right="76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53" w:lineRule="exact"/>
        <w:rPr>
          <w:rFonts w:ascii="Times New Roman" w:cs="Times New Roman" w:eastAsia="Times New Roman" w:hAnsi="Times New Roman"/>
          <w:sz w:val="18"/>
          <w:szCs w:val="18"/>
          <w:b w:val="1"/>
          <w:bCs w:val="1"/>
          <w:color w:val="auto"/>
        </w:rPr>
      </w:pPr>
    </w:p>
    <w:p>
      <w:pPr>
        <w:ind w:left="980" w:right="58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other product candidates;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commercialize any of our other product candidates that receive regulatory approval;</w:t>
      </w:r>
    </w:p>
    <w:p>
      <w:pPr>
        <w:spacing w:after="0" w:line="117"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market acceptance of our other product candidates by patients, the medical community, and third-party payors;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appropriate reimbursement for our product candidates;</w:t>
      </w:r>
    </w:p>
    <w:p>
      <w:pPr>
        <w:spacing w:after="0" w:line="11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effectively compete with other therapies or competitors;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launch, ensure that our approved product will be used as directed and that additional unexpected safety risks will not arise.</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22, 2024, the FDA approved ANKTIVA with BCG for the treatment of adult patients with BCG-unresponsive NMIBC with CIS, with or without papillary tumors. We are required to comply with certain post-marketing commitments, including completion of our QUILT 3032 clinical trial and annual reporting for up to four years, with a final report submission to FDA by the end of 2029. We can provide no assurance with respect to the profitability or the market share that we might achieve for our approved product. The target patient population for which we obtain approval may be narrower than we expect. Additionally, we may not be able to obtain the labeling claims necessary or desirable for the promotion of our approved product. Further, supply chain issues or shortages associates with combination products that may be used with our approved product, such as ANKTIVA plus BCG, may limit the demand for our approved product.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June 30, 2024, 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If this were to occur, we may need to seek additional sources of capital and any such financing activities may be restricted by the covenants included in the terms of the RIPA. As such, we may face difficulties raising additional capital and may have to accept unfavorable terms and as a result, we may not be able to achieve profitability or positive cash flow.</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financing in December 2023, we entered into the RIPA with Infinity and Oberland. Oberland has the right to receive quarterly Revenue Interest Payments from us based on, among other things, our worldwide net sales, excluding those in China, which are tiered payments ranging from 4.50% to 10.00%, subject to increase or decrease, following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payment True-Up Payment as described above. In addition to other considerations of the RIPA and the associated impact to our profitability and cash flow, if we were required to make a True-Up Payment, we may need to seek additional sources of capital, and we may not be able to achieve profitability or positive cash flow.</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delays or difficulties enrolling and/or maintaining patients in our clinical trials, our clinical development activities, and receipt of necessary marketing approvals could be delayed or otherwise adversely affected.</w:t>
      </w:r>
    </w:p>
    <w:p>
      <w:pPr>
        <w:spacing w:after="0" w:line="5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and retention in our clinical trials for a variety of reasons.</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In addition, in the past we have engaged, and we intend to continue to engage, in clinical trial efforts outside of the U.S., which gives rise to additional potential complexity and challenges, and further reliance upon third parties in foreign jurisdictions. Moreover, because our product candidates represent a departure from more commonly used methods for cancer and/or viral disease treatment, potential patients and their doctors may be inclined to use conventional therapies, such as chemotherapy and approved immunotherapies that have established safety and efficacy profiles, rather than enroll patients in any future clinical trial.</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or may affect the timing or outcome of the planned clinical trials, which could prevent completion of these trials and adversely affect our ability to advance the development of our product candidates or could render further development impossible.</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delay or prevent their regulatory approval, limit their commercial potential or result in significant negative consequences.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Results of our trials could reveal a high and unacceptable severity and prevalence of side effects, adverse events or unexpected characteristics. Combination immunotherapy that includes our current product candidates may be associated with more frequent adverse events or additional adverse events. Undesirable side effects or unacceptable toxicities caused by our other product candidates could cause us or regulatory authorities to interrupt, delay or halt clinical trials or order our clinical trials to be placed on clinical hold, and could result in a more restrictive label or the delay or denial of regulatory approval by the FDA or other regulatory authorities for any or all targeted indications. The FDA or comparable foreign regulatory authorities may also require additional data, clinical trials,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 In addition, these serious adverse effects may not be appropriately recognized or managed by the treating medical staff, as toxicities resulting from our other product candidates are not normally encountered in the general patient population and by medical personnel.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Any of these occurrences may materially harm our business, financial condition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approved product and other product candidates is complex, and we may encounter difficulties in production, particularly with respect to process development, quality control, or scaling-up of our manufacturing capabilities. If we or our related parties, or any of our third-party manufacturers, encounter such difficulties, our ability to gain approval, or to provide adequate supply of our product candidates for clinical trials or our products for patients, if approved, could be delayed or stopped, or we may be unable to maintain a commercially viable cost structure.</w:t>
      </w:r>
    </w:p>
    <w:p>
      <w:pPr>
        <w:spacing w:after="0" w:line="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manufacture of our approved product and other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The manufacture of fusion proteins, DNA and RNA constructs, and cell therapy products require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or other product candidates and quality assurance testing, shortages of qualified personnel, and compliance with strictly enforced federal, state, local, and foreign regulations. We may also find that the manufacture of our approved product or other product candidates is more difficult than anticipated, resulting in an inability to produce a sufficient amount of our other product candidates for our clinical trials or, if approved, commercial supply. Even minor deviations from normal manufacturing processes could result in reduced production yields, product defects, and other supply disruptions. Our approved product and other product candidates are manufactured using processes developed or modified by us, our affiliates, or by our third-party collaborators that we may not utilize for more advanced clinical trials or commercialization.</w:t>
      </w:r>
    </w:p>
    <w:p>
      <w:pPr>
        <w:spacing w:after="0" w:line="19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Currently we manufacture our approved product and other product candidates in our own manufacturing facilities, facilities owned by entities affiliated with Dr. Soon-Shiong and/or through third-party CMOs. Our clinical trials will need to be conducted with product candidates and materials that were produced under cGMP and/or GTP regulations, which are enforced by regulatory authorities. Our approved product and other product candidates may compete with other products and product candidates for access to manufacturing facilities. Moreover, because of the complexity and novelty of our manufacturing process, there are only a limited number of manufacturers that operate under cGMP regulations and that are both capable of manufacturing our approved product and other product candidates for us and willing to do so. If our third-party CMOs should cease manufacturing for us, we would experience delays in obtaining sufficient quantities of our approved product for commercial supply and other product candidates for clinical trials and, if approved, commercial supply of such future products. Further, our third-party CMOs may breach, terminate, or not renew our agreements with them. If we were to need to find alternative manufacturing facilities or transfer between existing facilities it may take us significant time to find a replacement, if we are able to find a replacement at all and it would significantly impact our ability to develop, obtain regulatory approval for or market our approved product and/or other product candidates, if approved. The commercial terms of any new arrangement could be less favorable than our existing arrangements and the expenses relating to the transfer of necessary technology and processes could be significant.</w:t>
      </w:r>
    </w:p>
    <w:p>
      <w:pPr>
        <w:spacing w:after="0" w:line="190"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Our failure to comply or our third-party CMOs’ failure to comply with these regulations may require us to cease sales of our approved product or repeat clinical trials, which would delay the regulatory review process of our other product candidates. We may not be able to demonstrate sufficient comparability between products manufactured in different runs at the same or at different facilities to allow for inclusion of the clinical results from patients treated with products from these different runs, in our product registrations or to assure a cGMP process to qualify our other product candidates. On</w:t>
      </w:r>
    </w:p>
    <w:p>
      <w:pPr>
        <w:spacing w:after="0" w:line="3"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7"/>
          <w:szCs w:val="17"/>
          <w:color w:val="auto"/>
        </w:rPr>
        <w:t>April 22, 2024, the FDA approved ANKTIVA with BCG for the treatment of adult patients with BCG-unresponsive NMIBC with CIS, with or without papillary tumors. We and our suppliers and CMOs must maintain compliance with cGMP requirements and other applicable regulatory requirements.</w:t>
      </w:r>
    </w:p>
    <w:p>
      <w:pPr>
        <w:spacing w:after="0" w:line="15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also are required to register certain clinical trials and post the results of certain completed clinical trials on a government-sponsored database, ClinicalTrials.gov, within specified timeframes. Failure to do so could result in enforcement actions and adverse publicity.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54"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17"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day-to-day control over the manufacturing process for our other product candidates as a result of using third-party manufacturers for all aspects of manufacturing activities;</w:t>
      </w:r>
    </w:p>
    <w:p>
      <w:pPr>
        <w:spacing w:after="0" w:line="53" w:lineRule="exact"/>
        <w:rPr>
          <w:rFonts w:ascii="Times New Roman" w:cs="Times New Roman" w:eastAsia="Times New Roman" w:hAnsi="Times New Roman"/>
          <w:sz w:val="18"/>
          <w:szCs w:val="18"/>
          <w:b w:val="1"/>
          <w:bCs w:val="1"/>
          <w:color w:val="auto"/>
        </w:rPr>
      </w:pPr>
    </w:p>
    <w:p>
      <w:pPr>
        <w:ind w:left="980" w:right="24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control over the protection of our trade secrets, know-how, and other proprietary information from misappropriation or inadvertent disclosure or from being used in such a way as to expose us to potential litigation;</w:t>
      </w:r>
    </w:p>
    <w:p>
      <w:pPr>
        <w:spacing w:after="0" w:line="53"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approved product or other product candidates; and</w:t>
      </w:r>
    </w:p>
    <w:p>
      <w:pPr>
        <w:spacing w:after="0" w:line="53"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or personnel turnover at the manufacturer or supplier.</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any problems or delays we or our third-party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third-party CMOs fail to deliver the required commercial quantities of our product candidates on a timely basis and at reasonable costs, we would likely be unable to meet demand for our products and we would lose potential revenues. We may ultimately be unable to reduce the cost of goods for our other product candidates to levels that will allow for an attractive return on investment if and when those product candidates are commercialized.</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and facilities for our approved product and any other products that we may develop are subject to FDA and foreign regulatory authority approval processes, and we or our third-party CMOs will need to meet all applicable FDA and foreign regulatory authority requirements, including cGMP, on an ongoing basis.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BLAs and NDAs, to the FDA. Manufacturers are also subject to continuing FDA and other regulatory authority inspections following marketing approval. Further, we and our third-party CMOs must supply all necessary CMC documentation in support of a BLA or NDA on a timely basis. Our or our third-party CMOs’ manufacturing facilities may be unable to comply with our specifications, cGMP, and with other FDA, state, and foreign regulatory requirements, and there is no guarantee that we or our third-party CMOs will be able to successfully pass all aspects of a pre-approval or continued inspection by the FDA or other foreign regulatory authorities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 On April 22, 2024, the FDA approved ANKTIVA with BCG for the treatment of adult patients with BCG-unresponsive NMIBC with CIS, with or without papillary tumors.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Poor control of production processes can lead to the introduction of adventitious agents or other contaminants, or to inadvertent changes in the properties or stability of our product or other product candidates that may not be detectable in final product testing. If microbial, viral, environmental, or other contaminants are discovered in our product or other product candidates or in the manufacturing facilities in which our product or other product candidates are made, such manufacturing facilities may need to be closed for an extended period of time to investigate and remedy the contamination which could delay commercial sales and clinical trials and adversely harm our business. If we or our third-party CMOs are unable to reliably produce products to specifications acceptable to the FDA or other regulatory authorities, or in accordance with the strict regulatory requirements, we may not obtain or maintain the initial or continued approvals we need to commercialize such products. There is no assurance that either we or our third-party CMOs will be able to manufacture our approved product or any subsequently approved product candidate to specifications acceptable to the FDA or other regulatory authorities, to produce our product or other product candidates in sufficient quantities to meet the requirements for the launch of such products, or to meet potential future demand.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or other product candidates to perform differently and affect our commercial sales or the results of planned clinical trials or other future clinical trials conducted with the altered materials. This could cause commercial sales to cease, delay completion of clinical trials, require the conduct of bridging clinical trials or the repetition of one or more clinical trials, increase clinical trial costs, delay approval of our product candidates, and jeopardize our ability to commercialize our other product candidates, if approved, and generate revenues.</w:t>
      </w:r>
    </w:p>
    <w:p>
      <w:pPr>
        <w:spacing w:after="0" w:line="18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To the extent we use third-party CMOs, we are ultimately responsible for the manufacture of our products, once approved, and our other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federal civil FCA, corporate integrity agreements, consent decrees, or withdrawal of product approval.</w:t>
      </w:r>
    </w:p>
    <w:p>
      <w:pPr>
        <w:spacing w:after="0" w:line="17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Any of these challenges could cause us to cease commercial sales, delay completion of clinical trials, require bridging clinical trials or the repetition of one or more clinical trials, increase clinical trial costs, delay approval of our product candidate, impair commercialization efforts, increase our cost of goods, and have a material adverse effect on our business, financial condition, results of operations and growth prospects.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managing the build-out of our manufacturing facilities and associated costs or satisfying manufacturing-related regulatory requirements.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facility leases for our planned manufacturing operations and related activities under which we are responsible for the build-out of the facility space and associated costs. The build-out of these facilities and related equipment purchases are complex and specialized and will involve substantial capital expenditure, and it could take longer, and cost more, than currently expected. Significant delays and/or cost overruns would result in higher expenditures and could be disruptive to operations, any of which could have a negative impact on our financial condition or results of operations. For example, during the first quarter of 2022 we acquired a leasehold interest in the 409,000 square foot Dunkirk Facility as described below. While we believe that governmental funding will assist in funding a small portion of the further build-out of the Dunkirk Facility, we will need to plan and fund most of the additional build-out of, and purchase additional equipment for, the Dunkirk Facility in connection with our planned full operations. In addition, it is possible that, once built, the leased facilities may prove to be less conducive to our operations than is currently anticipated, resulting in operational inefficiencies or similar difficulties that could prove difficult or impossible to remediate and result in an adverse impact on our financial condition or results of operations.</w:t>
      </w:r>
    </w:p>
    <w:p>
      <w:pPr>
        <w:spacing w:after="0" w:line="19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also may not successfully realize the anticipated benefits from the capital expenditure at such facilities based on factors such as delays and uncertainties regarding development, regulatory approval, and commercialization of our product candidates, as well as the potential to lose access to the leased facilities.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Further, in the future if we transition from our current third-party CMOs to our own manufacturing facilities, or to alternative third-party CMOs, for one or more of our products or other product candidates, including our approved product, we will need to conduct additional preclinical, analytical and/or clinical testing and obtain FDA approval before such manufacturing changes are implemented. If we are unsuccessful in demonstrating the comparability of supplies before and after a manufacturing change, such manufacturing change can result in a delay or disruption in our clinical development plan or our ability to commercialize any approved product. Any production shortfall that impairs the supply of our product or other product candidates could negatively impact our ability to sell our approved product, complete clinical trials, obtain regulatory approval, and commercialize our other product candidates. A product shortfall could have a material adverse effect on our business, financial condition and results of operations and adversely affect our ability to satisfy demand for our product or other product candidates, which could materially and adversely affect our revenue and results of operations.</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addition, our planned operations, including our development, testing, and future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may have a toxic effect on reproduction, laboratory procedures and exposure to blood-borne pathogens. If we fail to comply with such laws and regulations, we could be subject to fines or other sanctions. Failure to successfully complete our build-outs and successfully operate our planned manufacturing facilities and satisfy manufacturing-related regulatory requirements could adversely affect the commercial viability of our product candidates and our business.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approved product and any future products, if approved.</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currently depend on a small number of suppliers for some of the materials used in, and processes required to develop, our approved product and other product candidates. For some of these reagents, equipment, and materials used in the manufacture of our approved product and other product candidates, we rely, and we may in the future rely, on sole source vendors or a limited number of vendors. Some of these suppliers may not have the capacity to support commercial scale or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 An inability to continue to source product from any of these suppliers could adversely affect our ability to satisfy demand for our approved product and other product candidates, which could adversely and materially affect our product sales and operating results or our ability to conduct clinical trials, either of which could significantly harm our business.</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we seek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our approved product and other product candidates represent, and our other potential product candidates will represent, novel approaches to the treatment of disease, there are many uncertainties regarding the development, market acceptance, public opinion, third-party reimbursement coverage, and the commercial potential of our approved product and other product candidates, which may impact public perception of us and our approved product and other product candidates and which may adversely affect our ability to conduct our business and implement our business plans.</w:t>
      </w:r>
    </w:p>
    <w:p>
      <w:pPr>
        <w:spacing w:after="0" w:line="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We use relatively novel technologies involving ANKTIVA, hAd5, saRNA and yeast constructs, and cell-based therapies, and our NK cell platform utilizes a relatively novel technology involving the genetic modification of human cells and utilization of those modified cells in other individuals. Because this is a relatively new and expanding area of novel therapeutic interventions, there are many uncertainties related to development, marketing, reimbursement, and the commercial potential for our approved product and other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Adverse public attitudes may adversely impact our ability to enroll patients in clinical trials. The FDA may take longer than usual to come to a decision on any BLA and/or NDA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other product candidates is obtained. Finally, after increased usage, we may find that our product or other product candidates do not have the intended effect, do not work with other combination therapies or have unanticipated side effects, potentially jeopardizing initial or continuing regulatory approval and commercial prospects. More restrictive government regulations or negative public opinion could have an adverse effect on our business or financial condition and may delay or impair the commercialization of our approved product and development and commercialization of our product candidates or demand for our product 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9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There is no assurance that the approaches offered by our approved product or other product candidates will gain broad acceptance among doctors or patients or that governmental agencies or third-party medical insurers will be willing to provide reimbursement coverage for our proposed product candidates.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our other product candidates, and could cause a decrease in the demand for our approved product and any other products we may develop. Moreover, our success will depend upon physicians specializing in the treatment of those diseases that our product or other product candidates target prescribing, and their patients being willing to receive treatments that involve the use of our product or other product candidates in lieu of, or in addition to, existing treatments they are already familiar with and for which greater clinical data may be available. The market for any products that we successfully develop will also depend on the cost of the product.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 or potential products, we will not become profitable, which would materially and adversely affect the value of our common stock. Our ANKTIVA therapies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approved product or other product candidates.</w:t>
      </w:r>
    </w:p>
    <w:p>
      <w:pPr>
        <w:spacing w:after="0" w:line="5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commercialization of our approved product and clinical development, testing and manufacturing of our other product candidates. For example, we may be sued if our approved product or other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be asserted under state consumer protection acts. Large judgements have been awarded in class action lawsuits based on therapeutics that had unanticipated side effects. If we cannot successfully defend ourselves against product liability claims, we may incur substantial liabilities or be required to limit commercialization of our approved product or other product candidates. Even successful defense would require significant financial and management resources. Regardless of the merits or eventual outcome, liability claims may result in a regulatory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decreased demand for our products, injury to our reputation, costs to defend the related litigation, a diversion of management’s time and our resources, substantial monetary awards to trial participants or patients and a decline in our stock price.</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our approved product or other products we may develop, alone or with corporate collaborators. Our insurance policies may also have various exclusions, and we may be subject to product liability claims for which we have no coverage. While we have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face significant competition from other biotechnology and pharmaceutical companies and from non-profit institutions.</w:t>
      </w:r>
    </w:p>
    <w:p>
      <w:pPr>
        <w:spacing w:after="0" w:line="12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Competition in the field of cancer and infectious disease therapy is intense and is accentuated by the rapid pace of technological development. We compete with a variety of multi-national biopharmaceutical companies and specialized biotechnology companies, as well as technology being developed at universities and other research institutions. These competitors have developed, may develop, and are developing product candidates and processes competitive with our approved product or other product candidates. Research and discoveries by others may result in breakthroughs which may render our approved product or other product candidates obsolete even before they generate any revenues. We believe that a significant number of products are currently under development, and may become commercially available in the future, for the treatment of conditions for which our product treats or for which we are developing product candidates. Many of our competitors have several therapeutic products that have already been developed, approved and successfully commercialized, or are in the process of obtaining regulatory approval for their therapeutic products in the U.S. and internationally. Many of our competitors, either alone or with their strategic partners, have substantially greater financial, technical, and human resources than we do, as well as significantly greater experience in the discovery and development of product candidates, obtaining FDA and other regulatory approvals of treatments and commercializing those treatments. Accordingly, our competitors may be more successful in obtaining approval of treatments and achieving widespread market acceptance, rendering our treatments obsolete or non-competitive, possibly even before we are able to enter the market. Accelerated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availability and price of our competitors’ products could limit the demand and the price we are able to charge for our approved product or any of our other product candidates, if approved. The level of generic competition and the availability of reimbursement from government and other third-party payors will also significantly affect the pricing and competitiveness of our products.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implement our business plan if the acceptance of our approved product or other product candidates is inhibited by price competition or the reluctance of physicians to switch from other methods of treatment to our approved product, or if physicians switch to other new therapies, drugs or biologic products or choose to reserve our products for use in limited circumstances. We may be adversely impacted if any of these competitors gain market share as a result of new technologies, commercialization strategies or otherwise.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status or Breakthrough Therapy or Fast Track designations or other designation for one or more of our product candidates, but even if any such designation or status is granted, it may not lead to a faster development process or regulatory review and may not increase the likelihood that our product candidates will receive marketing approval, and we may be unable to maintain any benefits associated with such designations or status, including market exclusivity.</w:t>
      </w:r>
    </w:p>
    <w:p>
      <w:pPr>
        <w:spacing w:after="0" w:line="7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2012, the FDA established a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designation, which is intended to expedite, although there is no guarantee, the development and review of products that treat serious or life-threatening conditions. We have been awarded, and may seek in the future,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Fast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Track </w:t>
      </w:r>
      <w:r>
        <w:rPr>
          <w:rFonts w:ascii="Times New Roman" w:cs="Times New Roman" w:eastAsia="Times New Roman" w:hAnsi="Times New Roman"/>
          <w:sz w:val="18"/>
          <w:szCs w:val="18"/>
          <w:color w:val="auto"/>
        </w:rPr>
        <w:t>designation for current or future product candidates. Receipt of a designation to facilitate product candidate development is within the discretion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Orphan Drug Act, the FDA may grant orphan designation to a drug or biologic intended to treat a rare disease or condition or for which there is no reasonable expectation that the cost of developing and making available the drug or biologic will be recovered from sales in the U.S. 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drug or biologic for the same indication for seven years, except in limited circumstances. We may seek orphan drug status for one or more of our product candidates, but exclusive marketing rights in the U.S. may be lost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In response to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FDA clarified in a January 2023 notice that it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4 trials. In connection with the regulatory approval of ANKTIVA, we are required to comply with certain post-marketing commitments, including completion of our QUILT 3032 clinical trial and annual reporting for up to four years, with a final report submission to the FDA by the end of 2029. If we receive approval of our other product candidates, the FDA may determine that similar or additional or more burdensome post-approval requirements are necessary to ensure that our product candidates are safe, pure and potent. For example, in connection with FDA approval of another company’s drug, the FDA required significant post-marketing commitments, including a Phase 4 trial, revalidation of a test method, and a substantial REMS program that included, among other requirements, the certification of hospitals and their associated clinics that dispensed the drug, including the implementation of a training program and limited distribution only to certified hospitals and their associated clinics.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our approved product, and we may lack the necessary expertise, personnel and resources to successfully commercialize any products on our own or together with suitable collaborators. We may be unable to establish effective marketing and sales capabilities or enter into agreements with third parties or related parties to market and sell our other product candidates, if they are approved, and as a result, we may be unable to generate product revenues.</w:t>
      </w:r>
    </w:p>
    <w:p>
      <w:pPr>
        <w:spacing w:after="0" w:line="7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little to no prior experience in the marketing, sale and distribution of biopharmaceutical products. To achieve commercial success for our approved product and other product candidates, which we may license to others, we may rely on the assistance and guidance of those collaborators. For our approved product and our other product candidates for which we retain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commercialization rights and marketing approval, if approved, in order to commercialize our approved product and such other product candidates, we must continue to build out our marketing, sales and distribution capabilities, including a comprehensive healthcare compliance program, and/or arrange with third parties to perform these services, which will continue to take time and require significant financial expenditures and could delay any product launch and we may not be successful in doing so. There are significant risks involved with building and managing a commercial infrastructure. We, or our collaborators and third-party contractors, have to compete with other pharmaceutical and biotechnology companies to recruit, hire, train, manage and retain medical affairs, marketing, sales and commercial support personnel. Recruiting, training, and retaining a sales force is expensive and time-consuming and could delay any product launch. If the commercial launch of our approved product or any other product candidate for which we or our third-party contractors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In the event we are unable to develop a commercial infrastructure, we may not be able to commercialize our current or future product candidates, which would limit our ability to generate product revenues. Even if we and/or our third-party contractors are able to effectively establish a sales force and develop a marketing and sales infrastructure, such sales force and marketing teams may not be successful in commercializing our approved product or any other current or future product candidates. To the extent we rely on third parties to commercialize any products for which we obtain regulatory approval, which we are doing to a certain extent in connection with our approved product launch, we may have less control over their sales efforts and could be held liable if they failed to comply with applicable legal or regulatory requirements.</w:t>
      </w:r>
    </w:p>
    <w:p>
      <w:pPr>
        <w:spacing w:after="0" w:line="1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approved product or any of our other product candidates do not achieve broad market acceptance, the revenues that we generate from their sales will be limited.</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in the process of commercializing our approved product. Our approved product and other product candidates, if approved by the appropriate regulatory authorities for marketing and sale, may not gain acceptance among physicians, patients, third-party payors, and others in the medical community. If our approved product or any other product candidate for which we obtain regulatory approval does not gain an adequate level of market acceptance, we may not generate significant product revenues or become profitable. Market acceptance of our approved product or any other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Efforts to educate the medical community and third-party payors on the benefits of our approved product and other product candidates may require significant resources and may not be successful. Even if the medical community accepts that our approved product and other product candidates are safe and effective for their approved indications, physicians and patients may not immediately be receptive to such approved product or other product candidates and may be slow to adopt them as an accepted treatment of the approved indications, including, for example, if third-party payors require high co-payments or if physicians perceive that reimbursement will not be available on a timely basis or at all. If our product or any of our other product candidates is approved but does not achieve an adequate level of market acceptance, we may not generate significant revenues and we may not become profitable. The degree of market acceptance of our approved product or any of our other product candidates will depend on a number of factors, including:</w:t>
      </w:r>
    </w:p>
    <w:p>
      <w:pPr>
        <w:spacing w:after="0" w:line="89"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continued safety and efficacy of our approved product or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prevalence and severity of adverse events associated with such approved product or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17" w:lineRule="exact"/>
        <w:rPr>
          <w:rFonts w:ascii="Times New Roman" w:cs="Times New Roman" w:eastAsia="Times New Roman" w:hAnsi="Times New Roman"/>
          <w:sz w:val="18"/>
          <w:szCs w:val="18"/>
          <w:b w:val="1"/>
          <w:bCs w:val="1"/>
          <w:color w:val="auto"/>
        </w:rPr>
      </w:pPr>
    </w:p>
    <w:p>
      <w:pPr>
        <w:ind w:left="980" w:right="140" w:hanging="324"/>
        <w:spacing w:after="0" w:line="266"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 or distribution and use restrictions imposed by the FDA with respect to such approved product or other product candidates or to which we agree as part of a mandatory REMS or voluntary risk management plan;</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standard of care for the targeted indications for such approved product or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relative difficulty of administration of such approved product or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offer such product or other product candidates for sale at competitive prices, including the cost of treatment versus economic and clinical benefit in relation to alternative treatments or therapies;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380" w:hanging="324"/>
        <w:spacing w:after="0" w:line="282"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marketing and distribution of such approved product or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market introduction of such approved product or other product candidates, as well as competitive products;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product liability claims.</w:t>
      </w:r>
    </w:p>
    <w:p>
      <w:pPr>
        <w:spacing w:after="0" w:line="17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If our approved product or any other product candidate that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approved product and our product candidates may face competition sooner than anticipated.</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enactment of the BPCIA created an abbreviated approval pathway for biological products that are biosimilar to or interchangeable with an FDA-licensed reference biological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approved product and/or product candidates may qualify for the BPCIA’s 12-year period of exclusivity. 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our approved product or any other product candidates we may develop to be reference products for competing products, potentially creating the opportunity for generic competition sooner than anticipated. Additionally, this period of regulatory exclusivity does not block companies pursuing regulatory approval via their own traditional BLA, rather than via the abbreviated pathway. Even if we receive a period of BPCIA exclusivity for our approved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 candidates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our small molecular product candidates, if qualified, the regulatory exclusivity period is less than for our biologic product candidates. The FD&amp;C Act provides a five-year period of non-patent marketing exclusivity within the U.S. to the first applicant to gain approval of an NDA for a drug where the FDA has not previously approved any other new drug containing the same active molecule or ion responsible for the action of the drug substance. During the exclusivity period, the FDA may not accept for review an abbreviated 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FD&amp;C Act also provides three years of marketing exclusivity for an NDA, 505(b)(2) NDA or supplement to an existing NDA if new clinical investigations, other than bioavailability studies, which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in the U.S.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will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systems, infrastructure or data, or those used by our CROs, CMOs, clinical sites or other contractors or consultants, may or may be perceived to fail or suffer a cyberattack, security breach or other incident, including a breakdown or compromise of the confidentiality, integrity and availability of our systems, networks or data, which could adversely affect the operation of our business and reputation.</w:t>
      </w:r>
    </w:p>
    <w:p>
      <w:pPr>
        <w:spacing w:after="0" w:line="6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are and will be dependent upon information technology systems, infrastructure, and data. In the ordinary course of our business, we will directly or indirectly collect, store, transmit, and otherwise process sensitive and confidential information, including intellectual property, preclinical, and clinical trial data, proprietary business information, and personal information of our clinical trial patients and employees, including in our data centers and on our systems and networks or on those of third parties. The secure maintenance, transmission, and processing of data is critical to our operations. The multitude and complexity of our systems and those of our CROs, CMOs, clinical sites, or other contractors or consultants may subject them to various threats, including interruption, destruction, malicious intrusion, and random attack. Privacy or security breaches or other incidents, including by</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employees, contractors or others, may pose a risk that sensitive or confidential information, including our intellectual property, trade secrets or personal information of our employees, patients, or other business partners may be exposed to unauthorized persons or to the public. Further, as many of our employees work remotely, our reliance on our and third-party systems has increased substantially and is expected to continue to increase.</w:t>
      </w:r>
    </w:p>
    <w:p>
      <w:pPr>
        <w:spacing w:after="0" w:line="18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systems, infrastructure and data, and those of our CROs, CMOs, clinical sites and other contractors and consultants, are subject to risks relating to cyberattacks, security breaches, or other incidents, including through viruses and other malware, employee error, unauthorized access, natural disasters, terrorism, war, fire, telecommunication and electrical failures, denial of service attacks, social engineering (including phishing attacks) and other means. As the cyberthreat landscape evolves, these cyberattacks are increasing in their frequency, sophistication and intensity and are becoming increasingly difficult to detect.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affect service reliability and threaten data confidentiality, integrity and availability. While we and our shared services partner, NantWorks, have invested, and continue to invest, in the protection of our data, systems, and infrastructure, there can be no assurance that our efforts, or the efforts of our partners, vendors, CROs, CMOs, clinical sites and other contractors and consultants, will be successful. Any failure or perceived failure in our systems, infrastructure or data, or to identify or prevent cyberattacks, security breaches or other incidents, including service interruptions could adversely affect our business and operations, result in the loss, unavailability, misuse, unauthorized use or acquisition, or other unauthorized processing of critical or sensitive information, and result in financial, legal, business or reputational harm. In addition, our liability insurance may not be sufficient in type or amount to cover us against claims related to any such failures, security breaches, cyberattacks or other incidents.</w:t>
      </w:r>
    </w:p>
    <w:p>
      <w:pPr>
        <w:spacing w:after="0" w:line="19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any such event were to occur, it could also cause interruptions in our operations, including a disruption of our product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Any such event could result in liability, delays in the development and commercialization of product candidates, claims, demands or proceedings initiated by regulatory authorities or private parties, violations of laws, including laws that protect the privacy or security of personal information, significant liabilities, including regulatory penalties, and damage to our reputation and a loss of confidence in us and our ability to conduct clinical trials.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the perception of its effects, may materially and adversely affect our business, operations and financial condition.</w:t>
      </w:r>
    </w:p>
    <w:p>
      <w:pPr>
        <w:spacing w:after="0" w:line="5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Public health outbreaks, such as epidemics or pandemics may significantly disrupt our business. Such outbreaks pose the risk that we or our employees, contractors, suppliers, and other partners may be prevented from conducting business activities for an indefinite period of time due to the spread of the disease, due to shutdowns that may be requested or mandated by federal, state, and local governmental authorities or certain employers, or due to the economic consequences associated with the pandemic. Business disruptions could include disruptions or restrictions on our ability to travel, as well as temporary closures of our facilities and the facilities of our partners, clinical trial sites, service providers, suppliers, or contract manufacturers. For example, the COVID-19 pandemic caused a temporary disruption in our ability to recruit participants for our clinical trials in the calendar year 2020 and the first quarter of 2021. While it is not possible to predict whether another pandemic, epidemic, or infectious disease outbreak similar to COVID-19 will materialize, any measures taken by governments and local authorities in response to such future health crises have the potential to disrupt and delay the initiation of new clinical trials, the progress of our ongoing clinical trials and our preclinical activities, and potentially the manufacture or shipment of both drug substance and finished drug product of our approved product and our other product candidates for preclinical testing and clinical trials, may adversely impact our business, financial condition, or operating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to comply with legal and regulatory requirements or to conduct the clinical trials according to GCP guidelines, and in a timely manner, may delay or prevent our ability to commercialize our approved product, to seek or obtain regulatory approval for or commercialize our other product candidates or may subject us to regulatory sanctions.</w:t>
      </w:r>
    </w:p>
    <w:p>
      <w:pPr>
        <w:spacing w:after="0" w:line="7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relied and will continue to rely on third parties and related parties to conduct some of our preclinical studies and clinical trials, manufacture our approved product and other product candidates, and perform many essential services for our approved product and any products that we commercialize. Any failure by a third party, related party, or by us to perform as expected, to comply with legal and regulatory requirements or to conduct the clinical trials according to GCP guidelines, and in a timely manner, may delay or prevent our ability to commercialize our approved product, to seek or obtain regulatory approval for or commercialize our other product candidates, or may subject us to regulatory sanctions.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We expect to be heavily reliant on third and related parties, including medical institutions, academic institutions, clinical investigators or CROs to conduct, supervise or monitor some or all aspects of our clinical trials, and in some cases, third-party CMOs to manufacture our approved product or other product candidates, which may force us to encounter delays and challenges that are outside of our control. 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Our CROs and other third parties must communicate and coordinate with one another in order for our trials to be successful. We have a limited history of conducting clinical trials and have limited experience as a company in submitting and supporting the applications necessary to gain marketing approvals. Our relative lack of experience conducting clinical trials may contribute to our planned clinical trials not beginning or completing on time, if at all. Securing marketing approval also requires the submission of information about the product manufacturing process to, and inspection of manufacturing facilities and clinical trial sites by, applicable regulatory authorities.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we will remain responsible for ensuring that each of our clinical trials is conducted in accordance with the general investigational plan and protocols for the trial and for ensuring that our preclinical studies are conducted in accordance with GLP guidelines, as appropriate. Moreover, the FDA and comparable foreign regulatory authorities require us and the third parties upon which we intend to rely for conducting our clinical trials to comply with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guidelines or other regulatory requirements, we or they may be subject to enforcement or other legal actions, the clinical data generated in our clinical trials may be deemed unreliable and have to be repeated, and our submission of marketing applications may be delayed or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guidelines.</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rely on third parties to manufacture, package, label, and ship our approved product and some of our other product candidates for the clinical trials that we conduct. Any performance failure on the part of these third parties could delay commercialization of our product or other product candidates or the clinical development or marketing approval of our product candidates producing additional losses and depriving us of potential product revenues.</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conducting our clinical trials (i) do not successfully carry out their contractual duties, (ii) do not meet expected deadlines, (iii) experience work stoppages, (iv) do not conduct our clinical trials in accordance with regulatory requirements or our stated protocols, (v) need to be replaced, (vi) experience financial hardships, or (vii) terminate their agreements with us or if the quality or accuracy of the data they obtain is compromised due to the failure to adhere to our clinical trial protocols, GCP guidelines, or other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Additionally, we may need to conduct additional clinical trials or enter into new arrangements with alternative CROs, clinical investigators or other third parties, which we may not be able to do on commercially reasonable terms, or at all and which may involve additional cost and time and require management time and focus. As a result, delays could occur, which could compromise our ability to meet our desired development timelines. Furthermore, if any of the third parties conducting our clinical trials experience any financial hardships due to difficulties relating to the operation of their business, it could damage our business, financial condition, results of operations, and prospects. In addition, if an agreement with any of our collaborators terminates, our access to technology and intellectual property licensed to us by that collaborator may be restricted or terminate entirely, which may delay the continued development of our product candidates using the collaborator’s technology or intellectual property or require us to stop development of those product candidates completely.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and we expect to continue to retain third-party service providers to perform a variety of functions related to the sale of our approved product and current or future product candidates, key aspects of which will be out of our direct control. These service providers may provide key services related to sales, market access, distribution, customer service, accounts receivable management, state reporting, compliance support, and cash collection. If we retain a service provider, we will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Additionally, we have contracted with one or more third parties to calculate and report pricing information mandated by various government programs, and may enter into further contracts in the future. If a third party fails to timely report or adjust prices as required or errs in calculating government pricing information from transactional data in our financial records, it could impact our discount and rebate liability, and potentially subject us to regulatory sanctions or FCA lawsuits.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reliance on third and related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proprietary technology. We may also need the cooperation of our collaborators to enforce or defend any intellectual property we contribute to or that arises out of our collaborations, which may not be provided to us.</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also anticipate that part of our strategy for pursuing the wide range of indications potentially addressed by ANKTIVA will involve further investigator-led clinical trials. While these trials generally provide us with valuable clinical data that can inform our future development strategy,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from investigator-led clinical trials, regardless of how the clinical trial was designed or conducted, could have a material adverse effect on our business and the perception of our product candidates.</w:t>
      </w:r>
    </w:p>
    <w:p>
      <w:pPr>
        <w:spacing w:after="0" w:line="18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commercialize our approved product or any other product candidates, if approved.</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reliance on third-party manufacturers, wholesalers, and distributors exposes us to the following risks, any of which could delay FDA approval of our product candidates and commercialization of our approved product or any other product candidates, if approved, result in higher costs, or deprive us of potential product revenues:</w:t>
      </w:r>
    </w:p>
    <w:p>
      <w:pPr>
        <w:spacing w:after="0" w:line="68" w:lineRule="exact"/>
        <w:rPr>
          <w:sz w:val="20"/>
          <w:szCs w:val="20"/>
          <w:color w:val="auto"/>
        </w:rPr>
      </w:pPr>
    </w:p>
    <w:p>
      <w:pPr>
        <w:ind w:left="980" w:right="160" w:hanging="324"/>
        <w:spacing w:after="0" w:line="266"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and may experience shortages of qualified personnel to adequately staff production operations;</w:t>
      </w:r>
    </w:p>
    <w:p>
      <w:pPr>
        <w:spacing w:after="0" w:line="67"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wholesalers and distributors could become unable to sell and deliver our approved product or other product candidates for regulatory, compliance, and other reasons;</w:t>
      </w:r>
    </w:p>
    <w:p>
      <w:pPr>
        <w:spacing w:after="0" w:line="53"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could breach or default on their agreements with us to meet our requirements for commercialization of our approved product or other product candidates;</w:t>
      </w:r>
    </w:p>
    <w:p>
      <w:pPr>
        <w:spacing w:after="0" w:line="53"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not perform as agreed or may not remain in business for the time required to successfully produce, store, sell, and distribute our approved product or other product candidates and we may incur additional cost;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misappropriate our proprietary information; and</w:t>
      </w:r>
    </w:p>
    <w:p>
      <w:pPr>
        <w:spacing w:after="0" w:line="117"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our CMOs, wholesalers, and distributors were to terminate our arrangements or fail to meet their contractual obligations, we may be forced to delay our commercial programs.</w:t>
      </w:r>
    </w:p>
    <w:p>
      <w:pPr>
        <w:spacing w:after="0" w:line="10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reliance on third parties reduces our control over our approved product and other product candidate development activities but does not relieve us of our responsibility to ensure compliance with all required legal, regulatory, and industry standards. For example, the FDA and other regulatory authorities require that our approved product, other product candidates and any other products that we may eventually commercialize be manufactured according to cGMP requirements. Any failure by our third-party manufacturers to comply with cGMP or maintain a compliance status acceptable to the FDA or other regulatory authorities or failure to scale up manufacturing processes, including any failure to deliver sufficient quantities of product candidates in a timely manner, could lead to a delay in, or failure to obtain, regulatory approval of any of our product candidates.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had previously received a CRL in response to our initial BLA submission, requiring us to resubmit the BLA to the FDA addressing the issues in the CRL. On April 22, 2024, the FDA approved ANKTIVA with BCG for the treatment of adult patients with BCG-unresponsive NMIBC with CIS, with or without papillary tumors. Our third-party manufacturers are subject to periodic inspections by the FDA and other regulatory authorities, and failure to comply with cGMP could be the basis for the FDA to issue a warning or untitled letter, withdraw approvals for our approved product or our other product candidates previously granted to us, or take other regulatory or legal action, including a request to recall or seize our approved product or our other product candidates, total or partial suspension of production, suspension of clinical trials, refusal to approve pending applications or supplemental applications, detention of product, refusal to permit the import or export of other product candidates, injunction, imposing civil penalties or pursuing criminal prosecution.</w:t>
      </w:r>
    </w:p>
    <w:p>
      <w:pPr>
        <w:spacing w:after="0" w:line="19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Additionally, as we scale up manufacturing of our approved product or other product candidates and conduct required stability testing, we may encounter additional challenges or cGMP issues. These issues may require refinement or resolution in order to proceed with commercial marketing of our approved product or any of our other product candidates, if approved. In addition, quality issues may arise during scale-up and validation of commercial manufacturing processes. Any issues in our manufacturing process could result in increased scrutiny by regulatory authorities, delays in our regulatory review process, increases in our operating expenses, or failure to obtain or maintain approval for our approved product or other product candidates. If such issues relate to an approved product, we may not be able to commercialize the approved product as we planned or fail to meet commercial demand, any of which can materially and adversely affect our position in the market.</w:t>
      </w:r>
    </w:p>
    <w:p>
      <w:pPr>
        <w:spacing w:after="0" w:line="18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spacing w:after="0" w:line="6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Clinic has conducted, is currently conducting, and in the future may conduct, clinical trials involving our product candidates. The Clinic is a related party as it is owned by an officer of the company and additionally, NantWorks manages the administrative operations of the Clinic. Prior to</w:t>
      </w:r>
    </w:p>
    <w:p>
      <w:pPr>
        <w:ind w:right="20"/>
        <w:spacing w:after="0" w:line="218" w:lineRule="exact"/>
        <w:rPr>
          <w:sz w:val="20"/>
          <w:szCs w:val="20"/>
          <w:color w:val="auto"/>
        </w:rPr>
      </w:pPr>
      <w:r>
        <w:rPr>
          <w:rFonts w:ascii="Times New Roman" w:cs="Times New Roman" w:eastAsia="Times New Roman" w:hAnsi="Times New Roman"/>
          <w:sz w:val="17"/>
          <w:szCs w:val="17"/>
          <w:color w:val="auto"/>
        </w:rPr>
        <w:t>June 30, 2019, one of the company’s officers was an investigator or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investigator for certain of the company’s trials conducted at the Clinic. NantWorks, which is wholly owned by our Executive Chairman and Global Chief Scientific and Medical Officer, Dr. Soon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Shiong, provides certain administrative services (and has loaned money) to the Clinic. Under certain circumstances, we may be required to report some of these relationships to the FDA.</w:t>
      </w:r>
    </w:p>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Relying on a related-party clinical site to develop data that is used as the basis to support regulatory approval can expose us to significant regulatory risks. The FDA may conclude that a financial relationship between us, the Clinic and/or a principal investigator has created a conflict of interest or otherwise affected interpretation of the study. The FDA or comparable regulatory authorities may therefore question the integrity of the data generated at the applicable clinical trial site and the utility of the clinical trial itself may be jeopardized. If any data integrity, or regulatory non-compliance issues occur during the study, we may not be able to use the data for our regulatory approval. This could result in a delay in approval, or rejection, of our marketing applications by the FDA and may ultimately lead to the denial of regulatory approval of one or more of our product candidates.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w:t>
      </w:r>
    </w:p>
    <w:p>
      <w:pPr>
        <w:spacing w:after="0" w:line="6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formed, and may in the future form or seek, strategic alliances, or enter into collaborations with third parties or additional licensing arrangements that we believe will complement or augment our development and commercialization efforts with respect to our approved product, other product candidates and any future product candidates that we may develop. We plan to collaborate with governmental, academic, and corporate partners, including affiliates, to improve and develop ANKTIVA, hAd5, saRNA and yeast constructs, and other cell therapies for new indications for use in combination with other therapies and to improve and develop other product candidates, which may expose us to additional risks, or we may not realize the benefits of such collaborations.</w:t>
      </w:r>
    </w:p>
    <w:p>
      <w:pPr>
        <w:spacing w:after="0" w:line="187"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Because some of our collaborations are conducted at outside laboratories, and we do not have complete control over how the studies are conducted or reported,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 candidates or proposed indications, even if such imputation is improper. Additionally, we may use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data to analyze, reach conclusions or make predictions or decisions with respect to our product candidates that may be incomplete, inaccurate or otherwise unreliable.</w:t>
      </w:r>
    </w:p>
    <w:p>
      <w:pPr>
        <w:spacing w:after="0" w:line="201"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also plan to collaborate with governmental, academic and corporate partners, including affiliates, to improve and develop ANKTIVA, hAd5, saRNA and yeast constructs, cell therapies and other therapies for new indications for use in combination with other therapies and to improve and develop other product candidates, which may expose us to additional risks, or we may not realize the benefits of such collaborations.</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Furthermore, conflicts may arise between us and our collaborators or strategic partners, and such strategic alliances, collaborations, or licensing arrangements may result in litigation, which is expensive and time consuming. For example, in 2019 Sorrento, with which we jointly established a new entity called NANTibody as a stand-alone biotechnology company, commenced litigation against us and certain of our officers and directors, alleging that we improperly caused NANTibody to acquire IgDraSol. Additionally, in 2020 we received a Request for Arbitration before the International Chamber of Commerce, International Court of Arbitration, served by Beike asserting breach of contract under our subsidiary Altor’s license agreement with them. See Item 1. “</w:t>
      </w:r>
      <w:r>
        <w:rPr>
          <w:rFonts w:ascii="Times New Roman" w:cs="Times New Roman" w:eastAsia="Times New Roman" w:hAnsi="Times New Roman"/>
          <w:sz w:val="18"/>
          <w:szCs w:val="18"/>
          <w:i w:val="1"/>
          <w:iCs w:val="1"/>
          <w:u w:val="single" w:color="auto"/>
          <w:color w:val="0000FF"/>
        </w:rPr>
        <w:t>Legal Proceedings</w:t>
      </w:r>
      <w:r>
        <w:rPr>
          <w:rFonts w:ascii="Times New Roman" w:cs="Times New Roman" w:eastAsia="Times New Roman" w:hAnsi="Times New Roman"/>
          <w:sz w:val="18"/>
          <w:szCs w:val="18"/>
          <w:color w:val="auto"/>
        </w:rPr>
        <w:t>” for more information regarding these disputes. Any such developments could harm our product development efforts, and additional disputes with our licensors or strategic collaborators may be expensive and time consuming.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collaborations involving our product candidates will be subject to numerous risks, which may include the following:</w:t>
      </w:r>
    </w:p>
    <w:p>
      <w:pPr>
        <w:spacing w:after="0" w:line="117"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including their related or affiliated companies, may be entitled to receive exclusive rights for or involving our products;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b w:val="1"/>
          <w:bCs w:val="1"/>
          <w:color w:val="auto"/>
        </w:rPr>
      </w:pPr>
    </w:p>
    <w:p>
      <w:pPr>
        <w:ind w:left="980" w:right="140" w:hanging="324"/>
        <w:spacing w:after="0" w:line="261"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b w:val="1"/>
          <w:bCs w:val="1"/>
          <w:color w:val="auto"/>
        </w:rPr>
      </w:pPr>
    </w:p>
    <w:p>
      <w:pPr>
        <w:ind w:left="980" w:right="420" w:hanging="324"/>
        <w:spacing w:after="0" w:line="282"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980" w:right="40" w:hanging="324"/>
        <w:spacing w:after="0" w:line="266"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b w:val="1"/>
          <w:bCs w:val="1"/>
          <w:color w:val="auto"/>
        </w:rPr>
      </w:pPr>
    </w:p>
    <w:p>
      <w:pPr>
        <w:ind w:left="980" w:right="104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b w:val="1"/>
          <w:bCs w:val="1"/>
          <w:color w:val="auto"/>
        </w:rPr>
      </w:pPr>
    </w:p>
    <w:p>
      <w:pPr>
        <w:jc w:val="both"/>
        <w:ind w:left="980" w:right="60" w:hanging="324"/>
        <w:spacing w:after="0" w:line="266"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agreement with any collaborator terminates, our access to technology and intellectual property licensed to us by that collaborator may be restricted or terminate entirely, which may delay our continued development of our product candidates using the collaborator’s technology or intellectual property or require us to stop development of those product candidates completely; and</w:t>
      </w:r>
    </w:p>
    <w:p>
      <w:pPr>
        <w:spacing w:after="0" w:line="67"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own or co-own intellectual property covering our product candidates or technology that results from our collaborating with them, and in such cases, we may not have the exclusive right to commercialize such intellectual property.</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existing academic collaborators and strategic partners are conducting multiple product development efforts. Such current or future collaborators or strategic partners could become our competitors in the future and could develop competing products, preclude us from entering into collaborations with their competitors, fail to obtain timely regulatory approvals, terminate their agreements with us prematurely or fail to devote sufficient resources to the commercialization of our approved product and the development and commercialization of our other product candidates. Competing product candidates, either developed by the collaborators or strategic partners or to which the collaborators or strategic partners have rights, may result in the withdrawal of our collaborator’s or partner’s support for our product or product candidates.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operate parts of our business through joint ventures, strategic partnerships, and/or alliances with other companies. While such arrangements may, in some cases, give us access to technologies that we may not otherwise have or may give us access to capital, they involve risks not otherwise present in our own investments, including: (i) we may not control the venture, and it may divert management time and resources; (ii) the partner(s) may not agree to distributions that we believe are appropriate; (iii) we may experience impasses or disputes with such partner(s) on certain decisions, which could require us to expend additional resources to resolve such impasses or disputes, including litigation or arbitration; (iv) our partner(s) may become insolvent or bankrupt, fail to fund their share of required capital contributions or fail to fulfil their obligations as a venture partner; (v) the arrangements governing these relationships may contain certain conditions or milestone events that may never be satisfied or achieved; (vi) our partner(s) may have business or economic interests that are inconsistent with our interests and may take actions contrary to our interests; (vii) we may suffer losses as a result of actions taken by the partner(s); and (viii) it may be difficult for us to exit if an impasse arises or if we desire to sell our interest for any reason. For example, in December 2021 we established a joint venture with Amyris. However, in August 2023, Amyris announced that it had filed for Chapter 11 bankruptcy protection. As of June 30, 2024, the carrying amount of our equity investment in the joint venture was zero. There can be no guarantee that the strategic partnerships that we currently have or may enter into will be successful. Furthermore, we may, in certain circumstances, be liable for the actions of our partners. Any of the foregoing risks could have a material adverse effect on our business, financial condition and results of operations.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our senior management, particularly Dr. Soon-Shiong, our Executive Chairman and Global Chief Scientific and Medical Officer, and a loss of a member of our senior management team in the future, even if only temporary, could harm our business.</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operations will be dependent upon the services of our executives and our employees who are engaged in research and development. If we lose the services of members of our senior management, particularly Dr. Soon-Shiong, our Executive Chairman and Global Chief Scientific and Medical Officer, for a short or an extended time, for any reason, we may not be able to find appropriate replacements on a timely basis, and our business, financial condition and results of operations could be materially adversely affected. Our existing operations and our future development depend to a significant extent upon the performance and active participation of certain key individuals, particularly Dr. Soon-Shiong. Although Dr. Soon-Shiong focuses heavily on our matters and is highly active in our management, he does devote a significant amount of his time to a number of different endeavors and companies, including NantHealth, Inc., NantMedia Holdings, LLC (which operates the Los Angeles Times)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do not have employment agreements with our NEOs and do not maintain “key man” insurance policies on the lives of most of the members of our management.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approved product and other product candidates will depend, in part, on our ability to effectively manage any future growth, and our management may also have to divert a disproportionate amount of their attention away from day-to-day activities in order to devote a substantial amount of time to managing these growth activities.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personnel in the biotechnology and pharmaceuticals industry is intense due to the limited number of individuals who possess the skills and experience required, and no assurance can be given that we will be able attract, hire, retain and motivate the highly skilled employees that we need, on acceptable terms or at all. Future growth will impose significant added responsibilities on members of management, including:</w:t>
      </w:r>
    </w:p>
    <w:p>
      <w:pPr>
        <w:spacing w:after="0" w:line="80"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7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on economically reasonable terms, or at all.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commercialize our approved product or develop and commercialize our other product candidates and, accordingly, may not achieve our research, development, and commercialization goals on a timely basis, or at all.</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980" w:right="5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spacing w:after="0" w:line="53" w:lineRule="exact"/>
        <w:rPr>
          <w:rFonts w:ascii="Times New Roman" w:cs="Times New Roman" w:eastAsia="Times New Roman" w:hAnsi="Times New Roman"/>
          <w:sz w:val="18"/>
          <w:szCs w:val="18"/>
          <w:b w:val="1"/>
          <w:bCs w:val="1"/>
          <w:color w:val="auto"/>
        </w:rPr>
      </w:pPr>
    </w:p>
    <w:p>
      <w:pPr>
        <w:ind w:left="980" w:right="60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upfront milestone and/or royalty payments from which we may not realize the anticipated benefits;</w:t>
      </w:r>
    </w:p>
    <w:p>
      <w:pPr>
        <w:spacing w:after="0" w:line="11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inability to generate revenues from acquired technology and/or products sufficient to meet our objectives in undertaking the acquisition or even to offset the associated acquisition and maintenance costs.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(including increased cash requirements). In addition, if we undertake acquisitions, we may issue dilutive equity securities, assume or incur additional debt obligations or contingent liabilities,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approved product and other product candidates internationally could materially adversely affect our business.</w:t>
      </w:r>
    </w:p>
    <w:p>
      <w:pPr>
        <w:spacing w:after="0" w:line="5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of our approved product and other product candidates outside of the U.S.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1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of public health epidemics on the global economy, such as the coronavirus pandemic;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16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In particular, there is currently significant uncertainty about the future relationship between the U.S.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a public-private partnership regarding our manufacturing facility in Dunkirk, New York, and if we or our counterparties fail to meet the obligations of those agreements, it could materially impact our development, operations and prospects.</w:t>
      </w:r>
    </w:p>
    <w:p>
      <w:pPr>
        <w:spacing w:after="0" w:line="5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February 14, 2022, we acquired a leasehold interest in the Dunkirk Facility from Athenex, which we believe will provide us with a state-of-the-art biotech production center that will substantially expand and diversify our manufacturing capacity in the U.S. and the ability to scale production associated with certain of our product candidates.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paid approximately $40.0 million to Athenex, and the leasehold interest in the Dunkirk Facility was transferred to us. Our annual lease payment will be $2.00 per year for an initial 10-year term, with an option to renew the lease under substantially the same terms and conditions for an additional 10-year term. As part of the transaction, we assumed obligations under various third-party agreements, and committed to spend $1.52 billion on operational expenses during the initial term, and an additional $1.50 billion on operational expenses if we elect to renew the lease for the additional 10-year term. We also committed to hiring 450 employees at the Dunkirk Facility within the first five years following the Commencement Date, with 300 such employees to be hired within the first 2.5 years following the Commencement Date. We are eligible for certain sales-tax exemption savings during the development of the Dunkirk Facility, and certain property tax savings over the next 20 years, subject to certain terms and conditions, including performance of certain of the obligations described above.</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we believe that the Dunkirk Facility has construction needs that may require approximately 12 to 18 months to complete in order for it to be used as intended, and which needs remain as a result of an ongoing dispute with the Dunkirk Facility’s general contractor and stay related to Athenex’s ongoing bankruptcy proceedings, as described below. Consequently, during the third quarter of 2022, we determined to conduct a reduction-in-force of a significant portion of the then-current employees at the Dunkirk Facility, which became effective in late December 2022. The construction period and reduction-in-force have adversely affected our ability to satisfy certain operational obligations described above, including the initial employee count requirement, which was not timely satisfied, and in addition, while we believe we have complied with all applicable federal and state laws implicated by the reduction-in-force, we could become subject to litigation in connection with these measures.</w:t>
      </w:r>
    </w:p>
    <w:p>
      <w:pPr>
        <w:spacing w:after="0" w:line="18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the obligations over the lease term, including the milestones we have committed to achieve, may give rise to certain rights and remedies of the lessor and other governmental authorities including, for example, termination of the lease agreement and other related agreements and potential recoupment of a percentage of the grant funding received by Athenex for construction of the Dunkirk Facility and other benefits received, subject to the terms and conditions of the applicable agreements. If we lose access to the Dunkirk Facility and related leased equipment, it could disrupt our operations and planned manufacturing activities, cause us to divert resources to finding alternative facilities, which would not have any subsidies, and could have a significant impact on our operations and financial performance. We may also be subject to lawsuits or claims for damages against us if we are unable to comply with our obligations under these arrangements or in connection with other aspects of the Dunkirk Facility, which could materially and adversely affect our business, results of operations, and financial condition. For example, we were named as a defendant in a lawsuit filed during the fourth quarter of 2022 by Exyte, the general contractor for the Dunkirk Facility, in New York state court arising from a construction agreement Exyte entered with Athenex pertaining to construction of the Dunkirk Facility. We believe we are entitled to defense costs and indemnification and, accordingly, we have provided notice to Athenex. On May 14, 2023, Athenex, together with certain of its subsidiaries, filed voluntary petitions for relief under Chapter 11 of the United States Bankruptcy Court for the Southern District of Texas. The lawsuit with Exyte has remained stayed as a result of Athenex’s bankruptcy proceedings and the construction needs of the Dunkirk Facility remain. The extent of the impact of the Athenex Proceedings and its automatic stay will have on any continuing obligations Athenex may have under the purchase agreement remain unclear. We further believe Exyte’s claims against us are without merit, and we intend to defend the claims vigorously. Furthermore, there is no guarantee that the counterparties to our public-private partnerships will comply with the terms of the agreements, including that their ability to fund their capital commitments under the agreements may be subject to their ability to raise additional capital and that further construction or operational timetables may not be met. Public-private partnerships are also subject to risks associated with government and government agency counterparties, including risks related to government relations compliance, sovereign immunity, shifts in the political environment, changing economic and legal conditions and social dynamics.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contractors and subcontractors may place liens on our projects, and if they then successfully foreclose on such projects, we may not be able to use such assets for our business.</w:t>
      </w:r>
    </w:p>
    <w:p>
      <w:pPr>
        <w:spacing w:after="0" w:line="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general property law, any contractor or subcontractor doing work on a project may attach a lien on the property with respect to which it does work to secure the dollar value of all labor and material furnished to the project. A valid lien holder could, after the lien is perfected, institute a collection suit, according to the lien, and if it were successful in obtaining a judgment, the real property and the equipment thereon could be foreclosed upon. If a contractor were to successfully foreclose on such liens, we may not then be able to use such assets to manufacture our products, and our business could be materially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be unable to commercialize our approved product or other product candidates. We are, and will continue to be, subject to ongoing extensive regulation, regulatory obligations and continued regulatory review, which may result in significant additional expense.</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approved product and other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review process are required to be successfully completed in the U.S. and in many foreign jurisdictions before a new drug or therapeutic biologic can be marketed. Satisfaction of these and other regulatory requirements is costly, lengthy, time-consuming, uncertain and subject to unanticipated delays and can vary substantially based upon the type, complexity and novelty of the products involved. We had previously received a CRL in response to our initial BLA submission, requiring us to resubmit the BLA to the FDA addressing the issues in the CRL. On April 22, 2024, the FDA approved ANKTIVA with BCG for the treatment of adult patients with BCG-unresponsive NMIBC with CIS, with or without papillary tumors. We are required to comply with certain post-marketing commitments, including completion of our QUILT 3032 clinical trial and annual reporting for up to four years, with a final report submission to the FDA by the end of 2029.</w:t>
      </w:r>
    </w:p>
    <w:p>
      <w:pPr>
        <w:spacing w:after="0" w:line="19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Other than our approved product, we have not submitted any other marketing or drug approval applications to the FDA or comparable foreign authorities for any other product candidate, and we may never receive such regulatory approval for any of our other product candidates or regulatory approval that will allow us to successfully commercialize such other product candidates. In addition, regulatory agencies may lack experience with our technologies and products, which may lengthen the regulatory review process, increase our development costs and delay or prevent their commercialization.</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additional government regulations may be enacted that could prevent, limit or delay regulatory approval of our other product candidates.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delay in completing development or obtaining, or failing to obtain, required approvals would have a material and adverse effect on our ability to generate revenue from the particular product candidate for which we are developing and seeking approval.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approved product or other product candidates in one jurisdiction does not mean that we will be successful in obtaining regulatory approval of our other product candidates in other jurisdictions.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approved product or other product candidates in one jurisdiction does not guarantee that we will be able to obtain or maintain regulatory approval in any other jurisdiction, however a failure or delay in obtaining regulatory approval in one jurisdiction may have a negative effect on the regulatory review process in others. Approval policies, procedures and requirements may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For example, even if the FDA grants marketing approval of a product candidate, comparable regulatory authorities in foreign jurisdictions must also approve the manufacturing, marketing and promotion of the product candidate in those countries. In many jurisdictions outside the U.S., a product candidate must be approved for reimbursement before it can be approved for sale in that jurisdiction. In some cases, the price that we intend to charge for our product candidates is also subject to approval.</w:t>
      </w:r>
    </w:p>
    <w:p>
      <w:pPr>
        <w:spacing w:after="0" w:line="1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approved product or other product candidates in certain countries. If we fail to comply with the regulatory requirements in international markets and/or fail to receive applicable marketing approvals, our target market will be reduced and our ability to realize the full market potential of our approved product or other product candidates will be harmed.</w:t>
      </w:r>
    </w:p>
    <w:p>
      <w:pPr>
        <w:spacing w:after="0" w:line="17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regulatory approval for our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other product candidates</w:t>
      </w:r>
      <w:r>
        <w:rPr>
          <w:rFonts w:ascii="Times New Roman" w:cs="Times New Roman" w:eastAsia="Times New Roman" w:hAnsi="Times New Roman"/>
          <w:sz w:val="18"/>
          <w:szCs w:val="18"/>
          <w:b w:val="1"/>
          <w:bCs w:val="1"/>
          <w:color w:val="auto"/>
        </w:rPr>
        <w:t>.</w:t>
      </w:r>
    </w:p>
    <w:p>
      <w:pPr>
        <w:spacing w:after="0" w:line="7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Any regulatory approvals that we receive for our product candidates may also be subject to limitations on the approved indicated uses for which the product may be marketed, or to conditions of approval, or contain requirements for potentially costly post-marketing testing, including Phase 4 clinical trials, and surveillance to monitor safety and efficacy. In addition, the manufacturing processes, labeling, packaging, distribution, adverse event reporting, storage, advertising, promotion and recordkeeping for any approved product, including our current product, will be subject to extensive and ongoing regulatory requirements. These requirements include submissions of safety and other post-marketing information and reports, including reporting of certain adverse events as well as continued compliance with cGMP for the drug products, and GCP guidelines for any clinical trials that we conduct post-approval.</w:t>
      </w:r>
    </w:p>
    <w:p>
      <w:pPr>
        <w:spacing w:after="0" w:line="17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spacing w:after="0" w:line="54"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holds on clinical trials;</w:t>
      </w:r>
    </w:p>
    <w:p>
      <w:pPr>
        <w:spacing w:after="0" w:line="117"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fines, warning or untitled letters;</w:t>
      </w:r>
    </w:p>
    <w:p>
      <w:pPr>
        <w:spacing w:after="0" w:line="11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refusal by the FDA to approve pending applications or supplements to approved applications submitted by us, or withdrawal of product approvals;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seizure or detention, or refusal to permit the import or export of product candidates;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we may not be successful commercializing our approved product or our other product candidates if and when they are approved.</w:t>
      </w:r>
    </w:p>
    <w:p>
      <w:pPr>
        <w:spacing w:after="0" w:line="5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in the process of implementing our sales and marketing personnel hiring plan and building out key commercialization infrastructure for the commercialization of our approved product. To achieve commercial success for any other product for which we obtain marketing approval, we may need to hire additional sales and marketing personnel.</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built, and are continuing to build, a focused sales and marketing infrastructure to market our approved product and potentially other product candidates in the U.S., if and when they are approved, including by partnering with experienced third party contractors. There are risks involved with establishing our own sales, marketing and distribution capabilities and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including failure to receive marketing approval from the FDA, we would have prematurely or unnecessarily incurred these commercialization expenses. For example, we had previously hired sales and marketing personnel for a launch of our now-approved product, but we received a CRL from the FDA in May 2023. We may also inaccurately estimate the number of representatives needed to build our sales force, which may result in unnecessary expense or the inability to scale as quickly as needed. This may be costly, and our investment would be lost if we cannot retain or reposition our sales and marketing personnel.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approved product and other product candidates, if approved, on our own include:</w:t>
      </w:r>
    </w:p>
    <w:p>
      <w:pPr>
        <w:spacing w:after="0" w:line="117" w:lineRule="exact"/>
        <w:rPr>
          <w:sz w:val="20"/>
          <w:szCs w:val="20"/>
          <w:color w:val="auto"/>
        </w:rPr>
      </w:pPr>
    </w:p>
    <w:p>
      <w:pPr>
        <w:ind w:left="980" w:right="8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sales personnel to obtain access to physicians or increase market acceptance of our approved product or any other product candidate, if approved;</w:t>
      </w:r>
    </w:p>
    <w:p>
      <w:pPr>
        <w:spacing w:after="0" w:line="53"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reimbursement professionals to negotiate arrangements for coverage or adequate reimbursement by payors for our approved product or any other product candidate, if approved;</w:t>
      </w:r>
    </w:p>
    <w:p>
      <w:pPr>
        <w:spacing w:after="0" w:line="53"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to price our approved product or any other product candidates, if approved, at a sufficient price point to ensure an adequate and attractive level of profitability;</w:t>
      </w:r>
    </w:p>
    <w:p>
      <w:pPr>
        <w:spacing w:after="0" w:line="53"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or closed distribution channels that make it difficult to distribute our approved product or any other product candidates, if approved, to segments of the patient population; and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we will not be successful in commercializing our approved product or any other product candidates, if approved.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related to large-scale commercial manufacturing could cause delays in product launches, an increase in product costs, product recalls or product shortages.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Manufacturing finished drug products, especially in large quantities, is complex. Our product, and if our other product candidates receive regulatory approval, will require several manufacturing steps and may involve complex techniques to ensure quality and sufficient quantity, especially as the manufacturing scale increases. Our approved product and other product candidates will need to be made consistently and in compliance with a clearly defined manufacturing process pursuant to FDA regulations. Accordingly, it will be essential to be able to validate and control the manufacturing process to assure that it is reproducible. Slight deviations anywhere in the manufacturing process, including obtaining materials, filling, labeling, packaging, storage, shipping, quality control and testing, may result in lot failures, delay in the release of lots, product recalls or spoilage. Success rates can vary dramatically at different stages of the manufacturing process, which can lower yields and increase costs. We may experience deviations in the manufacturing process that may take significant time and resources to resolve and, if unresolved, may affect manufacturing output and cause us to fail to satisfy contractual commitments, cause recalls, lead to delays in our clinical trials or result in litigation or regulatory action. Such actions would hinder our ability to meet contractual obligations and could cause material adverse consequences for our business.</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have or may receive and subject us to other penalties that could materially harm our business. For example, our GMP-in-a-Box may be regulated by the FDA as a medical device, and regulatory compliance for medical devices is expensive, complex and uncertain, and a failure to comply could lead to enforcement actions against us and other negative consequences for our business.</w:t>
      </w:r>
    </w:p>
    <w:p>
      <w:pPr>
        <w:spacing w:after="0" w:line="72"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The FDA and similar agencies regulate medical devices. All of our potential medical device products and material modifications will be subject to extensive regulation and clearance or approval from the FDA and non-U.S. regulatory agencies prior to commercial sale and distribution as well as after clearance or approval. Complying with these regulations is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consuming, complex and uncertain. For instance, before a new medical device, or a new intended use for an existing device, can be marketed in the U.S., a company must first submit a pre-market submission, such as a pre-market notification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PMA, and receive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grant, or approval from the FDA, unless an exemption applies.</w:t>
      </w:r>
    </w:p>
    <w:p>
      <w:pPr>
        <w:spacing w:after="0" w:line="20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approved product and other product candidates will require surveillance to monitor the safety and efficacy of the product. The FDA and similar agencies have significant pre- and post-market authority, including requirements related to product design, development, testing, laboratory and preclinical studies, clinical trials approval, manufacturing processes and quality (including suppliers), labeling, packaging, distribution, adverse event and deviation reporting, storage, shipping, pre-market clearance or approval, advertising, marketing, promotion, sale, import, export, product change, recalls, submissions of safety and effectiveness, post-market surveillance and reporting of deaths or serious injuries and certain malfunctions, and other post-marketing information and reports such as deviation reports, registration, product listing, annual user fees, and recordkeeping for our product candidates. The FDA may also require a REMS to approve our product candidates, which may impose further requirements or restrictions on the distribution or use of an approved drug or therapeutic biologic. The FDA may also require post-approval Phase 4 trials. Moreover, the FDA and comparable foreign regulatory authorities will continue to closely monitor the safety profile of any product even after approval.</w:t>
      </w:r>
    </w:p>
    <w:p>
      <w:pPr>
        <w:spacing w:after="0" w:line="188"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Medical devices regulated by the FDA are subject to general controls which include: registration with the FDA; listing commercially distributed products with the FDA; complying with cGMP under QSR; filing reports with the FDA of and keeping records relative to certain types of adverse events associated with devices under the medical device reporting regulation; assuring that device labeling complies with device labeling requirements; and reporting certain device field removals and corrections to the FDA. In addition to the general controls, some Class 2 medical devices are also subject to special controls. Most medical devices that require pre-market review by the FDA, including most Class 2 medical devices, require the submission of a 510(k)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and obtaining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grant prior to marketing the device. Some devices known as 510(k)-exempt devices can be marketed without prior clearance or approval from the FDA. Most Class 3 devices are subject to the FDA’s PMA requirement. Further, in February 2024, the FDA issued a final rule replacing the QSR with the QMSR, which incorporates by reference the quality management system requirements of ISO 13485:2016. The FDA has stated that the standards contained in ISO 13485:216 are substantially similar to those set forth in the existing QSR. This final rule does not go into effect until February 2026.</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FDA can also refuse to clear or approve pre-market submissions for any medical device we develop.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w:t>
      </w:r>
    </w:p>
    <w:p>
      <w:pPr>
        <w:spacing w:after="0" w:line="180"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In addition, we, our contractors, and our collaborators are and will remain responsible for FDA compliance.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6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FDA or comparable foreign regulatory authorities become aware of new safety information or previously unknown problems after approval of our approved product or any of our other product candidates, including: (i) adverse events of unanticipated severity or frequency, (ii) that the product is less effective than previously thought, (iii) problems with our third-party manufacturers or manufacturing processes or (iv) failure to comply with regulatory requirements, or if we violate regulatory requirements at any stage, whether before or after marketing approval is obtained, we may face a number of regulatory consequences, including fines, warnings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or partial suspension or total shutdown of production, injunctions, consent decrees, civil penalties and criminal prosecution, among other consequences. Additionally, we may face unanticipated expenditures to address or defend such actions and customer notifications for repair, replacement or refunds. Any such restrictions could limit sales of the product.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it would have a material and adverse effect on our business, financial condition and results of operations.</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pre-approval promotion and the promotion of off-label uses.</w:t>
      </w:r>
    </w:p>
    <w:p>
      <w:pPr>
        <w:spacing w:after="0" w:line="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FDA prohibits the pre-approval promotion of drugs as safe and effective for the purposes for which they are under investigation. Similarly, the FDA prohibits the promotion of approved drugs for new or unapproved indications. If the FDA finds that we have engaged in pre-approval promotion of our future product candidates, or if our approved product or any of our other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approved product and other product candidates, if approved. In particular, an approved product may not be promoted for uses that are not approved by the FDA or such other regulatory agencies as reflected in the product’s approved labeling. However, physicians may nevertheless prescribe our product, or any future approved product,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their patients in a manner that is inconsistent with the approved label, which is within their purview as part of their practice of medicine. If we are found to have promoted such off-label uses, however,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The FDA may also issue a public warning letter or untitled letter to the company. If we cannot successfully manage the promotion of our product or any future approved products, we could become subject to significant liability, which would materially adversely affect our business and financial condition.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any patient who receives compassionate use access to any of our non-approved product candidates should not be viewed as representative of how the product candidate will perform in a well-controlled clinical trial and cannot be used to establish safety or efficacy for regulatory approval.</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often receive requests for compassionate use access to our investigational drugs by patients that do not meet the entry criteria for enrollment into our clinical trials. Generally, patients requesting compassionate use have no other treatment alternatives for life-threatening conditions. We evaluate each compassionate use request on an individual basis, and in some cases grant access to our investigational product candidates outside of our sponsored clinical trials if a physician certifies that the patient receiving treatment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 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our compassionate use program may not be used to establish safety or efficacy or regulatory approval.</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and/or civil liability and other serious consequences for violations, which can harm our business.</w:t>
      </w:r>
    </w:p>
    <w:p>
      <w:pPr>
        <w:spacing w:after="0" w:line="6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Our approved product and our other product candidates will be subject to export control and import laws and regulations, including the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U.S. Export Administration Regulations, U.S. Customs regulations and various economic and trade sanctions regulations administered by the OFAC, the FCPA, the U.S. domestic bribery statute contained in 18 U.S.C.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use CROs abroad for clinical trials. In addition, we may engage third-party intermediaries to sell our approved product or other product candidates and solutions abroad once we enter a commercialization phase for our approved product or such other product candidates and/or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If we fail to comply with these laws and regulations, we and certain of our employees could be subject to substantial civil or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have adopted an anti-corruption policy, which mandates compliance with the FCPA and other anti-corruption laws applicable to our business throughout the world. However, there can be no assurance that our employees and third-party intermediaries will comply with this policy or such anti-corruption laws. Non-compliance with anti-corruption and anti-money laundering laws could subject us to whistleblower complaints, investigations, sanctions, settlements, prosecution, other investigations, or other enforcement actions. If such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our business, liquidity, financial condition, and/or results of operations would be materially and adversely affected.</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national and/or international privacy and security laws and regulations could lead to government enforcement actions and significant penalties against us, and adversely impact our operating results.</w:t>
      </w:r>
    </w:p>
    <w:p>
      <w:pPr>
        <w:spacing w:after="0" w:line="51"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7"/>
          <w:szCs w:val="17"/>
          <w:color w:val="auto"/>
        </w:rPr>
        <w:t>There are numerous laws and regulations at the federal and state levels addressing privacy and security concerns, and some state laws apply more broadly than HIPAA and associated regulations. For example, the CCPA, which went into effect on January 1, 2020, provides, among other things, new privacy and security obligations for covered companies and new privacy rights to California consumers, including the right to opt out of certain sales of their personal information. The CCPA also provides for civil penalties as well as a private right of action with statutory damages for certain data breaches, thereby potentially increasing risks associated with a data breach. Although the CCPA includes limited exceptions, including for certain personal information collected as part of certain clinical trials or other biomedical research studies, it may regulate or impact our processing of personal information depending on the context. Additionally, the CPRA was approved by California voters in November 2020. The CPRA significantly modifies the CCPA, which may require us to modify our practices and policies and may further increase our compliance costs and potential liability. Certain states have also enacted or proposed privacy laws governing health information, including for example, Washington’s My Health, My Data Act and Nevada’s Senate</w:t>
      </w:r>
    </w:p>
    <w:p>
      <w:pPr>
        <w:spacing w:after="0" w:line="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Bill 370, and all 50 states have enacted laws imposing obligations to provide notification of certain security breaches of personal information. Additionally, several states have enacted or proposed laws similar to the CCPA, such as in New York, Virginia, Colorado, Utah, Connecticut, Iowa, Indiana, Montana, Tennessee, Oregon, Florida, Delaware, and Texas. These laws could mark the beginning of a further trend toward more stringent privacy laws in the U.S. and have prompted a number of proposals for new federal and state-level privacy laws. We cannot yet determine the impact these laws or changes may have on our business and operations, but anticipate they could increase our compliance costs and potential liability, impair our ability to collect, use or otherwise process personal information, expose us to greater liability and require us to modify our practices and policies in an effort to comply.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also various laws and regulations in other jurisdictions relating to privacy and security. For example, EU member states and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jurisdictions, including the UK and Switzerland, have adopted data protection laws and regulations which impose significant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on us. The collection, use, and other processing of personal data, including patient or health data, in the EU, may be governed by the GDPR.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GDPR, which is wide-ranging in scope and applies extraterritorially, imposes, among other things, requirements relating to the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to whom the personal data relates, the notices provided to such individuals, the security and confidentiality of personal data, data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notification, the adoption of appropriate privacy governance, including policies, procedures, training and audits, and the use of third-party processors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processing of personal data. The GDPR also imposes strict rules on the transfer of personal data out of the EU, including to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data protection authorities with enforcement authority and imposes large penalties for noncompliance, including the potential for fines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or up to 4% of the total worldwide annual global revenues of the noncompliant entity, whichever is greater. GDPR requirements apply not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third-party personal data transfers, but also to transfers of personal data between us and our subsidiaries, including employee information. In addition,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2021, following its exit from the EU, the UK transposed the GDPR into its domestic law with its own version of the GDPR (combining the GDPR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UK GDPR), which currently imposes the same obligations as the GDPR in most material respects and provides for fines of up £17.5 million or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4% of the total worldwide annual global revenues of the noncompliant entity, whichever is greater.</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Complying with numerous, complex, and changing laws and regulations is expensive and difficult. Any actual or alleged failure to comply with any privacy or security law or regulation, or security breach or other incident, including those involving the misappropriation, loss, or other unauthorized use, disclosure or other processing of sensitive or confidential patient, consumer or other personal information, whether by us, one of our CROs or business associates or another third party, could adversely affect our business, financial condition, and results of operations, and could subject us to investigations, litigation, and other proceedings, material fines and penalties, compensatory, special, punitive and statutory damages,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enactment of, and changes to, privacy and security laws and regulations have increased our responsibility and potential liability, including in relation to the personal data that we process and our clinical trials, and we may be required to put in place additional mechanisms in an effort to comply with applicable laws and regulations, which could divert management’s attention and increase our cost of doing business. In addition, any new law or regulation relating to privacy and security, or any applicable industry standard, may increase our costs of doing business. In this regard, we expect that there will continue to be new proposed laws, regulations and industry standards relating to privacy and security in the U.S., the UK, the EU, and other jurisdictions, and we cannot determine the impact such future laws, regulations and standards may have on our business.</w:t>
      </w:r>
    </w:p>
    <w:p>
      <w:pPr>
        <w:spacing w:after="0" w:line="18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cannot assure you that our CROs or other third-party service providers with access to our or our customers’, suppliers’, trial patients’ and employees’ personal information or other sensitive or confidential information will not breach applicable laws or regulations or contractual obligations imposed by us, or that they will not experience security breaches or incidents, which could have a corresponding effect on our business, including putting us in breach of our obligations under privacy and security laws and regulations and/or which could in turn adversely affect our business, results of operations and financial condition. We cannot assure you that the measures and safeguards we have taken will protect us from the foregoing risks, any of which could have a material adverse effect on our business, financial condition, results of operations and prospects.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and any of our third-party contract manufacturers or suppliers are subject to numerous environmental, health and safety laws and regulations, including those governing laboratory procedures and the handling, use, generation, manufacture, storage, treatment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such environmental, health and safety laws and regulations, we could be held liable for any resulting damages, fines and penalties associated with such liability, which could exceed our assets and resources.</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comprehensive insurance coverage for liabilities arising from medical or hazardous materials, environmental liability or toxic tort claims that may be asserted against us in connection with our storage or disposal of biological or hazardous materials.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which could harm our business, prospects, financial condition or results of operations. Our failure to comply with these laws and regulations also may result in substantial fines, penalties or other sanctions.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approved product or other product candidates, which could make it difficult for us to sell our approved product or other product candidates profitably.</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both domestic and foreign markets, sales of our approved product or other product candidates, if approved, depend on the availability of coverage and adequate reimbursement from third-party payors. Third-party payors, whether domestic or foreign, or governmental or commercial, are developing increasingly sophisticated methods of controlling healthcare costs. Regulatory authorities and third-party payors have attempted to control costs by limiting coverage and the amount of reimbursement for particular medications, which could affect our ability or that of our collaborators to sell our product candidates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profitably. In addition,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higher levels of evidence of the benefits and clinical outcomes of new technologies and are challenging the prices charged. Patients who are provided medical treatment for their conditions generally rely on third-party payors to reimburse all or part of the costs associated with their treatment. Patients are unlikely to use our approved product or other product candidates unless coverage is provided, and reimbursement is adequate to cover a significant portion of the cost of our approved product or other product candidates. Such third-party payors include government health programs such as Medicare and Medicaid, managed care providers, private health insurers and other organizations. Obtaining coverage and adequate reimbursement from governmental healthcare programs, such as Medicare and Medicaid, and commercial payors is critical to new product acceptance. In addition, because our approved product and other product candidates represent new approaches to the treatment of cancer, we cannot accurately estimate the potential revenues from our approved product or other product candidates.</w:t>
      </w:r>
    </w:p>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These payors may not view our approved product or other future products, if any, as cost-effective, and coverage and reimbursement may not be available to our customers, or those of our collaborators, or may not be sufficient to allow our approved product or other future approved products, if any, to be marketed on a competitive basis. If reimbursement is not available, or is available only to limited levels, our product and other product candidates may be competitively disadvantaged, and we, or our collaborators, may not be able to successfully commercialize our approved product or other product candidates.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80"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experimental nor investigational.</w:t>
      </w:r>
    </w:p>
    <w:p>
      <w:pPr>
        <w:spacing w:after="0" w:line="17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approved product and our other product candidates, if approved, to each payor separately, with no assurance that coverage and adequate reimbursement will be obtained. Moreover, the factors noted above have continued to be the focus of policy and regulatory debate that has, thus far, shown the potential for movement towards permanent policy changes; this trend is likely to continue, and may result in more or less favorable impacts on pricing.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 Congress has considered and may continue to consider legislation that, if passed, could have significant impact on prices of prescription drugs covered by Medicare, including limitations on drug price increases. The impact of these regulations and any future healthcare measures and agency rules implemented by the Biden administration on us and the pharmaceutical industry as a whole is currently unknown. The implementation of cost containment measures or other healthcare reforms may prevent us from being able to generate revenue, attain profitability, or commercialize our approved product and other product candidates if approved. Complying with any new legislation and regulatory changes could be time-intensive and expensive, resulting in a material adverse effect on our business.</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 BLA or NDA, in the form of mandatory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rebates and/or discounts if commercial prices increase at a rate greater than the Consumer Price Index-Urban, and these rebates and/or discounts, which 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substantial, may impact our ability to raise commercial prices. For example, under the American Rescue Plan Act of 2021, the statutory cap on Medicaid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Rebate Program rebates that manufacturers pay to state Medicaid programs has been eliminated. Elimination of this cap may require pharmaceutical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to pay more in rebates than it receives on the sale of products, which could have a material impact on our business. In August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Congress passed the IRA, which includes prescription drug provisions that have significant implications for the pharmaceutical industry and Medicare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beneficiaries, including allowing the federal government to negotiate a maximum fair price for certain high-priced single source Medicare drugs, imposing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and excise tax for manufacturers that fail to comply with the drug price negotiation requirements, requiring inflation rebates for all Medicare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B and Part D drugs, with limited exceptions, if their drug prices increase faster than inflation, and redesigning Medicare Part D to reduce out-of-pocket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prescription drug costs for beneficiaries, among other changes. Various industry stakeholders, including certain pharmaceutical companies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Research and Manufacturers of America, have initiated lawsuits against the federal government asserting that the price negotiation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IRA are unconstitutional. The impact of these judicial challenges, legislative, executive, and administrative actions and any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measures and agency rules implemented by the Biden administration on us and the pharmaceutical industry as a whole is unclear. Cost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initiatives could cause us, or our collaborators, to decrease, discount, or rebate a portion of the price we, or they, might establish for products, which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lower than anticipated product revenues. If the realized prices for our product candidates, if any, decrease or if governmental and other third-party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payors do not provide adequate coverage or reimbursement, our prospects for revenues and profitability will suffer.</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Even if we obtain coverage for a given product, the resulting approved reimbursement payment rates might not be high enough to allow us to establish or maintain a market share sufficient to realize a sufficient return on our or their investments or achieve or sustain profitability or may require co-payments that patients find unacceptably high. If payors subject our approved product or other product candidates to maximum payment amounts or impose limitations that make it difficult to obtain reimbursement, providers may choose to use therapies which are less expensive when compared to our approved product or other product candidates. Additionally, if payors require high co-payments, beneficiaries may decline our therapies and seek alternative therapies and physicians may be reluctant to recommend our approved product to their patients. We may need to conduct post-marketing studies in order to demonstrate the cost-effectiveness of any future products to the satisfaction of physicians and other target customers and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and our collaborators, cannot be sure that coverage will be available for our approved product or any other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demand for our approved product or other product candidates if we obtain regulatory approval;</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set a price that we believe is fair for our approved product and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possible challenge for our approved product and other product candidates arises from the fact that they may potentially be used in an inpatient setting. Inpatient reimbursement generally relies on stringent packaging rules that may mean that there is no separate payment for our approved product or other product candidates. Additionally, data used to set the payment rates for inpatient admissions is usually several years old and would not take into account all of the additional therapy costs associated with the administration of our other product candidates. If special rules are not created for reimbursement for immunotherapy treatments such as our approved product or other product candidates, hospitals might not receive enough reimbursement to cover their costs of treatment, which will have a negative effect on their adoption of our approved product or other product candidates.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Further, the codes used by providers to bill for our approved product could also affect reimbursement. J-Codes are codes maintained by the CMS, which are a component of the Healthcare Common Procedure Coding System and are typically used to report injectable drugs that ordinarily cannot be self-administered. To date, we do not have a specific J-Code for our approved product or any of our other product candidates. We cannot guarantee that a J-Code will be granted for our approved product or any of our other product candidates, if approved. To the extent separate coverage or reimbursement is available for our approved candidate or any other product candidates, if approved, and a specific J-Code is not available, physicians would need to use a non-specific miscellaneous J-Code to bill third-party payors for these physician-administered drugs. Because miscellaneous J-Codes may be used for a wide variety of products, 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 As a result, until we have a specific J-Code for our approved product, we may experience slower than expected commercial sales.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approved product or other product candidates, restrict or regulate post-approval activities, and affect our ability, or the ability of our collaborators, to profitably sell any products for which we obtain marketing approval. We expect that current laws, as well as other federal and state healthcare reform measures that may be adopted in the future, may result in more rigorous coverage criteria, increased regulatory burdens and operating costs, decreased revenues from our biopharmaceutical product candidates, decreased potential returns from our development efforts, and additional downward pressure on the price that we, or our collaborators, may receive for any approved products.</w:t>
      </w:r>
    </w:p>
    <w:p>
      <w:pPr>
        <w:spacing w:after="0" w:line="187"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8"/>
          <w:szCs w:val="18"/>
          <w:color w:val="auto"/>
        </w:rPr>
        <w:t>Since enactment of the ACA in 2010, in both the U.S. and certain foreign jurisdictions, there have been a number of legislative and regulatory changes to the health care system that could impact our ability to sell our approved product or other product candidates profitably. These changes included aggregate reductions of Medicare payments to providers of up to 2% per fiscal year, effective April 1, 2013, which, due to subsequent legislative amendments, will stay in effect through 2032, with the exception of a temporary suspension implemented under various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relief legislation. In January 2013, the ATRA was approved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approved product or other product candidates, if approved, and accordingly, our financial operations.</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Since its enactment, various portions of the ACA have been subject to judicial and constitutional challenges. In June 2021, the U.S.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or healthcare measures promulgated by the Biden administration will impact our business, financial condition and results of operations. Complying with any new legislation or reversing changes implemented under the ACA could be time-intensive and expensive, resulting in a material adverse effect on our business.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approved product or other product candidates.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approved product or other product candidates, if any, may be. In addition, increased scrutiny by Congress of the FDA’s approval process may significantly delay or prevent marketing approval, as well as subject us to more stringent product labeling and post-marketing testing and other requirements. Recently,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there have been increasing legislative efforts and enforcement interest in the U.S. with respect to drug pricing practices, including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As discussed above,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have initiated lawsuits against the federal government asserting that the price negotiation provisions of the IRA are unconstitutional. The impact of these judicial challenges, future litigation in view of the Supreme Court’s overturn of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decision, legislative, executive, and administrative actions and any future healthcare measures and agency rules implemented by the government on us and the 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w:t>
      </w:r>
    </w:p>
    <w:p>
      <w:pPr>
        <w:spacing w:after="0" w:line="19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 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21"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or other product candidates is unavailable or limited in scope or amount, or if pricing is set at unsatisfactory levels, our business could be harmed, possibly materially.</w:t>
      </w:r>
    </w:p>
    <w:p>
      <w:pPr>
        <w:spacing w:after="0" w:line="19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principal investigators, CROs, suppliers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 In particular, the promotion, sales and marketing of healthcare items and services, as well as certain business arrangements in the healthcare industry, are subject to extensive laws and regulations designed to prevent fraud, kickbacks,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dealing and other abusive practices. These laws and regulations may restrict or prohibit a wide range of pricing, discounting, marketing and promotion, structuring and commission(s), certain customer incentive programs and other business arrangements. Activities subject to these laws also involve the improper use of information obtained in the course of patient recruitment for clinical trials, which could result in regulatory sanctions and serious harm to our reputation.</w:t>
      </w:r>
    </w:p>
    <w:p>
      <w:pPr>
        <w:spacing w:after="0" w:line="20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or other improper activities by our employees or third parties that we engage for our business operations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fines or other sanctions, including exclusion from government healthcare programs, and serious harm to our reputation. In addition, the approval and commercialization of any of our product candidates outside the U.S. will also likely subject us to foreign equivalents of the healthcare laws mentioned above, among other foreign laws. Efforts to ensure that our business arrangements will comply with applicable healthcare laws may involve substantial costs.</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 care professionals, institutional providers, principal investigators, consultants, potential customers and third-party payors are, and will continue to be, subject, directly and indirectly, to federal and state health care fraud and abuse, false claims, marketing expenditure tracking and disclosure, government price reporting, and privacy and security laws. If we are unable to comply, or have not fully complied, with such laws, we could face significant penalties and liabilities.</w:t>
      </w:r>
    </w:p>
    <w:p>
      <w:pPr>
        <w:spacing w:after="0" w:line="7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fraud and abuse laws, including, without limitation, the federal Anti-Kickback Statute and the federal FCA.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In addition, we may be subject to laws of the federal government and state governments in which we conduct our business relating to privacy and security with respect to patient or health data. The laws that may affect our ability to operate include, but are not limited to:</w:t>
      </w:r>
    </w:p>
    <w:p>
      <w:pPr>
        <w:spacing w:after="0" w:line="75" w:lineRule="exact"/>
        <w:rPr>
          <w:sz w:val="20"/>
          <w:szCs w:val="20"/>
          <w:color w:val="auto"/>
        </w:rPr>
      </w:pPr>
    </w:p>
    <w:p>
      <w:pPr>
        <w:ind w:left="980" w:hanging="324"/>
        <w:spacing w:after="0" w:line="266"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Anti-Kickback Statute, which prohibits, among other things, persons and entities from soliciting, receiving or providing remuneration, directly or indirectly, to induce either the referral of an individual for a healthcare item or service, or the purchasing or ordering of an item or service, for which payment may be made under a federal healthcare program such as Medicare or Medicaid;</w:t>
      </w:r>
    </w:p>
    <w:p>
      <w:pPr>
        <w:spacing w:after="0" w:line="67" w:lineRule="exact"/>
        <w:rPr>
          <w:rFonts w:ascii="Times New Roman" w:cs="Times New Roman" w:eastAsia="Times New Roman" w:hAnsi="Times New Roman"/>
          <w:sz w:val="18"/>
          <w:szCs w:val="18"/>
          <w:b w:val="1"/>
          <w:bCs w:val="1"/>
          <w:color w:val="auto"/>
        </w:rPr>
      </w:pPr>
    </w:p>
    <w:p>
      <w:pPr>
        <w:ind w:left="980" w:right="140" w:hanging="324"/>
        <w:spacing w:after="0" w:line="261"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false claims and civil monetary penalties laws, including the federal civil FCA, which prohibit, among other things, individuals or entities from knowingly presenting or causing to be presented, claims for payment by government funded programs such as Medicare or Medicaid that are false or fraudulent, and which may apply to us by virtue of statements and representations made to customers or third parties;</w:t>
      </w:r>
    </w:p>
    <w:p>
      <w:pPr>
        <w:spacing w:after="0" w:line="71"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HIPAA, which created additional federal criminal statutes that prohibit, among other things, knowingly and willfully executing or attempting to execute a scheme to defraud healthcare programs, as well as;</w:t>
      </w:r>
    </w:p>
    <w:p>
      <w:pPr>
        <w:spacing w:after="0" w:line="53" w:lineRule="exact"/>
        <w:rPr>
          <w:rFonts w:ascii="Times New Roman" w:cs="Times New Roman" w:eastAsia="Times New Roman" w:hAnsi="Times New Roman"/>
          <w:sz w:val="18"/>
          <w:szCs w:val="18"/>
          <w:b w:val="1"/>
          <w:bCs w:val="1"/>
          <w:color w:val="auto"/>
        </w:rPr>
      </w:pPr>
    </w:p>
    <w:p>
      <w:pPr>
        <w:ind w:left="980" w:right="140" w:hanging="324"/>
        <w:spacing w:after="0" w:line="266"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HIPAA, as amended by HITECH, which imposes requirements on certain types of people and entities relating to the privacy, security, and transmission of PHI, and requires notification to affected individuals and regulatory authorities of certain breaches of the privacy or security of PHI, and other U.S. laws and foreign laws that govern the privacy or security of health or patient data;</w:t>
      </w:r>
    </w:p>
    <w:p>
      <w:pPr>
        <w:spacing w:after="0" w:line="67" w:lineRule="exact"/>
        <w:rPr>
          <w:rFonts w:ascii="Times New Roman" w:cs="Times New Roman" w:eastAsia="Times New Roman" w:hAnsi="Times New Roman"/>
          <w:sz w:val="18"/>
          <w:szCs w:val="18"/>
          <w:b w:val="1"/>
          <w:bCs w:val="1"/>
          <w:color w:val="auto"/>
        </w:rPr>
      </w:pPr>
    </w:p>
    <w:p>
      <w:pPr>
        <w:ind w:left="980" w:right="20" w:hanging="324"/>
        <w:spacing w:after="0" w:line="256"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Physician Payment Sunshine Act, which requires certain manufacturers of drugs, devices, biologics and medical supplies for which payment is available under Medicare, Medicaid, or the Children’s Health Insurance Program, to report annually to the CMS information related to payments and other transfers of value to covered recipients, including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 which is published in a searchable form on an annual basis;</w:t>
      </w:r>
    </w:p>
    <w:p>
      <w:pPr>
        <w:spacing w:after="0" w:line="79"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or causing to be made, false statements relating to healthcare matters;</w:t>
      </w:r>
    </w:p>
    <w:p>
      <w:pPr>
        <w:spacing w:after="0" w:line="53"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FCPA, the U.K. Bribery Act of 2010, and other local anti-corruption laws that apply to our international activities;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line="256"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laws comparable to each of the above federal laws, such as, for example, anti-kickback and false claims laws that may be broader in scope and also apply to commercial insurers and other non-federal payors, requirements for mandatory corporate regulatory compliance programs, and laws relating to patient or health data, privacy or security. Other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pacing w:after="0" w:line="1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expect to incur increased costs of compliance with such laws and regulations as they continue to evolve. If we or our contractors are unable to comply, or have not fully complied, with such laws, we could face penalties, including, without limitation, civil, criminal, and administrative penalties, damages, monetary fines, disgorgement, possible exclusion from participation in Medicare, Medicaid and other federal and state health care programs, contractual damages, reputational harm, diminished profits and future earnings, and curtailment or restructuring of our operations. Any of these could adversely affect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we grow our business and expand our sales organization or rely on distributors outside of the U.S.,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could hinder their ability to hire and retain key leadership and other personnel, prevent new products from being developed or commercialized in a timely manner, or otherwise prevent those agencies from performing normal business functions, which could negatively impact our business and the approval of our future BLA submissions, as well as adversely affect the U.S. and global economy and our liquidity, financial condition and earnings.</w:t>
      </w:r>
    </w:p>
    <w:p>
      <w:pPr>
        <w:spacing w:after="0" w:line="7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and related government shutdowns,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including disruptions due to public health concerns, resurgence of COVID-19 cases, travel restrictions, or staffing shortages,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in the future, including as a result of any failure by the U.S. federal government to increase the debt ceiling,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 financial condition and results of operations and/or our BLA submissions.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protection and other proprietary rights for our approved product and other product candidates and technologies, we may not be able to compete effectively or operate profitably and may lose our ability to prevent our competitors from commercializing similar or identical technology and our approved product and other product candidates would be adversely affected.</w:t>
      </w:r>
    </w:p>
    <w:p>
      <w:pPr>
        <w:spacing w:after="0" w:line="6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success is dependent in large part on our obtaining, maintaining, protecting and enforcing patents and other proprietary rights in the U.S. and other countries with respect to our approved product and other product candidates and technology and on our ability to avoid infringing the intellectual property and other proprietary rights of others. Certain of our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and pharmaceutical companies can be highly uncertain and involve complex legal and factual questions for which important legal principles remain unresolved and has been the subject of much litigation in recent years. No consistent policy regarding the breadth of claims allowed in biotechnology patents has emerged to date. As a result, the issuance, scope, validity, enforceability, or commercial value of our patent rights remain highly uncertain.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future patents we obtain may not be sufficiently broad to prevent others from using our technology or from developing competing therapeutics and technology. There is no guarantee that any of our pending patent applications will result in issued or granted patents, any of our issued or granted patents will not later be found to be invalid or unenforceable, or any issued or granted patents will include claims sufficiently broad to cover our product candidates and technology, or to provide meaningful protection from our competitors. Our owned or in-licensed pending and future patent applications may not result in patents being issued that protect our ANKTIVA, hAd5, saRNA and yeast technologies and constructs, cell-based therapies or other product candidates and technologies or that effectively prevent others from commercializing competitive technologies and product candidates.</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ANKTIVA, hAd5, saRNA and yeast technologies and constructs, cell-based therapies or other product candidates and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1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it is uncertain how much protection, if any, will be provided by our patents, including if they are challenged in the courts or patent offices or in other proceedings, such as re-examinations or oppositions, which may be brought in the U.S.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it is possible that competitors may infringe our patents or successfully avoid the patented technology through design innovation. To counter infringement or other unauthorized use, we may be required to file infringement claims, which can be expensive and time consuming, even if we were successful in stopping the violation of our patent rights.</w:t>
      </w:r>
    </w:p>
    <w:p>
      <w:pPr>
        <w:spacing w:after="0" w:line="18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We or our licensors may be subject to a third-party preissuance submission of prior art to the USPTO, or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similar proceedings challenging our owned or licensed patent rights. Should third parties file patent applications, or be issued patents claiming technology also used or claimed by our licensor(s) or by us in any future patent application, we, or one of our licensors,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also be required to participate in post-grant challenge proceedings, such as oppositions in a foreign patent office, which challenge our or our licensor’s priority of invention or other features of patentability with respect to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patent protection of our ANKTIVA, hAd5, saRNA and yeast technologies and constructs, cell-based therapies or other product candidates and technologies. For example, the validity of one of our European patents, EP Patent No. 3601363, is being challenged in an opposition proceeding. This patent is directed to methods of using ANKTIVA-based combination therapy with anti-CD38 antibodies to treat cancer, which does not directly relate to any of our current programs. We intend to defend our patent and believe we have meritorious defenses against this opposition. An adverse determination in any of the type of submissions described above, proceeding or litigation could reduce the scope of, or invalidate or render unenforceable,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 rights, allow third parties to commercialize our ANKTIVA, hAd5, saRNA and yeast technologies and constructs, cell-based therapies or other product candidates or technologies and compete directly with us, without payment to us, or result in our inability to manufacture or commercialize products without infringing third-party patent rights.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or our collaborators are unsuccessful in any such proceeding or other priority or inventorship dispute, we may be required to cease using the technology or to obtain and maintain license rights from prevailing third parties, including parties involved in any such interference proceedings or other priority or inventorship disputes.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have a material adverse effect on our business, financial condition, results of operations and prospects.</w:t>
      </w:r>
    </w:p>
    <w:p>
      <w:pPr>
        <w:spacing w:after="0" w:line="1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color w:val="auto"/>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w:t>
      </w:r>
    </w:p>
    <w:p>
      <w:pPr>
        <w:spacing w:after="0" w:line="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third parties, and such cooperation may not be provided to us. Any of the foregoing could have a material adverse effect on our competitive position, business, financial conditions, results of operations and growth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owned or in-licensed patent applications do not issue as patents in any jurisdiction, we may not be able to compete effectively.</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collaborators, or any future strategic partners may become subject to third-</w:t>
      </w:r>
      <w:r>
        <w:rPr>
          <w:rFonts w:ascii="Times New Roman" w:cs="Times New Roman" w:eastAsia="Times New Roman" w:hAnsi="Times New Roman"/>
          <w:sz w:val="18"/>
          <w:szCs w:val="18"/>
          <w:b w:val="1"/>
          <w:bCs w:val="1"/>
          <w:i w:val="1"/>
          <w:iCs w:val="1"/>
          <w:color w:val="231F20"/>
        </w:rPr>
        <w:t>party claims or litigation alleging infringement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 xml:space="preserve">patents or other proprietary rights or seeking to invalidate patents or other proprietary rights, and we may need to resort to litigation </w:t>
      </w:r>
      <w:r>
        <w:rPr>
          <w:rFonts w:ascii="Times New Roman" w:cs="Times New Roman" w:eastAsia="Times New Roman" w:hAnsi="Times New Roman"/>
          <w:sz w:val="18"/>
          <w:szCs w:val="18"/>
          <w:b w:val="1"/>
          <w:bCs w:val="1"/>
          <w:i w:val="1"/>
          <w:iCs w:val="1"/>
          <w:color w:val="000000"/>
        </w:rPr>
        <w:t>to protect or</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b w:val="1"/>
          <w:bCs w:val="1"/>
          <w:i w:val="1"/>
          <w:iCs w:val="1"/>
          <w:color w:val="000000"/>
        </w:rPr>
        <w:t>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spacing w:after="0" w:line="7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With respect to the validity question, for example, we cannot be certain that there is no invalidating prior art, of which we, our licensor, our or our licensor’s patent counsel and the patent examiner were unaware during prosecution. Moreover, even if our patents were to survive such a litigation challenge to their validity, the patents might still be held to be valid but unenforceable if a court were to decide that the patents are being enforced in a manner inconsistent with the antitrust laws, or that the patents were obtained through deceit during patent office examination or other such failure of sufficient candor to the patent office.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 The validity of one of our European patents, EP Patent No. 3601363, is being challenged in an opposition proceeding. We intend to defend our patent and believe we have meritorious defenses against this opposition.</w:t>
      </w:r>
    </w:p>
    <w:p>
      <w:pPr>
        <w:spacing w:after="0" w:line="1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Defense of these claims, regardless of their merit, would involve substantial litigation expense and would be a substantial diversion of employee resources, including our scientists and management, from our business.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adverse result in any litigation or defense proceeding could put one or more of our owned or licensed patents at risk of being invalidated, held unenforceable, or interpreted narrowly, and could put our patent applications at risk of not being issued. Such proceedings could result in revocation or cancellation of, or amendment to, our patents in such a way that they no longer cover our product candidates or technologies. If the outcome of litigation is adverse to us, third parties may be able to use our patented invention without payment to us. In addition, in an infringement proceeding, there is a risk that a court may decide that one or more of our patents is not valid or is unenforceable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better able to sustain the costs of such litigation or proceedings more effectively than we can because of their greater financial resources and more mature and developed intellectual property portfolios. The outcome following legal assertions of invalidity and unenforceability is unpredictable.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our technology and product or our other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product candidates and technologies.</w:t>
      </w:r>
    </w:p>
    <w:p>
      <w:pPr>
        <w:spacing w:after="0" w:line="6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approved product or other product candidates, pay licensing fees or cease our development and commercialization activities with respect to the applicable approved product or product candidates or technologies. If our approved product or other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we have conducted FTO analyses of the patent landscape with respect to our approved product or other product candidates and continue to undertake FTO analyses of our manufacturing processes, no FTO analysis can be considered exhausted because patent applications do not publish for</w:t>
      </w:r>
    </w:p>
    <w:p>
      <w:pPr>
        <w:ind w:right="60"/>
        <w:spacing w:after="0" w:line="252" w:lineRule="auto"/>
        <w:rPr>
          <w:sz w:val="20"/>
          <w:szCs w:val="20"/>
          <w:color w:val="auto"/>
        </w:rPr>
      </w:pPr>
      <w:r>
        <w:rPr>
          <w:rFonts w:ascii="Times New Roman" w:cs="Times New Roman" w:eastAsia="Times New Roman" w:hAnsi="Times New Roman"/>
          <w:sz w:val="18"/>
          <w:szCs w:val="18"/>
          <w:color w:val="auto"/>
        </w:rPr>
        <w:t>18 months and the claims of patent applications can change over time. We may not be aware of patents that have already been issued and that a competitor or other third party might assert are infringed by our approved product or other product candidates or technologies. It is also possible that we could be found to have infringed patents owned by third parties of which we are aware, but which we do not believe are relevant to our approved product or other product candidates or technologies. In addition, because patent applications can take many years to issue, there may be currently pending patent applications that may later result in issued patents that our approved product or other product candidates or technologies may infringe. Furthermore, patent and other intellectual property rights in biotechnology remains an evolving area with many risks and uncertainties. As such, we may not be able to ensure that we can market our approved product or other product candidates without conflict with the rights of others.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approved product and other product candidates.</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is the case with other immunotherapy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America Invents Act enacted in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2011, the U.S. transitioned to a first-to-file system in which, assuming that other requirements for patentability are met, the first inventor to file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patent application will be entitled to the patent on an invention regardless of whether a third party was the first to invent the claimed invention.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that files a patent application in the USPTO after March 2013, but before us could therefore be awarded a patent covering an invention of ours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we had made the invention before such third party made it. This will require us to be cognizant of the time from invention to filing of a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Since patent applications in the U.S. and most other countries are confidential for a period of time after filing or until issuance, we cannot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that we or our licensors were the first to either file any patent application related to our product candidates or other technologies or invent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inventions claimed in our or our licensor’s patents or patent applications. The America Invents Act also includes a number of significant changes that affect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way patent applications will be prosecuted and also may affect patent litigation. These include allowing third-party submission of prior art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USPTO during patent prosecution and additional procedures to attack the validity of a patent by USPTO-administered post-grant proceedings,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post-grant review, </w:t>
      </w:r>
      <w:r>
        <w:rPr>
          <w:rFonts w:ascii="Times New Roman" w:cs="Times New Roman" w:eastAsia="Times New Roman" w:hAnsi="Times New Roman"/>
          <w:sz w:val="18"/>
          <w:szCs w:val="18"/>
          <w:i w:val="1"/>
          <w:iCs w:val="1"/>
          <w:color w:val="auto"/>
        </w:rPr>
        <w:t>inter parte</w:t>
      </w:r>
      <w:r>
        <w:rPr>
          <w:rFonts w:ascii="Times New Roman" w:cs="Times New Roman" w:eastAsia="Times New Roman" w:hAnsi="Times New Roman"/>
          <w:sz w:val="18"/>
          <w:szCs w:val="18"/>
          <w:color w:val="auto"/>
        </w:rPr>
        <w:t>s review, and derivation proceedings. Therefore, the America Invents Act and its implementation could increase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uncertainties and costs surrounding the prosecution of our owned or in-licensed patent applications and the enforcement or defense of our owned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issued patents, all of which could have a material adverse effect on our business, financial condition, results of operations, and prospects.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Additionally,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 foregoing, we cannot predict how future decisions by Congress, the federal courts or the USPTO may impact the value of our patents.</w:t>
      </w:r>
    </w:p>
    <w:p>
      <w:pPr>
        <w:spacing w:after="0" w:line="18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and technologies are subject, in part, to the terms and conditions of licenses granted to us by others.</w:t>
      </w:r>
    </w:p>
    <w:p>
      <w:pPr>
        <w:spacing w:after="0" w:line="5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rely on licenses to certain patent rights and proprietary technology from third parties that are important or necessary to the development of products enabled by our adenoviral, saRNA and yeast (including Tarmogen) vaccine technologies.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License agreements may not provide exclusive rights to use certain licensed intellectual property and technology in all relevant fields of use and in all territories in which we may wish to commercialize our technology and product candidates in the future. As a result, we may not be able to prevent competitors or other third parties from developing and commercializing competitive products that also utilize technology that we have in-licensed.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our approved product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certain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in-licensed intellectual property was funded in part by the U.S. government. As a result, the U.S. government may have certain rights to such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When new technologies are developed with U.S. government funding, the U.S. government generally obtains certain rights in any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including a non-exclusive license authorizing the U.S. government to use the invention or to have others use the invention on its behalf.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government’s rights may also permit it to disclose the funded inventions and technology to third parties and to exercise march-in rights to use or allow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parties to use the technology we have licensed that was developed using U.S. government funding. The U.S. government may exercise its march-in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if it determines that action is necessary because we fail to achieve practical application of the government-funded technology, or because action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alleviate health or safety needs, to meet requirements of federal regulations, or to give preference to U.S. industry. In addition, our rights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inventions may be subject to certain requirements to manufacture products embodying such inventions in the U.S. in certain circumstances if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is not waived. Any exercise by the U.S. government of such rights or by any third party of its reserved rights could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our competitive position, business, financial condition, results of operations and growth prospects.</w:t>
      </w:r>
    </w:p>
    <w:p>
      <w:pPr>
        <w:spacing w:after="0" w:line="20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may be required to pay damages and we could lose license rights that are important to our business.</w:t>
      </w:r>
    </w:p>
    <w:p>
      <w:pPr>
        <w:spacing w:after="0" w:line="6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others to advance our research or allow commercialization of our product candidates. We may be unable to obtain certain additional licenses at a reasonable cost or on reasonable terms, if at all.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commercialization of our approved product or the development and commercialization of certain of our other product candidates. Any of the foregoing could have a material adverse effect on our competitive position, business, financial conditions, results of operations and growth prospects.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17"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extent to which our technology and processes infringe on intellectual property of the licensor that is not subject to the licensing agreement;</w:t>
      </w:r>
    </w:p>
    <w:p>
      <w:pPr>
        <w:spacing w:after="0" w:line="128" w:lineRule="exact"/>
        <w:rPr>
          <w:rFonts w:ascii="Times New Roman" w:cs="Times New Roman" w:eastAsia="Times New Roman" w:hAnsi="Times New Roman"/>
          <w:sz w:val="17"/>
          <w:szCs w:val="17"/>
          <w:b w:val="1"/>
          <w:bCs w:val="1"/>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growth prospects.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in various jurisdictions throughout the world.</w:t>
      </w:r>
    </w:p>
    <w:p>
      <w:pPr>
        <w:spacing w:after="0" w:line="5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our approved product and other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 or our other product candidates and our patents or other intellectual property rights may not be effective or sufficient to prevent them from competing.</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spacing w:after="0" w:line="51"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spacing w:after="0" w:line="183"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or acquire new or necessary intellectual property rights or technology from third parties.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 element of our intellectual property strategy is to license intellectual property rights and technologies from third parties and/or our affiliates. Other parties, including our competitors or our affiliates, may have patents relevant to our business, may have already filed patent applications relevant to our business, and are likely filing patent applications potentially relevant to our business. In order to avoid infringing these patents, we may find it necessary or prudent to obtain licenses to such patents from such parties. In addition, with respect to any patents we co-own with other parties, including our affiliates, we may require licenses to such co-owners’ interest to such patents. The licensing or acquisition of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 assurance can be given that we will be successful in licensing any additional rights or technologies from third parties and/or our affiliates.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spacing w:after="0" w:line="1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approved product or any other product candidates we may develop, our business may be materially harmed.</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including our approved product,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per new drug,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rights in our patents and other intellectual property.</w:t>
      </w:r>
    </w:p>
    <w:p>
      <w:pPr>
        <w:spacing w:after="0" w:line="1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including as an inventor or co-inventor. For example, we or our licensors may have disputes arising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ANKTIVA, hAd5, saRNA and yeast technologies and constructs, cell therapies, and other product candidates and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80" w:right="2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be able to make products that are similar to our approved product or other product candidates or utilize similar technology but that are not covered by the claims of the patents that we license or may own;</w:t>
      </w:r>
    </w:p>
    <w:p>
      <w:pPr>
        <w:spacing w:after="0" w:line="53" w:lineRule="exact"/>
        <w:rPr>
          <w:rFonts w:ascii="Times New Roman" w:cs="Times New Roman" w:eastAsia="Times New Roman" w:hAnsi="Times New Roman"/>
          <w:sz w:val="18"/>
          <w:szCs w:val="18"/>
          <w:b w:val="1"/>
          <w:bCs w:val="1"/>
          <w:color w:val="auto"/>
        </w:rPr>
      </w:pPr>
    </w:p>
    <w:p>
      <w:pPr>
        <w:ind w:left="980" w:right="32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53"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growth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CVRs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Soon-Shiong, our Executive Chairman, Global Chief Scientific and Medical Officer and principal stockholder, has significant interests in other companies which may conflict with our interests.</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Executive Chairman, Global Chief Scientific and Medical Officer and principal stockholder, Dr. Soon-Shiong, is the founder of NantWorks. The various NantWorks companies are currently exploring opportunities in the immunotherapy, oncology, infectious disease, and inflammatory disease fields. In particular, we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revenues that is at least proportional to the costs that we will incur in commercializing the product candidate.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shared services agreements with NantWorks, pursuant to which NantWorks and its affiliates provide corporate, general and administrative and other support services to us.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a lack of familiarity of new employees and/or new service providers with business processes, operating requirements, policies and procedures, and we may incur additional costs as new employees and/or service providers gain necessary experience. In addition, the loss of the services of NantWorks might significantly delay or prevent the commercialization of our approved product or the development of our other product candidates or achievement of other business objectives by diverting management’s attention to transition matters and identification of suitable replacements, if any, and could have a material adverse effect on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Soon-Shiong, through his voting control of the company, has the ability to control actions that require stockholder approval.</w:t>
      </w:r>
    </w:p>
    <w:p>
      <w:pPr>
        <w:spacing w:after="0" w:line="12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Dr. Soon-Shiong, through his direct and indirect ownership of the company’s common stock, has voting control of the company. As of June 30, 2024, Dr. Soon-Shiong and his affiliates own approximately 77.0% of the company’s common stock outstanding. Dr. Soon-Shiong and his affiliates also own all of our outstanding convertible promissory notes, certain warrants and stock options to purchase shares of our common stock, and certain CVRs as described under </w:t>
      </w:r>
      <w:r>
        <w:rPr>
          <w:rFonts w:ascii="Times New Roman" w:cs="Times New Roman" w:eastAsia="Times New Roman" w:hAnsi="Times New Roman"/>
          <w:sz w:val="18"/>
          <w:szCs w:val="18"/>
          <w:u w:val="single" w:color="auto"/>
          <w:color w:val="0000FF"/>
        </w:rPr>
        <w:t>“—Conversion of certain related-party promissory notes, exercise of outstanding warrants and options to purchase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common stock, the achievement of the milestone under our outstanding CVRs, and potential additional equity issuances may dilute the ownership interest of existing stockholders or may otherwise depress the price of our common stock”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below.</w:t>
      </w:r>
    </w:p>
    <w:p>
      <w:pPr>
        <w:spacing w:after="0" w:line="18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Dr. Soon-Shiong is in a position to control the outcome of corporate actions that require, or may be accomplished by, stockholder approval, including amending the bylaws of the company, the election or removal of directors and transactions involving a change of control. Dr. Soon-Shiong’s controlling ownership could limit the ability of the remaining stockholders of the company to influence corporate matters, and the interests of Dr. Soon-Shiong may not coincide with the company’s interests or the interests of its remaining stockholders.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pursuant to the Nominating Agreement between us and Cambridge, an entity that Dr. Soon-Shiong controls, Cambridge has the ability to designate one director to be nominated for election to the Board of Directors for as long as Cambridge continues to hold at least 20% of the issued and outstanding shares of our common stock. Dr. Soon-Shiong was selected by Cambridge to hold this board seat. Dr. Soon-Shiong and his affiliates will therefore have significant influence over management and significant control over matters requiring stockholder approval, including the annual election of directors and significant corporate transactions, such as a merger or other sale of our company or its assets, for the foreseeable future. This control will limit stockholders’ ability to influence corporate matters and, as a result, we may take actions that our stockholders do not view as beneficial. As a result, the market price of our common stock could be adversely affected.</w:t>
      </w:r>
    </w:p>
    <w:p>
      <w:pPr>
        <w:spacing w:after="0" w:line="18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Conversion of certain related-party promissory notes,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spacing w:after="0" w:line="6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outstanding promissory notes representing an aggregate of $610.0 million principal amount held by entities affiliated with Dr. Soon-Shiong that are convertible into shares of our common stock under certain circumstances, including the following:</w:t>
      </w:r>
    </w:p>
    <w:p>
      <w:pPr>
        <w:spacing w:after="0" w:line="54" w:lineRule="exact"/>
        <w:rPr>
          <w:sz w:val="20"/>
          <w:szCs w:val="20"/>
          <w:color w:val="auto"/>
        </w:rPr>
      </w:pPr>
    </w:p>
    <w:p>
      <w:pPr>
        <w:ind w:left="980" w:right="20" w:hanging="324"/>
        <w:spacing w:after="0" w:line="258" w:lineRule="auto"/>
        <w:tabs>
          <w:tab w:leader="none" w:pos="97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$380.0 million principal amount of Tranche 2 of our convertible promissory note due December 31, 2025 bearing interest at 3-month Term SOFR plus 7.5% per annum, which provides that the noteholder has the sole option to convert all (but not less than all) of the outstanding principal amount and accrued but unpaid interest into shares of the company’s common stock at a conversion price of $8.2690 per share (subject to appropriate adjustment from time to time for any stock dividend, stock split, combination of shares, reorganization, recapitalization, reclassification, or other similar event);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324"/>
        <w:spacing w:after="0" w:line="258"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$200.0 million principal amount convertible promissory note due September 11, 2026 bearing interest at 1-month Term SOFR plus 8.0% per annum provides that the noteholder has the sole option to convert all (but not less than all) of the outstanding principal amount and accrued but unpaid interest into shares of the company’s common stock at a conversion price of $1.9350 per share (subject to appropriate adjustment from time to time for any stock dividend, stock split, combination of shares, reorganization, recapitalization, reclassification, or other similar event); and</w:t>
      </w:r>
    </w:p>
    <w:p>
      <w:pPr>
        <w:spacing w:after="0" w:line="75" w:lineRule="exact"/>
        <w:rPr>
          <w:rFonts w:ascii="Times New Roman" w:cs="Times New Roman" w:eastAsia="Times New Roman" w:hAnsi="Times New Roman"/>
          <w:sz w:val="18"/>
          <w:szCs w:val="18"/>
          <w:b w:val="1"/>
          <w:bCs w:val="1"/>
          <w:color w:val="auto"/>
        </w:rPr>
      </w:pPr>
    </w:p>
    <w:p>
      <w:pPr>
        <w:ind w:left="980" w:right="100" w:hanging="324"/>
        <w:spacing w:after="0" w:line="258"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$30.0 million principal amount convertible promissory note due December 31, 2025 bearing interest at 3-month Term SOFR plus 8.0% per annum, which provides that the noteholder has the sole option to convert all (but not less than all) of the outstanding principal amount and accrued but unpaid interest into shares of the company’s common stock at a conversion price of $2.28 per share (subject to appropriate adjustment from time to time for any stock dividend, stock split, combination of shares, reorganization, recapitalization, reclassification, or other similar event).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as of June 30, 2024, we had outstanding warrants, stock options and unvested RSU awards covering the issuance of up to:</w:t>
      </w:r>
    </w:p>
    <w:p>
      <w:pPr>
        <w:spacing w:after="0" w:line="117" w:lineRule="exact"/>
        <w:rPr>
          <w:sz w:val="20"/>
          <w:szCs w:val="20"/>
          <w:color w:val="auto"/>
        </w:rPr>
      </w:pPr>
    </w:p>
    <w:p>
      <w:pPr>
        <w:ind w:left="980" w:right="44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9,090,909 shares of our common stock at an exercise price of $6.60 per share, which are currently exercisable with an expiration date of December 12, 2024 (these warrants were issued to certain institutional investors);</w:t>
      </w:r>
    </w:p>
    <w:p>
      <w:pPr>
        <w:spacing w:after="0" w:line="53"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11,139,420 shares of our common stock at an exercise price of $3.2946 per share, which are currently exercisable with an expiration date of July 24, 2026 (these warrants were issued to certain institutional investors);</w:t>
      </w:r>
    </w:p>
    <w:p>
      <w:pPr>
        <w:spacing w:after="0" w:line="53" w:lineRule="exact"/>
        <w:rPr>
          <w:rFonts w:ascii="Times New Roman" w:cs="Times New Roman" w:eastAsia="Times New Roman" w:hAnsi="Times New Roman"/>
          <w:sz w:val="18"/>
          <w:szCs w:val="18"/>
          <w:b w:val="1"/>
          <w:bCs w:val="1"/>
          <w:color w:val="auto"/>
        </w:rPr>
      </w:pPr>
    </w:p>
    <w:p>
      <w:pPr>
        <w:ind w:left="980" w:right="60" w:hanging="324"/>
        <w:spacing w:after="0" w:line="261" w:lineRule="auto"/>
        <w:tabs>
          <w:tab w:leader="none" w:pos="975"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shares of our common stock that may be issued upon the exercise of the $5.0 million option held by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71" w:lineRule="exact"/>
        <w:rPr>
          <w:rFonts w:ascii="Times New Roman" w:cs="Times New Roman" w:eastAsia="Times New Roman" w:hAnsi="Times New Roman"/>
          <w:sz w:val="18"/>
          <w:szCs w:val="18"/>
          <w:b w:val="1"/>
          <w:bCs w:val="1"/>
          <w:i w:val="1"/>
          <w:iCs w:val="1"/>
          <w:color w:val="auto"/>
        </w:rPr>
      </w:pPr>
    </w:p>
    <w:p>
      <w:pPr>
        <w:ind w:left="980" w:right="18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3,162,648 stock options and RSU awards issued to Dr. Soon-Shiong that are outstanding as of June 30, 2024, of which 1,392,730 are vested and exercisable and 1,769,918 are unvested and unexercisable; and</w:t>
      </w:r>
    </w:p>
    <w:p>
      <w:pPr>
        <w:spacing w:after="0" w:line="53" w:lineRule="exact"/>
        <w:rPr>
          <w:rFonts w:ascii="Times New Roman" w:cs="Times New Roman" w:eastAsia="Times New Roman" w:hAnsi="Times New Roman"/>
          <w:sz w:val="18"/>
          <w:szCs w:val="18"/>
          <w:b w:val="1"/>
          <w:bCs w:val="1"/>
          <w:color w:val="auto"/>
        </w:rPr>
      </w:pPr>
    </w:p>
    <w:p>
      <w:pPr>
        <w:ind w:left="980" w:right="220" w:hanging="324"/>
        <w:spacing w:after="0" w:line="261"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1,638,000 shares of our common stock at an exercise price of $3.24 per share exercisable from the 30th day following the achievement of a performance-based vesting condition pertaining to building manufacturing capacity to support supply requirements for one of our product candidates (which has not yet been satisfied) with an expiration date on the tenth anniversary of such initial exercise date (this warrant was issued to an affiliate of Dr. Soon-Shiong).</w:t>
      </w:r>
    </w:p>
    <w:p>
      <w:pPr>
        <w:spacing w:after="0" w:line="12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as of June 30, 2024, we had outstanding an aggregate of approximately $300.6 million of CVRs issued to the former stockholders of Altor, including Dr. Soon-Shiong and certain affiliates, which such stockholders may choose to receive either in cash or shares of our common stock based upon an average of closing prices on a 20-trading day trailing period, upon the first calendar year prior to December 31, 2026 in which worldwide net sales of ANKTIVA exceed $1.0 billion. ANKTIVA is now approved for commercial sale with BCG for the treatment of adult patients with BCG-unresponsive NMIBC with CIS, with or without papillary tumors, but there can be no assurance that such sales milestone will be achieved. Dr. Soon-Shiong and his related party hold approximately $139.8 million of such CVRs, and have irrevocably agreed to receive shares of the company’s common stock in satisfaction of their CVRs.</w:t>
      </w:r>
    </w:p>
    <w:p>
      <w:pPr>
        <w:spacing w:after="0" w:line="18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conversion or exchange of some or all of our outstanding promissory notes into shares of our common stock, the exercise of any of our outstanding warrants and stock options, and the decision of the holders of our CVRs to receive shares of our common stock could dilute the ownership interests of existing stockholders. Any sales in the public market of our outstanding promissory notes or warrants, or our common stock issuable upon conversion of the promissory notes or exercise of the warrants or options, could adversely affect prevailing market prices of our common stock.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and investors may have difficulty selling their shares.</w:t>
      </w:r>
    </w:p>
    <w:p>
      <w:pPr>
        <w:spacing w:after="0" w:line="12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spacing w:after="0" w:line="68" w:lineRule="exact"/>
        <w:rPr>
          <w:sz w:val="20"/>
          <w:szCs w:val="20"/>
          <w:color w:val="auto"/>
        </w:rPr>
      </w:pPr>
    </w:p>
    <w:p>
      <w:pPr>
        <w:ind w:left="980" w:right="340" w:hanging="324"/>
        <w:spacing w:after="0" w:line="282" w:lineRule="auto"/>
        <w:tabs>
          <w:tab w:leader="none" w:pos="97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commencement, enrollment or results of the planned clinical trials of our non-FDA-approved product candidates or any future clinical trials we may conduct, or changes in the development status of such product candidates;</w:t>
      </w:r>
    </w:p>
    <w:p>
      <w:pPr>
        <w:spacing w:after="0" w:line="53" w:lineRule="exact"/>
        <w:rPr>
          <w:rFonts w:ascii="Times New Roman" w:cs="Times New Roman" w:eastAsia="Times New Roman" w:hAnsi="Times New Roman"/>
          <w:sz w:val="18"/>
          <w:szCs w:val="18"/>
          <w:b w:val="1"/>
          <w:bCs w:val="1"/>
          <w:color w:val="auto"/>
        </w:rPr>
      </w:pPr>
    </w:p>
    <w:p>
      <w:pPr>
        <w:ind w:left="980" w:right="320" w:hanging="324"/>
        <w:spacing w:after="0" w:line="266" w:lineRule="auto"/>
        <w:tabs>
          <w:tab w:leader="none" w:pos="97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delay in our regulatory submissions for our product candidates and any adverse development or perceived adverse development with respect to the applicable regulatory authority’s review of such submissions, including without limitation the FDA’s issuance of a CRL or a “refusal to file” letter or a request for additional information;</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results or delays in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17"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laws or regulations applicable to our approved product or other product candidates, including but not limited to clinical trial requirements for approvals;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commercialize our approved product or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unanticipated serious safety concerns related to the use of our approved product or other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or capital commitments;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variations in our quarterly operating results, including those driven by liability accounting associated with embedded derivatives;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liquidity position, RIPA liability covenants and the amount and nature of any debt we may incur;</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that our revenue or income are below or that costs or losses are greater than analysts’ expectations;</w:t>
      </w:r>
    </w:p>
    <w:p>
      <w:pPr>
        <w:spacing w:after="0" w:line="117" w:lineRule="exact"/>
        <w:rPr>
          <w:rFonts w:ascii="Times New Roman" w:cs="Times New Roman" w:eastAsia="Times New Roman" w:hAnsi="Times New Roman"/>
          <w:sz w:val="18"/>
          <w:szCs w:val="18"/>
          <w:b w:val="1"/>
          <w:bCs w:val="1"/>
          <w:color w:val="auto"/>
        </w:rPr>
      </w:pPr>
    </w:p>
    <w:p>
      <w:pPr>
        <w:ind w:left="980" w:right="760" w:hanging="324"/>
        <w:spacing w:after="0" w:line="282" w:lineRule="auto"/>
        <w:tabs>
          <w:tab w:leader="none" w:pos="97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large blocks of our common stock;</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fluctuations in stock market prices and volumes;</w:t>
      </w:r>
    </w:p>
    <w:p>
      <w:pPr>
        <w:spacing w:after="0" w:line="11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480" w:hanging="324"/>
        <w:spacing w:after="0" w:line="282" w:lineRule="auto"/>
        <w:tabs>
          <w:tab w:leader="none" w:pos="97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perception of our clinical trial results by retail investors, which investors may be subject to the influence of information provided by third party investor websites and independent authors distributing information on the internet;</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economic slowdowns;</w:t>
      </w:r>
    </w:p>
    <w:p>
      <w:pPr>
        <w:spacing w:after="0" w:line="117"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government-imposed lockdowns, supply chain disruptions, and adverse economic effects from a potential pandemic, epidemic, or outbreak of an infectious disease, in the U.S. and abroad;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geopolitical tensions and war, including the war in Ukraine and ongoing conflicts in Gaza and Yemen;</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coordinated actions by independent third-party actors to affect the price of certain stocks, coordinated via the internet and otherwise; and</w:t>
      </w:r>
    </w:p>
    <w:p>
      <w:pPr>
        <w:spacing w:after="0" w:line="11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7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market price of a company’s securities. This type of litigation could result in substantial costs and a diversion of management’s attention and resources, which would harm our business, operating results, or financial condition.</w:t>
      </w:r>
    </w:p>
    <w:p>
      <w:pPr>
        <w:spacing w:after="0" w:line="17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securities class action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common stock.</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and claims that arise in or outside the ordinary course of business. For example, on June 30, 2023, a putative securities class action complaint, captioned </w:t>
      </w:r>
      <w:r>
        <w:rPr>
          <w:rFonts w:ascii="Times New Roman" w:cs="Times New Roman" w:eastAsia="Times New Roman" w:hAnsi="Times New Roman"/>
          <w:sz w:val="18"/>
          <w:szCs w:val="18"/>
          <w:i w:val="1"/>
          <w:iCs w:val="1"/>
          <w:color w:val="auto"/>
        </w:rPr>
        <w:t>Salzman v. ImmunityBio, Inc. et al.</w:t>
      </w:r>
      <w:r>
        <w:rPr>
          <w:rFonts w:ascii="Times New Roman" w:cs="Times New Roman" w:eastAsia="Times New Roman" w:hAnsi="Times New Roman"/>
          <w:sz w:val="18"/>
          <w:szCs w:val="18"/>
          <w:color w:val="auto"/>
        </w:rPr>
        <w:t xml:space="preserve">, No. 3:23-cv-01216-BEN-WVG, was filed in the U.S.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original BLA submission in its initial form due to deficiencies related to its pre-license inspection of the company’s third-party CMOs. The complaint alleges that the defendants had previously made materially false and misleading statements and/or omitted material adverse facts regarding its third-party CMOs and the prospects for regulatory approval of the BLA. The complaint did not specify the amount of damages being sought. On September 27, 2023, the court appointed a lead plaintiff, approved their selection of lead counsel, and re-captioned the case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 ImmunityBio, Inc. Securities Litigation, </w:t>
      </w:r>
      <w:r>
        <w:rPr>
          <w:rFonts w:ascii="Times New Roman" w:cs="Times New Roman" w:eastAsia="Times New Roman" w:hAnsi="Times New Roman"/>
          <w:sz w:val="18"/>
          <w:szCs w:val="18"/>
          <w:color w:val="auto"/>
        </w:rPr>
        <w:t>No. 3:23-cv-01216. On November 17, 2023, the lead plaintiff filed an amended complaint, which named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defendants and asserted the same claims as the previous complaint. On January 8, 2024, the defendants filed a motion to dismiss the amended complaint. On June 20, 2024, the court issued an order granting in part and denying in part the motion to dismiss. On July 16, 2024, the lead plaintiff notified the court that he would proceed with his current pleading.</w:t>
      </w:r>
    </w:p>
    <w:p>
      <w:pPr>
        <w:spacing w:after="0" w:line="1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results of the securities class action lawsuit, and any future legal proceedings cannot be predicted with certainty. Also, our insurance coverage may be insufficient, our assets may be insufficient to cover any amounts that exceed our insurance coverage, and we may have to pay damage awards or otherwise may enter into a settlement arrangement in connection with such claim.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 could result in additional dilution of the percentage ownership of our stockholders and could cause our stock price to fall.</w:t>
      </w:r>
    </w:p>
    <w:p>
      <w:pPr>
        <w:spacing w:after="0" w:line="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conversion or exchange of our convertible promissory notes, exercise of our warrants, satisfaction of our CVRs, or the exercise or settlement of our equity incentive awards, the market price of our common stock could decline significantly. In addition, our Executive Chairman and Global Chief Scientific and Medical Officer, Dr. Soon-Shiong, and his affiliates owned approximately 77.0% of our outstanding shares of common stock as of June 30, 2024. Sales of stock by Dr. Soon-Shiong and his affiliates could have an adverse effect on the trading price of our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rights with respect to the registration of their shares under the Securities Act, including the shares purchased by affiliates of Oberland in connection with our entry into the RIPA.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we expect that additional capital may be needed in the future to continue our planned operations, including conducting clinical trials, regulatory approval efforts, pre-commercialization and commercialization activities, expanded research and development activities, and costs associated with operating as a public company. To raise capital, we may sell common stock, including as part of the ATM, convertible securities, or other equity securities (including warrants) in one or more transactions at prices and in a manner we determine from time to time. If we sell common stock, convertible securities, or other equity securities, existing investors may be materially diluted, and new investors could gain rights, preferences, and privileges senior to the holders of our common stock. The issuance of additional shares of common stock or warrants to purchase common stock, perception that such issuances may occur, or the exercise of outstanding warrants or other equity securities will have a material dilutive impact on existing stockholders and could have a material negative effect on the market price of our common stock.</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compliance initiatives and corporate governance practices, including maintaining an effective system of internal control over financial reporting.</w:t>
      </w:r>
    </w:p>
    <w:p>
      <w:pPr>
        <w:spacing w:after="0" w:line="6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listed in the U.S., we have incurred and will continue to incur significant additional legal, accounting, and other expenses as a result of operating as a public company. In addition, changing laws, regulations and standards relating to corporate governance and public disclosure, including Sarbanes-Oxley and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create a larger finance function with additional personnel to comply with evolving laws, regulations and standards, and this investment will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As of June 30, 2024, the market value of our common stock held by non-affiliates exceeded $700.0 million. Consequently, we will be a large accelerated filer and will therefore cease to be a smaller reporting company effective December 31, 2024 and will no longer be able to rely on the scaled disclosure exemptions available to smaller reporting companies starting with our Quarterly Report on Form 10-Q for the three months ending</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March 31, 2025. As a result of this transition, we will be subject to certain disclosure and compliance requirements that apply to other public companies which did not previously apply to us due to our status as a smaller reporting company and expect to incur additional legal and financial compliance costs as a result.</w:t>
      </w:r>
    </w:p>
    <w:p>
      <w:pPr>
        <w:spacing w:after="0" w:line="18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in the U.S., we are required, pursuant to Section 404 of Sarbanes-Oxley to furnish a report by management on, among other things, the effectiveness of our internal control over financial reporting, and in connection with our transition to being a large accelerated filer, we expect that compliance with the auditor attestations requirements of Section 404(b) of the Sarbanes-Oxley Act beginning with the Annual Report on Form 10-K for the year ended December 31, 2024 will substantially increase our compliance costs. The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our controls and procedures may become inadequate because of changes in conditions or the degree of compliance with these policies or procedures may deteriorate and material weaknesses in our internal control over financial reporting may be discovered. 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If we are unable, or are perceived as unable, to produce reliable financial reports due to internal control deficiencies, investors could lose confidence in our reported financial information and operating results, which could result in a negative market reaction.</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fully comply with Section 404, we will need to retain additional employees to supplement our current finance staff, and we may not be able to do so in a timely manner, or at all. In addition, in the process of evaluating our internal control over financial reporting, we expect that certain of our internal control practices will need to be updated to comply with the requirements of Section 404 and the regulations promulgated thereunder, and we may not be able to do so on a timely basis, or at all. In the event that we are not able to demonstrate compliance with Section 404 in a timely manner, or are unable to produce timely or accurate financial statements, we may be subject to sanctions or investigations by regulatory authorities, such as the SEC or Nasdaq, and investors may lose confidence in our operating results and the price of our common stock could decline. Furthermore, if we are unable to certify that our internal control over financial reporting is effective and in compliance with Section 404, we may be subject to sanctions or investigations by regulatory authorities, such as the SEC or stock exchanges, and investors could lose confidence in the accuracy and completeness of our financial reports, which could hurt our business, the price of our common stock and our ability to access the capital markets.</w:t>
      </w:r>
    </w:p>
    <w:p>
      <w:pPr>
        <w:spacing w:after="0" w:line="18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Operating as a public company makes it more expensive for us to obtain directors’ and officers’ liability insurance, and we may be required to accept reduced coverage or incur substantially higher costs to obtain coverage. These factors could also make it more difficult for us to attract and retain qualified persons to serve on the Board of Directors, on committees of the Board of Directors, or as members of senior management.</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restatement of our consolidated financial statements were to occur, our stockholders’ confidence in the company’s financial reporting in the future may be affected, which could in turn have a material adverse effect on our business and stock price.</w:t>
      </w:r>
    </w:p>
    <w:p>
      <w:pPr>
        <w:spacing w:after="0" w:line="5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any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any future material weaknesses in our internal controls or if we are unable to produce accurate and timely financial statements, our stock price may be adversely affected, and we may be unable to maintain compliance with applicable stock exchange listing requirements.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5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spacing w:after="0" w:line="5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Executive Chairman and Global Chief Scientific and Medical Officer, Dr. Soon-Shiong,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of Directors consist of independent directors and</w:t>
      </w:r>
    </w:p>
    <w:p>
      <w:pPr>
        <w:spacing w:after="0" w:line="3" w:lineRule="exact"/>
        <w:rPr>
          <w:sz w:val="20"/>
          <w:szCs w:val="20"/>
          <w:color w:val="auto"/>
        </w:rPr>
      </w:pPr>
    </w:p>
    <w:p>
      <w:pPr>
        <w:ind w:right="120" w:firstLine="8"/>
        <w:spacing w:after="0" w:line="253"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Accordingly, you do not have the same protections afforded to stockholders of companies that are subject to all of the Nasdaq corporate governance requirements. However, our Board of Directors is currently comprised of a majority of independent directors, and we currently have a Nominating and Corporate Governance Committee and the majority of the members of such committee are independent directors.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and the value of our warrants will depend on the research and reports that securities or industry analysts publish about us or our business. We do not have any control over these analysts. There can be no assurance that analysts will cover us or provide favorable coverage. If one or more of the analysts who cover us downgrade our stock or change their opinion of our stock,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CVRs that are payable contingent upon us achieving certain milestones may not receive any further consideration.</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sales of ANKTIVA exceeding $1.0 billion prior to December 31, 2026. ANKTIVA with BCG is now approved for commercial sale for the treatment of adult patients with BCG-unresponsive NMIBC with CIS, with or without papillary tumors, but there can be no assurance that such sales milestone will be achieved. Accordingly, holders of our CVRs that are payable contingent upon us achieving the aforementioned milestone may not receive any further consideration.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subject to the provisions of Section 203 of the DGCL, which could negatively affect your investment.</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elected in our Amended and Restated Certificate of Incorporation to not be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a merger, asset sale, or other transaction resulting in a financial benefit to the interested stockholder. An interested stockholder is a person who, together with affiliates and associates, owns (or, in certain cases, within three years prior, did own) 15% or more of the corporation’s voting stock. Our decision not to be subject to Section 203 will allow, for example, our Executive Chairman and Global Chief Scientific and Medical Officer (who, with members of his immediate family and entities affiliated with him, owned, in the aggregate, approximately 77.0% of our common stock as of June 30, 2024) to transfer shares in excess of 15% of our voting stock to a third-party free of the restrictions imposed by Section 203. This may make us more vulnerable to takeovers that are completed without the approval of our Board of Directors and/or without giving us the ability to prohibit or delay such takeovers as effectively.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These provisions include:</w:t>
      </w:r>
    </w:p>
    <w:p>
      <w:pPr>
        <w:spacing w:after="0" w:line="68"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requirement that special meetings of stockholders be called only by the board of directors, president or chief executive officer;</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 and</w:t>
      </w:r>
    </w:p>
    <w:p>
      <w:pPr>
        <w:spacing w:after="0" w:line="11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spacing w:after="0" w:line="68" w:lineRule="exact"/>
        <w:rPr>
          <w:sz w:val="20"/>
          <w:szCs w:val="20"/>
          <w:color w:val="auto"/>
        </w:rPr>
      </w:pPr>
    </w:p>
    <w:p>
      <w:pPr>
        <w:ind w:left="980" w:right="160" w:hanging="324"/>
        <w:spacing w:after="0" w:line="261" w:lineRule="auto"/>
        <w:tabs>
          <w:tab w:leader="none" w:pos="97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b w:val="1"/>
          <w:bCs w:val="1"/>
          <w:color w:val="auto"/>
        </w:rPr>
      </w:pPr>
    </w:p>
    <w:p>
      <w:pPr>
        <w:jc w:val="both"/>
        <w:ind w:left="980" w:right="240" w:hanging="324"/>
        <w:spacing w:after="0" w:line="282" w:lineRule="auto"/>
        <w:tabs>
          <w:tab w:leader="none" w:pos="97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66" w:lineRule="auto"/>
        <w:tabs>
          <w:tab w:leader="none" w:pos="97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7"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retroactively amend our bylaw provisions to reduce our indemnification obligations to directors, officers, employees and agents.</w:t>
      </w:r>
    </w:p>
    <w:p>
      <w:pPr>
        <w:spacing w:after="0" w:line="17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 claim for indemnification is brought by any of our directors or officers, it would reduce the amount of funds available for use in our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660" w:right="6819" w:hanging="652"/>
        <w:spacing w:after="0" w:line="412" w:lineRule="auto"/>
        <w:tabs>
          <w:tab w:leader="none" w:pos="402"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 Sales of Unregistered Securities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i w:val="1"/>
          <w:iCs w:val="1"/>
          <w:color w:val="auto"/>
        </w:rPr>
      </w:pPr>
    </w:p>
    <w:p>
      <w:pPr>
        <w:ind w:left="660" w:right="6959" w:hanging="652"/>
        <w:spacing w:after="0" w:line="412" w:lineRule="auto"/>
        <w:tabs>
          <w:tab w:leader="none" w:pos="402"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300" w:firstLine="648"/>
        <w:spacing w:after="0" w:line="239" w:lineRule="exact"/>
        <w:rPr>
          <w:sz w:val="20"/>
          <w:szCs w:val="20"/>
          <w:color w:val="auto"/>
        </w:rPr>
      </w:pPr>
      <w:r>
        <w:rPr>
          <w:rFonts w:ascii="Times New Roman" w:cs="Times New Roman" w:eastAsia="Times New Roman" w:hAnsi="Times New Roman"/>
          <w:sz w:val="18"/>
          <w:szCs w:val="18"/>
          <w:color w:val="auto"/>
        </w:rPr>
        <w:t>The documents listed below are incorporated by reference or are filed or furnished with this Quarterly Report, in each case as indicated therein (numbered in accordance with Item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8265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41910</wp:posOffset>
            </wp:positionV>
            <wp:extent cx="7132320" cy="3429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09"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Amended and Restated Certificate of Incorporation of ImmunityBio, Inc.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Current Report on Form 8-K filed with the SEC on August 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28575</wp:posOffset>
            </wp:positionV>
            <wp:extent cx="7132320" cy="3086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4" w:lineRule="exact"/>
        <w:rPr>
          <w:sz w:val="20"/>
          <w:szCs w:val="20"/>
          <w:color w:val="auto"/>
        </w:rPr>
      </w:pPr>
    </w:p>
    <w:p>
      <w:pPr>
        <w:ind w:right="500"/>
        <w:spacing w:after="0" w:line="312" w:lineRule="auto"/>
        <w:rPr>
          <w:rFonts w:ascii="Times New Roman" w:cs="Times New Roman" w:eastAsia="Times New Roman" w:hAnsi="Times New Roman"/>
          <w:sz w:val="17"/>
          <w:szCs w:val="17"/>
          <w:u w:val="single" w:color="auto"/>
          <w:color w:val="0000FF"/>
        </w:rPr>
      </w:pPr>
      <w:hyperlink r:id="rId256">
        <w:r>
          <w:rPr>
            <w:rFonts w:ascii="Times New Roman" w:cs="Times New Roman" w:eastAsia="Times New Roman" w:hAnsi="Times New Roman"/>
            <w:sz w:val="17"/>
            <w:szCs w:val="17"/>
            <w:u w:val="single" w:color="auto"/>
            <w:color w:val="0000FF"/>
          </w:rPr>
          <w:t>Certificate of Amendment of Amended and Restated Certificate of Incorporation of ImmunityBio, Inc. dated March 9, 2021</w:t>
        </w:r>
      </w:hyperlink>
      <w:r>
        <w:rPr>
          <w:rFonts w:ascii="Times New Roman" w:cs="Times New Roman" w:eastAsia="Times New Roman" w:hAnsi="Times New Roman"/>
          <w:sz w:val="17"/>
          <w:szCs w:val="17"/>
          <w:u w:val="single" w:color="auto"/>
          <w:color w:val="0000FF"/>
        </w:rPr>
        <w:t xml:space="preserve"> </w:t>
      </w:r>
      <w:hyperlink r:id="rId256">
        <w:r>
          <w:rPr>
            <w:rFonts w:ascii="Times New Roman" w:cs="Times New Roman" w:eastAsia="Times New Roman" w:hAnsi="Times New Roman"/>
            <w:sz w:val="17"/>
            <w:szCs w:val="17"/>
            <w:u w:val="single" w:color="auto"/>
            <w:color w:val="0000FF"/>
          </w:rPr>
          <w:t>(incorporated by reference to Exhibit 3.1 to the company’s Current Report on Form 8-K filed with the SEC on March 10, 2021).</w:t>
        </w:r>
      </w:hyperlink>
    </w:p>
    <w:p>
      <w:pPr>
        <w:spacing w:after="0" w:line="19" w:lineRule="exact"/>
        <w:rPr>
          <w:sz w:val="20"/>
          <w:szCs w:val="20"/>
          <w:color w:val="auto"/>
        </w:rPr>
      </w:pPr>
    </w:p>
    <w:p>
      <w:pPr>
        <w:sectPr>
          <w:pgSz w:w="11900" w:h="16838" w:orient="portrait"/>
          <w:cols w:equalWidth="0" w:num="2">
            <w:col w:w="960" w:space="560"/>
            <w:col w:w="97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9100" w:type="dxa"/>
            <w:vAlign w:val="bottom"/>
            <w:tcBorders>
              <w:bottom w:val="single" w:sz="8" w:color="0000FF"/>
            </w:tcBorders>
            <w:gridSpan w:val="6"/>
            <w:shd w:val="clear" w:color="auto" w:fill="CCEEFF"/>
          </w:tcPr>
          <w:p>
            <w:pPr>
              <w:spacing w:after="0"/>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Certificate of Amendment of Amended and Restated Certificate of Incorporation of ImmunityBio, Inc. dated February 1, 2022</w:t>
              </w:r>
            </w:hyperlink>
          </w:p>
        </w:tc>
        <w:tc>
          <w:tcPr>
            <w:tcW w:w="620" w:type="dxa"/>
            <w:vAlign w:val="bottom"/>
            <w:tcBorders>
              <w:bottom w:val="single" w:sz="8" w:color="CCEEFF"/>
            </w:tcBorders>
            <w:gridSpan w:val="8"/>
            <w:shd w:val="clear" w:color="auto" w:fill="CCEEFF"/>
          </w:tcPr>
          <w:p>
            <w:pPr>
              <w:spacing w:after="0"/>
              <w:rPr>
                <w:sz w:val="17"/>
                <w:szCs w:val="17"/>
                <w:color w:val="auto"/>
              </w:rPr>
            </w:pPr>
          </w:p>
        </w:tc>
      </w:tr>
      <w:tr>
        <w:trPr>
          <w:trHeight w:val="243"/>
        </w:trPr>
        <w:tc>
          <w:tcPr>
            <w:tcW w:w="1520" w:type="dxa"/>
            <w:vAlign w:val="bottom"/>
            <w:shd w:val="clear" w:color="auto" w:fill="CCEEFF"/>
          </w:tcPr>
          <w:p>
            <w:pPr>
              <w:spacing w:after="0"/>
              <w:rPr>
                <w:sz w:val="21"/>
                <w:szCs w:val="21"/>
                <w:color w:val="auto"/>
              </w:rPr>
            </w:pPr>
          </w:p>
        </w:tc>
        <w:tc>
          <w:tcPr>
            <w:tcW w:w="97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(incorporated by reference to Exhibit 3.3 to the company’s POSASR filed with the SEC on March 1, 2022).</w:t>
              </w:r>
            </w:hyperlink>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9140" w:type="dxa"/>
            <w:vAlign w:val="bottom"/>
            <w:tcBorders>
              <w:bottom w:val="single" w:sz="8" w:color="0000FF"/>
            </w:tcBorders>
            <w:gridSpan w:val="8"/>
            <w:shd w:val="clear" w:color="auto" w:fill="CCEEFF"/>
          </w:tcPr>
          <w:p>
            <w:pPr>
              <w:spacing w:after="0" w:line="202"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Certificate of Amendment of Amended and Restated Certificate of Incorporation of ImmunityBio, Inc. dated October 18, 2023</w:t>
              </w:r>
            </w:hyperlink>
          </w:p>
        </w:tc>
        <w:tc>
          <w:tcPr>
            <w:tcW w:w="580" w:type="dxa"/>
            <w:vAlign w:val="bottom"/>
            <w:tcBorders>
              <w:bottom w:val="single" w:sz="8" w:color="CCEEFF"/>
            </w:tcBorders>
            <w:gridSpan w:val="6"/>
            <w:shd w:val="clear" w:color="auto" w:fill="CCEEFF"/>
          </w:tcPr>
          <w:p>
            <w:pPr>
              <w:spacing w:after="0"/>
              <w:rPr>
                <w:sz w:val="17"/>
                <w:szCs w:val="17"/>
                <w:color w:val="auto"/>
              </w:rPr>
            </w:pPr>
          </w:p>
        </w:tc>
      </w:tr>
      <w:tr>
        <w:trPr>
          <w:trHeight w:val="243"/>
        </w:trPr>
        <w:tc>
          <w:tcPr>
            <w:tcW w:w="1520" w:type="dxa"/>
            <w:vAlign w:val="bottom"/>
            <w:shd w:val="clear" w:color="auto" w:fill="CCEEFF"/>
          </w:tcPr>
          <w:p>
            <w:pPr>
              <w:spacing w:after="0"/>
              <w:rPr>
                <w:sz w:val="21"/>
                <w:szCs w:val="21"/>
                <w:color w:val="auto"/>
              </w:rPr>
            </w:pPr>
          </w:p>
        </w:tc>
        <w:tc>
          <w:tcPr>
            <w:tcW w:w="97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(incorporated by reference to Exhibit 3.4 to the company’s Quarterly Report on Form 10-Q filed with the SEC on November 9, 2023).</w:t>
              </w:r>
            </w:hyperlink>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972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Amended and Restated Bylaws of ImmunityBio, Inc. effective as of March 10, 2021 (incorporated by reference to Exhibit 3.2 to the</w:t>
              </w:r>
            </w:hyperlink>
          </w:p>
        </w:tc>
      </w:tr>
      <w:tr>
        <w:trPr>
          <w:trHeight w:val="243"/>
        </w:trPr>
        <w:tc>
          <w:tcPr>
            <w:tcW w:w="1520" w:type="dxa"/>
            <w:vAlign w:val="bottom"/>
            <w:tcBorders>
              <w:top w:val="single" w:sz="8" w:color="CCEEFF"/>
            </w:tcBorders>
            <w:shd w:val="clear" w:color="auto" w:fill="CCEEFF"/>
          </w:tcPr>
          <w:p>
            <w:pPr>
              <w:spacing w:after="0"/>
              <w:rPr>
                <w:sz w:val="21"/>
                <w:szCs w:val="21"/>
                <w:color w:val="auto"/>
              </w:rPr>
            </w:pPr>
          </w:p>
        </w:tc>
        <w:tc>
          <w:tcPr>
            <w:tcW w:w="9500" w:type="dxa"/>
            <w:vAlign w:val="bottom"/>
            <w:tcBorders>
              <w:top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company’s Quarterly Report on Form 10-Q filed with SEC on August 12, 2021).</w:t>
              </w:r>
            </w:hyperlink>
          </w:p>
        </w:tc>
        <w:tc>
          <w:tcPr>
            <w:tcW w:w="220" w:type="dxa"/>
            <w:vAlign w:val="bottom"/>
            <w:tcBorders>
              <w:top w:val="single" w:sz="8" w:color="CCEEFF"/>
            </w:tcBorders>
            <w:gridSpan w:val="3"/>
            <w:shd w:val="clear" w:color="auto" w:fill="CCEEFF"/>
          </w:tcPr>
          <w:p>
            <w:pPr>
              <w:spacing w:after="0"/>
              <w:rPr>
                <w:sz w:val="21"/>
                <w:szCs w:val="21"/>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37"/>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972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ImmunityBio, Inc. 2015 Equity Incentive Plan.</w:t>
            </w: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of the Securities Act, as</w:t>
            </w:r>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9160" w:type="dxa"/>
            <w:vAlign w:val="bottom"/>
            <w:tcBorders>
              <w:top w:val="single" w:sz="8" w:color="0000FF"/>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972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of the Securities Act, as</w:t>
            </w:r>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9120" w:type="dxa"/>
            <w:vAlign w:val="bottom"/>
            <w:tcBorders>
              <w:top w:val="single" w:sz="8" w:color="0000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60" w:type="dxa"/>
            <w:vAlign w:val="bottom"/>
            <w:tcBorders>
              <w:top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972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9520" w:type="dxa"/>
            <w:vAlign w:val="bottom"/>
            <w:tcBorders>
              <w:top w:val="single" w:sz="8" w:color="0000FF"/>
            </w:tcBorders>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tcBorders>
              <w:top w:val="single" w:sz="8" w:color="CCEEFF"/>
            </w:tcBorders>
            <w:gridSpan w:val="2"/>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CCEE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2"/>
        </w:trPr>
        <w:tc>
          <w:tcPr>
            <w:tcW w:w="152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9480" w:type="dxa"/>
            <w:vAlign w:val="bottom"/>
            <w:tcBorders>
              <w:bottom w:val="single" w:sz="8" w:color="0000FF"/>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240" w:type="dxa"/>
            <w:vAlign w:val="bottom"/>
            <w:tcBorders>
              <w:bottom w:val="single" w:sz="8" w:color="CCEEFF"/>
            </w:tcBorders>
            <w:gridSpan w:val="4"/>
            <w:shd w:val="clear" w:color="auto" w:fill="CCEEFF"/>
          </w:tcPr>
          <w:p>
            <w:pPr>
              <w:spacing w:after="0"/>
              <w:rPr>
                <w:sz w:val="17"/>
                <w:szCs w:val="17"/>
                <w:color w:val="auto"/>
              </w:rPr>
            </w:pPr>
          </w:p>
        </w:tc>
      </w:tr>
      <w:tr>
        <w:trPr>
          <w:trHeight w:val="244"/>
        </w:trPr>
        <w:tc>
          <w:tcPr>
            <w:tcW w:w="1520" w:type="dxa"/>
            <w:vAlign w:val="bottom"/>
            <w:shd w:val="clear" w:color="auto" w:fill="CCEEFF"/>
          </w:tcPr>
          <w:p>
            <w:pPr>
              <w:spacing w:after="0"/>
              <w:rPr>
                <w:sz w:val="21"/>
                <w:szCs w:val="21"/>
                <w:color w:val="auto"/>
              </w:rPr>
            </w:pPr>
          </w:p>
        </w:tc>
        <w:tc>
          <w:tcPr>
            <w:tcW w:w="97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CCEEFF"/>
            </w:tcBorders>
          </w:tcPr>
          <w:p>
            <w:pPr>
              <w:spacing w:after="0"/>
              <w:rPr>
                <w:sz w:val="4"/>
                <w:szCs w:val="4"/>
                <w:color w:val="auto"/>
              </w:rPr>
            </w:pPr>
          </w:p>
        </w:tc>
        <w:tc>
          <w:tcPr>
            <w:tcW w:w="154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11"/>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r>
      <w:tr>
        <w:trPr>
          <w:trHeight w:val="248"/>
        </w:trPr>
        <w:tc>
          <w:tcPr>
            <w:tcW w:w="1520" w:type="dxa"/>
            <w:vAlign w:val="bottom"/>
            <w:shd w:val="clear" w:color="auto" w:fill="CCEEFF"/>
          </w:tcPr>
          <w:p>
            <w:pPr>
              <w:spacing w:after="0"/>
              <w:rPr>
                <w:sz w:val="21"/>
                <w:szCs w:val="21"/>
                <w:color w:val="auto"/>
              </w:rPr>
            </w:pP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00" w:lineRule="exact"/>
        <w:rPr>
          <w:sz w:val="20"/>
          <w:szCs w:val="20"/>
          <w:color w:val="auto"/>
        </w:rPr>
      </w:pPr>
    </w:p>
    <w:p>
      <w:pPr>
        <w:ind w:left="540" w:hanging="514"/>
        <w:spacing w:after="0"/>
        <w:tabs>
          <w:tab w:leader="none" w:pos="5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8" w:lineRule="exact"/>
        <w:rPr>
          <w:sz w:val="20"/>
          <w:szCs w:val="20"/>
          <w:color w:val="auto"/>
        </w:rPr>
      </w:pPr>
    </w:p>
    <w:p>
      <w:pPr>
        <w:ind w:left="560" w:right="500" w:hanging="534"/>
        <w:spacing w:after="0" w:line="232" w:lineRule="auto"/>
        <w:tabs>
          <w:tab w:leader="none" w:pos="5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that accompany this Quarterly Report are deemed furnished and not filed with the SEC and are not to be incorporated by reference into any filing of ImmunityBio, Inc. under the Securities Act or the Exchange Act, whether made before or after the date of this Quarterly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6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IMMUNITYBIO, INC.</w:t>
            </w:r>
          </w:p>
        </w:tc>
      </w:tr>
      <w:tr>
        <w:trPr>
          <w:trHeight w:val="270"/>
        </w:trPr>
        <w:tc>
          <w:tcPr>
            <w:tcW w:w="3560" w:type="dxa"/>
            <w:vAlign w:val="bottom"/>
          </w:tcPr>
          <w:p>
            <w:pPr>
              <w:spacing w:after="0"/>
              <w:rPr>
                <w:sz w:val="23"/>
                <w:szCs w:val="23"/>
                <w:color w:val="auto"/>
              </w:rPr>
            </w:pPr>
          </w:p>
        </w:tc>
        <w:tc>
          <w:tcPr>
            <w:tcW w:w="7660" w:type="dxa"/>
            <w:vAlign w:val="bottom"/>
            <w:gridSpan w:val="2"/>
          </w:tcPr>
          <w:p>
            <w:pPr>
              <w:ind w:left="2500"/>
              <w:spacing w:after="0"/>
              <w:rPr>
                <w:sz w:val="20"/>
                <w:szCs w:val="20"/>
                <w:color w:val="auto"/>
              </w:rPr>
            </w:pPr>
            <w:r>
              <w:rPr>
                <w:rFonts w:ascii="Times New Roman" w:cs="Times New Roman" w:eastAsia="Times New Roman" w:hAnsi="Times New Roman"/>
                <w:sz w:val="18"/>
                <w:szCs w:val="18"/>
                <w:i w:val="1"/>
                <w:iCs w:val="1"/>
                <w:color w:val="auto"/>
              </w:rPr>
              <w:t>Registrant</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7"/>
        </w:trPr>
        <w:tc>
          <w:tcPr>
            <w:tcW w:w="35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70"/>
        </w:trPr>
        <w:tc>
          <w:tcPr>
            <w:tcW w:w="35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5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7"/>
        </w:trPr>
        <w:tc>
          <w:tcPr>
            <w:tcW w:w="35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Sachs</w:t>
            </w:r>
          </w:p>
        </w:tc>
      </w:tr>
      <w:tr>
        <w:trPr>
          <w:trHeight w:val="270"/>
        </w:trPr>
        <w:tc>
          <w:tcPr>
            <w:tcW w:w="35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5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32"/>
        </w:trPr>
        <w:tc>
          <w:tcPr>
            <w:tcW w:w="3560" w:type="dxa"/>
            <w:vAlign w:val="bottom"/>
          </w:tcPr>
          <w:p>
            <w:pPr>
              <w:spacing w:after="0"/>
              <w:rPr>
                <w:sz w:val="24"/>
                <w:szCs w:val="24"/>
                <w:color w:val="auto"/>
              </w:rPr>
            </w:pPr>
          </w:p>
        </w:tc>
        <w:tc>
          <w:tcPr>
            <w:tcW w:w="29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148</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2015 EQUITY INCENTIVE PLAN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(As amended on June 11, 2024)</w:t>
      </w:r>
    </w:p>
    <w:p>
      <w:pPr>
        <w:spacing w:after="0" w:line="315"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5"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to attract and retain the best available personnel for positions of substantial responsibility,</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to provide additional incentive to Employees, Directors and Consultants, and</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The Plan permits the grant of Incentive Stock Options, Nonstatutory Stock Options, Restricted Stock, Restricted Stock Units, Stock Appreciation Rights, Performance Units and Performance Shares.</w:t>
      </w:r>
    </w:p>
    <w:p>
      <w:pPr>
        <w:spacing w:after="0" w:line="153"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will be administering the Plan, in accordance with Section 4 of the Plan.</w:t>
      </w:r>
    </w:p>
    <w:p>
      <w:pPr>
        <w:spacing w:after="0" w:line="225" w:lineRule="exact"/>
        <w:rPr>
          <w:rFonts w:ascii="Arial" w:cs="Arial" w:eastAsia="Arial" w:hAnsi="Arial"/>
          <w:sz w:val="18"/>
          <w:szCs w:val="18"/>
          <w:color w:val="auto"/>
        </w:rPr>
      </w:pPr>
    </w:p>
    <w:p>
      <w:pPr>
        <w:jc w:val="both"/>
        <w:ind w:right="80" w:firstLine="8"/>
        <w:spacing w:after="0" w:line="25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and regulatory requirements relating to the administration of equity-based awards and the related issuance of Shares thereunder, including but not limited to U.S. federal and state corporate laws, U.S. federal and state securities laws, (the “</w:t>
      </w:r>
      <w:r>
        <w:rPr>
          <w:rFonts w:ascii="Arial" w:cs="Arial" w:eastAsia="Arial" w:hAnsi="Arial"/>
          <w:sz w:val="18"/>
          <w:szCs w:val="18"/>
          <w:u w:val="single" w:color="auto"/>
          <w:color w:val="auto"/>
        </w:rPr>
        <w:t>Code</w:t>
      </w:r>
      <w:r>
        <w:rPr>
          <w:rFonts w:ascii="Arial" w:cs="Arial" w:eastAsia="Arial" w:hAnsi="Arial"/>
          <w:sz w:val="18"/>
          <w:szCs w:val="18"/>
          <w:color w:val="auto"/>
        </w:rPr>
        <w:t>”), any stock exchange or quotation system on which the Common Stock is listed or quoted and the applicable laws of any non-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U.S. country or jurisdiction where Awards are, or will be, granted under the Plan.</w:t>
      </w:r>
    </w:p>
    <w:p>
      <w:pPr>
        <w:spacing w:after="0" w:line="207" w:lineRule="exact"/>
        <w:rPr>
          <w:rFonts w:ascii="Arial" w:cs="Arial" w:eastAsia="Arial" w:hAnsi="Arial"/>
          <w:sz w:val="18"/>
          <w:szCs w:val="18"/>
          <w:color w:val="auto"/>
        </w:rPr>
      </w:pPr>
    </w:p>
    <w:p>
      <w:pPr>
        <w:ind w:right="40" w:firstLine="8"/>
        <w:spacing w:after="0" w:line="287" w:lineRule="auto"/>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52" w:lineRule="exact"/>
        <w:rPr>
          <w:rFonts w:ascii="Arial" w:cs="Arial" w:eastAsia="Arial" w:hAnsi="Arial"/>
          <w:sz w:val="18"/>
          <w:szCs w:val="18"/>
          <w:color w:val="auto"/>
        </w:rPr>
      </w:pPr>
    </w:p>
    <w:p>
      <w:pPr>
        <w:ind w:right="560" w:firstLine="8"/>
        <w:spacing w:after="0" w:line="28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2" w:lineRule="exact"/>
        <w:rPr>
          <w:rFonts w:ascii="Arial" w:cs="Arial" w:eastAsia="Arial" w:hAnsi="Arial"/>
          <w:sz w:val="18"/>
          <w:szCs w:val="18"/>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220" w:firstLine="8"/>
        <w:spacing w:after="0" w:line="259"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79" w:lineRule="exact"/>
        <w:rPr>
          <w:rFonts w:ascii="Arial" w:cs="Arial" w:eastAsia="Arial" w:hAnsi="Arial"/>
          <w:sz w:val="18"/>
          <w:szCs w:val="18"/>
          <w:color w:val="auto"/>
        </w:rPr>
      </w:pPr>
    </w:p>
    <w:p>
      <w:pPr>
        <w:ind w:right="180" w:firstLine="8"/>
        <w:spacing w:after="0" w:line="262" w:lineRule="auto"/>
        <w:tabs>
          <w:tab w:leader="none" w:pos="6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155" w:name="page156"/>
    <w:bookmarkEnd w:id="155"/>
    <w:p>
      <w:pPr>
        <w:ind w:firstLine="8"/>
        <w:spacing w:after="0" w:line="252" w:lineRule="auto"/>
        <w:tabs>
          <w:tab w:leader="none" w:pos="6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w:t>
      </w:r>
    </w:p>
    <w:p>
      <w:pPr>
        <w:spacing w:after="0" w:line="4" w:lineRule="exact"/>
        <w:rPr>
          <w:rFonts w:ascii="Arial" w:cs="Arial" w:eastAsia="Arial" w:hAnsi="Arial"/>
          <w:sz w:val="18"/>
          <w:szCs w:val="18"/>
          <w:color w:val="auto"/>
        </w:rPr>
      </w:pPr>
    </w:p>
    <w:p>
      <w:pPr>
        <w:ind w:right="340"/>
        <w:spacing w:after="0" w:line="266" w:lineRule="auto"/>
        <w:rPr>
          <w:rFonts w:ascii="Arial" w:cs="Arial" w:eastAsia="Arial" w:hAnsi="Arial"/>
          <w:sz w:val="18"/>
          <w:szCs w:val="18"/>
          <w:color w:val="auto"/>
        </w:rPr>
      </w:pPr>
      <w:r>
        <w:rPr>
          <w:rFonts w:ascii="Arial" w:cs="Arial" w:eastAsia="Arial" w:hAnsi="Arial"/>
          <w:sz w:val="18"/>
          <w:szCs w:val="18"/>
          <w:color w:val="auto"/>
        </w:rPr>
        <w:t>(3). For purposes of this subsection (iii), gross fair market value means the value of the assets of the Company, or the value of the assets being disposed of, determined without regard to any liabilities associated with such assets.</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3" w:lineRule="exact"/>
        <w:rPr>
          <w:sz w:val="20"/>
          <w:szCs w:val="20"/>
          <w:color w:val="auto"/>
        </w:rPr>
      </w:pPr>
    </w:p>
    <w:p>
      <w:pPr>
        <w:jc w:val="both"/>
        <w:ind w:right="160"/>
        <w:spacing w:after="0" w:line="291"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1" w:lineRule="exact"/>
        <w:rPr>
          <w:sz w:val="20"/>
          <w:szCs w:val="20"/>
          <w:color w:val="auto"/>
        </w:rPr>
      </w:pPr>
    </w:p>
    <w:p>
      <w:pPr>
        <w:ind w:right="20" w:firstLine="8"/>
        <w:spacing w:after="0" w:line="268" w:lineRule="auto"/>
        <w:tabs>
          <w:tab w:leader="none" w:pos="6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0" w:lineRule="exact"/>
        <w:rPr>
          <w:rFonts w:ascii="Arial" w:cs="Arial" w:eastAsia="Arial" w:hAnsi="Arial"/>
          <w:sz w:val="18"/>
          <w:szCs w:val="18"/>
          <w:color w:val="auto"/>
        </w:rPr>
      </w:pPr>
    </w:p>
    <w:p>
      <w:pPr>
        <w:ind w:right="400" w:firstLine="8"/>
        <w:spacing w:after="0" w:line="287" w:lineRule="auto"/>
        <w:tabs>
          <w:tab w:leader="none" w:pos="6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a duly authorized committee of the Board, in accordance with Section 4 hereof.</w:t>
      </w:r>
    </w:p>
    <w:p>
      <w:pPr>
        <w:spacing w:after="0" w:line="1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ImmunityBio, Inc., a Delaware corporation, or any successor thereto.</w:t>
      </w:r>
    </w:p>
    <w:p>
      <w:pPr>
        <w:spacing w:after="0" w:line="225" w:lineRule="exact"/>
        <w:rPr>
          <w:rFonts w:ascii="Arial" w:cs="Arial" w:eastAsia="Arial" w:hAnsi="Arial"/>
          <w:sz w:val="18"/>
          <w:szCs w:val="18"/>
          <w:color w:val="auto"/>
        </w:rPr>
      </w:pPr>
    </w:p>
    <w:p>
      <w:pPr>
        <w:ind w:right="40" w:firstLine="8"/>
        <w:spacing w:after="0" w:line="276" w:lineRule="auto"/>
        <w:tabs>
          <w:tab w:leader="none" w:pos="642"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w:t>
      </w:r>
    </w:p>
    <w:p>
      <w:pPr>
        <w:ind w:right="380" w:firstLine="8"/>
        <w:spacing w:after="0" w:line="266" w:lineRule="auto"/>
        <w:tabs>
          <w:tab w:leader="none" w:pos="2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 not directly promote or maintain a market for the Company’s securities, in each case, within the meaning of Form S-8 promulgated under the Securities Act.</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3" w:right="339" w:bottom="1440" w:gutter="0" w:footer="0" w:header="0"/>
        </w:sectPr>
      </w:pPr>
    </w:p>
    <w:bookmarkStart w:id="156" w:name="page157"/>
    <w:bookmarkEnd w:id="156"/>
    <w:p>
      <w:pPr>
        <w:ind w:firstLine="8"/>
        <w:spacing w:after="0" w:line="268"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0" w:lineRule="exact"/>
        <w:rPr>
          <w:rFonts w:ascii="Arial" w:cs="Arial" w:eastAsia="Arial" w:hAnsi="Arial"/>
          <w:sz w:val="18"/>
          <w:szCs w:val="18"/>
          <w:color w:val="auto"/>
        </w:rPr>
      </w:pPr>
    </w:p>
    <w:p>
      <w:pPr>
        <w:ind w:right="240" w:firstLine="8"/>
        <w:spacing w:after="0" w:line="268" w:lineRule="auto"/>
        <w:tabs>
          <w:tab w:leader="none" w:pos="63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20" w:firstLine="8"/>
        <w:spacing w:after="0" w:line="259" w:lineRule="auto"/>
        <w:tabs>
          <w:tab w:leader="none" w:pos="6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79" w:lineRule="exact"/>
        <w:rPr>
          <w:rFonts w:ascii="Arial" w:cs="Arial" w:eastAsia="Arial" w:hAnsi="Arial"/>
          <w:sz w:val="18"/>
          <w:szCs w:val="18"/>
          <w:color w:val="auto"/>
        </w:rPr>
      </w:pPr>
    </w:p>
    <w:p>
      <w:pPr>
        <w:ind w:left="640" w:hanging="632"/>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sz w:val="20"/>
          <w:szCs w:val="20"/>
          <w:color w:val="auto"/>
        </w:rPr>
      </w:pPr>
    </w:p>
    <w:p>
      <w:pPr>
        <w:ind w:right="240" w:firstLine="8"/>
        <w:spacing w:after="0" w:line="259" w:lineRule="auto"/>
        <w:tabs>
          <w:tab w:leader="none" w:pos="6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79" w:lineRule="exact"/>
        <w:rPr>
          <w:rFonts w:ascii="Arial" w:cs="Arial" w:eastAsia="Arial" w:hAnsi="Arial"/>
          <w:sz w:val="18"/>
          <w:szCs w:val="18"/>
          <w:color w:val="auto"/>
        </w:rPr>
      </w:pPr>
    </w:p>
    <w:p>
      <w:pPr>
        <w:ind w:right="40" w:firstLine="8"/>
        <w:spacing w:after="0" w:line="262" w:lineRule="auto"/>
        <w:tabs>
          <w:tab w:leader="none" w:pos="6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date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76" w:lineRule="exact"/>
        <w:rPr>
          <w:rFonts w:ascii="Arial" w:cs="Arial" w:eastAsia="Arial" w:hAnsi="Arial"/>
          <w:sz w:val="18"/>
          <w:szCs w:val="18"/>
          <w:color w:val="auto"/>
        </w:rPr>
      </w:pPr>
    </w:p>
    <w:p>
      <w:pPr>
        <w:ind w:right="180" w:firstLine="8"/>
        <w:spacing w:after="0" w:line="268" w:lineRule="auto"/>
        <w:tabs>
          <w:tab w:leader="none" w:pos="6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70" w:lineRule="exact"/>
        <w:rPr>
          <w:rFonts w:ascii="Arial" w:cs="Arial" w:eastAsia="Arial" w:hAnsi="Arial"/>
          <w:sz w:val="18"/>
          <w:szCs w:val="18"/>
          <w:color w:val="auto"/>
        </w:rPr>
      </w:pPr>
    </w:p>
    <w:p>
      <w:pPr>
        <w:ind w:right="680" w:firstLine="8"/>
        <w:spacing w:after="0" w:line="287" w:lineRule="auto"/>
        <w:tabs>
          <w:tab w:leader="none" w:pos="6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153"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right="100" w:firstLine="8"/>
        <w:spacing w:after="0" w:line="287" w:lineRule="auto"/>
        <w:tabs>
          <w:tab w:leader="none" w:pos="6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intended to qualify as an incentive stock option within the meaning of Section 422 of the Code.</w:t>
      </w:r>
    </w:p>
    <w:p>
      <w:pPr>
        <w:spacing w:after="0" w:line="152"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by its terms does not qualify or is not intended to qualify as an Incentive Stock</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Option.</w:t>
      </w:r>
    </w:p>
    <w:p>
      <w:pPr>
        <w:spacing w:after="0" w:line="207" w:lineRule="exact"/>
        <w:rPr>
          <w:rFonts w:ascii="Arial" w:cs="Arial" w:eastAsia="Arial" w:hAnsi="Arial"/>
          <w:sz w:val="18"/>
          <w:szCs w:val="18"/>
          <w:color w:val="auto"/>
        </w:rPr>
      </w:pPr>
    </w:p>
    <w:p>
      <w:pPr>
        <w:ind w:right="180" w:firstLine="8"/>
        <w:spacing w:after="0" w:line="287" w:lineRule="auto"/>
        <w:tabs>
          <w:tab w:leader="none" w:pos="6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09" w:right="339" w:bottom="1440" w:gutter="0" w:footer="0" w:header="0"/>
        </w:sectPr>
      </w:pPr>
    </w:p>
    <w:bookmarkStart w:id="157" w:name="page158"/>
    <w:bookmarkEnd w:id="157"/>
    <w:p>
      <w:pPr>
        <w:ind w:left="632" w:hanging="632"/>
        <w:spacing w:after="0"/>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sz w:val="20"/>
          <w:szCs w:val="20"/>
          <w:color w:val="auto"/>
        </w:rPr>
      </w:pPr>
    </w:p>
    <w:p>
      <w:pPr>
        <w:ind w:left="-8" w:right="760" w:firstLine="8"/>
        <w:spacing w:after="0" w:line="287"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52" w:lineRule="exact"/>
        <w:rPr>
          <w:rFonts w:ascii="Arial" w:cs="Arial" w:eastAsia="Arial" w:hAnsi="Arial"/>
          <w:sz w:val="18"/>
          <w:szCs w:val="18"/>
          <w:color w:val="auto"/>
        </w:rPr>
      </w:pPr>
    </w:p>
    <w:p>
      <w:pPr>
        <w:ind w:left="-8" w:firstLine="8"/>
        <w:spacing w:after="0" w:line="268"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0" w:lineRule="exact"/>
        <w:rPr>
          <w:rFonts w:ascii="Arial" w:cs="Arial" w:eastAsia="Arial" w:hAnsi="Arial"/>
          <w:sz w:val="18"/>
          <w:szCs w:val="18"/>
          <w:color w:val="auto"/>
        </w:rPr>
      </w:pPr>
    </w:p>
    <w:p>
      <w:pPr>
        <w:ind w:left="-8" w:right="80" w:firstLine="8"/>
        <w:spacing w:after="0" w:line="268" w:lineRule="auto"/>
        <w:tabs>
          <w:tab w:leader="none" w:pos="629"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2015 Equity Incentive Plan.</w:t>
      </w:r>
    </w:p>
    <w:p>
      <w:pPr>
        <w:spacing w:after="0" w:line="225" w:lineRule="exact"/>
        <w:rPr>
          <w:rFonts w:ascii="Arial" w:cs="Arial" w:eastAsia="Arial" w:hAnsi="Arial"/>
          <w:sz w:val="18"/>
          <w:szCs w:val="18"/>
          <w:color w:val="auto"/>
        </w:rPr>
      </w:pPr>
    </w:p>
    <w:p>
      <w:pPr>
        <w:ind w:left="-8" w:right="300" w:firstLine="8"/>
        <w:spacing w:after="0" w:line="287"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52" w:lineRule="exact"/>
        <w:rPr>
          <w:rFonts w:ascii="Arial" w:cs="Arial" w:eastAsia="Arial" w:hAnsi="Arial"/>
          <w:sz w:val="18"/>
          <w:szCs w:val="18"/>
          <w:color w:val="auto"/>
        </w:rPr>
      </w:pPr>
    </w:p>
    <w:p>
      <w:pPr>
        <w:ind w:left="-8" w:firstLine="8"/>
        <w:spacing w:after="0" w:line="287" w:lineRule="auto"/>
        <w:tabs>
          <w:tab w:leader="none" w:pos="6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152" w:lineRule="exact"/>
        <w:rPr>
          <w:rFonts w:ascii="Arial" w:cs="Arial" w:eastAsia="Arial" w:hAnsi="Arial"/>
          <w:sz w:val="18"/>
          <w:szCs w:val="18"/>
          <w:color w:val="auto"/>
        </w:rPr>
      </w:pPr>
    </w:p>
    <w:p>
      <w:pPr>
        <w:ind w:left="-8" w:right="260" w:firstLine="8"/>
        <w:spacing w:after="0" w:line="287"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52" w:lineRule="exact"/>
        <w:rPr>
          <w:rFonts w:ascii="Arial" w:cs="Arial" w:eastAsia="Arial" w:hAnsi="Arial"/>
          <w:sz w:val="18"/>
          <w:szCs w:val="18"/>
          <w:color w:val="auto"/>
        </w:rPr>
      </w:pPr>
    </w:p>
    <w:p>
      <w:pPr>
        <w:ind w:left="-8" w:right="40" w:firstLine="8"/>
        <w:spacing w:after="0" w:line="287"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52"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14 of the Plan.</w:t>
      </w:r>
    </w:p>
    <w:p>
      <w:pPr>
        <w:spacing w:after="0" w:line="225" w:lineRule="exact"/>
        <w:rPr>
          <w:rFonts w:ascii="Arial" w:cs="Arial" w:eastAsia="Arial" w:hAnsi="Arial"/>
          <w:sz w:val="18"/>
          <w:szCs w:val="18"/>
          <w:color w:val="auto"/>
        </w:rPr>
      </w:pPr>
    </w:p>
    <w:p>
      <w:pPr>
        <w:ind w:left="-8" w:right="40" w:firstLine="8"/>
        <w:spacing w:after="0" w:line="287" w:lineRule="auto"/>
        <w:tabs>
          <w:tab w:leader="none" w:pos="6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152" w:lineRule="exact"/>
        <w:rPr>
          <w:rFonts w:ascii="Arial" w:cs="Arial" w:eastAsia="Arial" w:hAnsi="Arial"/>
          <w:sz w:val="18"/>
          <w:szCs w:val="18"/>
          <w:color w:val="auto"/>
        </w:rPr>
      </w:pPr>
    </w:p>
    <w:p>
      <w:pPr>
        <w:ind w:left="632" w:hanging="632"/>
        <w:spacing w:after="0"/>
        <w:tabs>
          <w:tab w:leader="none" w:pos="6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52"/>
          </w:cols>
          <w:pgMar w:left="328" w:top="1309" w:right="419" w:bottom="1440" w:gutter="0" w:footer="0" w:header="0"/>
        </w:sectPr>
      </w:pPr>
    </w:p>
    <w:bookmarkStart w:id="158" w:name="page159"/>
    <w:bookmarkEnd w:id="158"/>
    <w:p>
      <w:pPr>
        <w:ind w:left="632" w:hanging="632"/>
        <w:spacing w:after="0"/>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Stock Subject to the Plan.</w:t>
      </w:r>
    </w:p>
    <w:p>
      <w:pPr>
        <w:spacing w:after="0" w:line="225" w:lineRule="exact"/>
        <w:rPr>
          <w:sz w:val="20"/>
          <w:szCs w:val="20"/>
          <w:color w:val="auto"/>
        </w:rPr>
      </w:pPr>
    </w:p>
    <w:p>
      <w:pPr>
        <w:ind w:left="-8" w:right="20" w:firstLine="8"/>
        <w:spacing w:after="0" w:line="274" w:lineRule="auto"/>
        <w:tabs>
          <w:tab w:leader="none" w:pos="63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14 of the Plan, the maximum aggregate number of Shares that may be issued under the Plan is 49,300,000 Shares, plus the sum of (i) any Shares that, as of the Registration Date, have been reserved but not issued pursuant to any awards granted under the Company’s 2014 Equity Incentive Plan, as amended (the “</w:t>
      </w:r>
      <w:r>
        <w:rPr>
          <w:rFonts w:ascii="Arial" w:cs="Arial" w:eastAsia="Arial" w:hAnsi="Arial"/>
          <w:sz w:val="17"/>
          <w:szCs w:val="17"/>
          <w:u w:val="single" w:color="auto"/>
          <w:color w:val="auto"/>
        </w:rPr>
        <w:t>Existing Plan</w:t>
      </w:r>
      <w:r>
        <w:rPr>
          <w:rFonts w:ascii="Arial" w:cs="Arial" w:eastAsia="Arial" w:hAnsi="Arial"/>
          <w:sz w:val="17"/>
          <w:szCs w:val="17"/>
          <w:color w:val="auto"/>
        </w:rPr>
        <w:t>”), and are not subject to any awards granted thereunder, and (ii) any Shares subject to stock options or similar awards granted under the Existing Plan that, on or after the Registration Date, expire or otherwise terminate without having been exercised in full and Shares issued pursuant to awards granted under the Existing Plan that are forfeited to or repurchased by the Company, with the maximum number of Shares to be added to the Plan pursuant to clauses (i) and (ii) equal to 9,197,066. The Shares may be authorized, but unissued, or reacquired Common Stock.</w:t>
      </w:r>
    </w:p>
    <w:p>
      <w:pPr>
        <w:spacing w:after="0" w:line="165" w:lineRule="exact"/>
        <w:rPr>
          <w:rFonts w:ascii="Arial" w:cs="Arial" w:eastAsia="Arial" w:hAnsi="Arial"/>
          <w:sz w:val="17"/>
          <w:szCs w:val="17"/>
          <w:color w:val="auto"/>
        </w:rPr>
      </w:pPr>
    </w:p>
    <w:p>
      <w:pPr>
        <w:ind w:left="-8" w:firstLine="8"/>
        <w:spacing w:after="0" w:line="252" w:lineRule="auto"/>
        <w:tabs>
          <w:tab w:leader="none" w:pos="63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Lapsed Awards</w:t>
      </w:r>
      <w:r>
        <w:rPr>
          <w:rFonts w:ascii="Arial" w:cs="Arial" w:eastAsia="Arial" w:hAnsi="Arial"/>
          <w:sz w:val="18"/>
          <w:szCs w:val="18"/>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any Shares that become available for issuance under the Plan pursuant to Section 3(c).</w:t>
      </w:r>
    </w:p>
    <w:p>
      <w:pPr>
        <w:spacing w:after="0" w:line="194" w:lineRule="exact"/>
        <w:rPr>
          <w:rFonts w:ascii="Arial" w:cs="Arial" w:eastAsia="Arial" w:hAnsi="Arial"/>
          <w:sz w:val="18"/>
          <w:szCs w:val="18"/>
          <w:color w:val="auto"/>
        </w:rPr>
      </w:pPr>
    </w:p>
    <w:p>
      <w:pPr>
        <w:ind w:left="-8" w:right="20" w:firstLine="8"/>
        <w:spacing w:after="0" w:line="287" w:lineRule="auto"/>
        <w:tabs>
          <w:tab w:leader="none" w:pos="63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53" w:lineRule="exact"/>
        <w:rPr>
          <w:sz w:val="20"/>
          <w:szCs w:val="20"/>
          <w:color w:val="auto"/>
        </w:rPr>
      </w:pPr>
    </w:p>
    <w:p>
      <w:pPr>
        <w:ind w:left="632" w:hanging="632"/>
        <w:spacing w:after="0"/>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ind w:left="632" w:hanging="632"/>
        <w:spacing w:after="0"/>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sz w:val="20"/>
          <w:szCs w:val="20"/>
          <w:color w:val="auto"/>
        </w:rPr>
      </w:pPr>
    </w:p>
    <w:p>
      <w:pPr>
        <w:ind w:left="652" w:hanging="652"/>
        <w:spacing w:after="0"/>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 administer the Plan.</w:t>
      </w:r>
    </w:p>
    <w:p>
      <w:pPr>
        <w:spacing w:after="0" w:line="225" w:lineRule="exact"/>
        <w:rPr>
          <w:rFonts w:ascii="Arial" w:cs="Arial" w:eastAsia="Arial" w:hAnsi="Arial"/>
          <w:sz w:val="18"/>
          <w:szCs w:val="18"/>
          <w:color w:val="auto"/>
        </w:rPr>
      </w:pPr>
    </w:p>
    <w:p>
      <w:pPr>
        <w:ind w:left="-8" w:right="480" w:firstLine="8"/>
        <w:spacing w:after="0" w:line="268" w:lineRule="auto"/>
        <w:tabs>
          <w:tab w:leader="none" w:pos="63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70" w:lineRule="exact"/>
        <w:rPr>
          <w:rFonts w:ascii="Arial" w:cs="Arial" w:eastAsia="Arial" w:hAnsi="Arial"/>
          <w:sz w:val="18"/>
          <w:szCs w:val="18"/>
          <w:color w:val="auto"/>
        </w:rPr>
      </w:pPr>
    </w:p>
    <w:p>
      <w:pPr>
        <w:ind w:left="-8" w:right="320" w:firstLine="8"/>
        <w:spacing w:after="0" w:line="287" w:lineRule="auto"/>
        <w:tabs>
          <w:tab w:leader="none" w:pos="63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52" w:lineRule="exact"/>
        <w:rPr>
          <w:rFonts w:ascii="Arial" w:cs="Arial" w:eastAsia="Arial" w:hAnsi="Arial"/>
          <w:sz w:val="18"/>
          <w:szCs w:val="18"/>
          <w:color w:val="auto"/>
        </w:rPr>
      </w:pPr>
    </w:p>
    <w:p>
      <w:pPr>
        <w:ind w:left="-8" w:right="600" w:firstLine="8"/>
        <w:spacing w:after="0" w:line="287" w:lineRule="auto"/>
        <w:tabs>
          <w:tab w:leader="none" w:pos="63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32"/>
          </w:cols>
          <w:pgMar w:left="328" w:top="1309" w:right="339" w:bottom="1440" w:gutter="0" w:footer="0" w:header="0"/>
        </w:sectPr>
      </w:pPr>
    </w:p>
    <w:bookmarkStart w:id="159" w:name="page160"/>
    <w:bookmarkEnd w:id="159"/>
    <w:p>
      <w:pPr>
        <w:ind w:left="-8" w:right="420" w:firstLine="8"/>
        <w:spacing w:after="0" w:line="287" w:lineRule="auto"/>
        <w:tabs>
          <w:tab w:leader="none" w:pos="6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Powers of the Administrator. Subject to the provisions of the Plan, and in the case of a Committee, subject to the specific duties delegated by the Board to such Committee, the Administrator will have the authority, in its discretion:</w:t>
      </w:r>
    </w:p>
    <w:p>
      <w:pPr>
        <w:spacing w:after="0" w:line="153" w:lineRule="exact"/>
        <w:rPr>
          <w:sz w:val="20"/>
          <w:szCs w:val="20"/>
          <w:color w:val="auto"/>
        </w:rPr>
      </w:pPr>
    </w:p>
    <w:p>
      <w:pPr>
        <w:ind w:left="652" w:hanging="652"/>
        <w:spacing w:after="0"/>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ind w:left="-8" w:right="60" w:firstLine="8"/>
        <w:spacing w:after="0" w:line="262" w:lineRule="auto"/>
        <w:tabs>
          <w:tab w:leader="none" w:pos="63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6" w:lineRule="exact"/>
        <w:rPr>
          <w:rFonts w:ascii="Arial" w:cs="Arial" w:eastAsia="Arial" w:hAnsi="Arial"/>
          <w:sz w:val="18"/>
          <w:szCs w:val="18"/>
          <w:color w:val="auto"/>
        </w:rPr>
      </w:pPr>
    </w:p>
    <w:p>
      <w:pPr>
        <w:ind w:left="632" w:hanging="632"/>
        <w:spacing w:after="0"/>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left="-8" w:right="260" w:firstLine="8"/>
        <w:spacing w:after="0" w:line="287" w:lineRule="auto"/>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52" w:lineRule="exact"/>
        <w:rPr>
          <w:rFonts w:ascii="Arial" w:cs="Arial" w:eastAsia="Arial" w:hAnsi="Arial"/>
          <w:sz w:val="18"/>
          <w:szCs w:val="18"/>
          <w:color w:val="auto"/>
        </w:rPr>
      </w:pPr>
    </w:p>
    <w:p>
      <w:pPr>
        <w:ind w:left="-8" w:right="160" w:firstLine="8"/>
        <w:spacing w:after="0" w:line="268" w:lineRule="auto"/>
        <w:tabs>
          <w:tab w:leader="none" w:pos="63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allow Participants to satisfy tax withholding obligations in such manner as prescribed in Section 15 of the Plan;</w:t>
      </w:r>
    </w:p>
    <w:p>
      <w:pPr>
        <w:spacing w:after="0" w:line="225" w:lineRule="exact"/>
        <w:rPr>
          <w:rFonts w:ascii="Arial" w:cs="Arial" w:eastAsia="Arial" w:hAnsi="Arial"/>
          <w:sz w:val="18"/>
          <w:szCs w:val="18"/>
          <w:color w:val="auto"/>
        </w:rPr>
      </w:pPr>
    </w:p>
    <w:p>
      <w:pPr>
        <w:ind w:left="-8" w:right="400" w:firstLine="8"/>
        <w:spacing w:after="0" w:line="287" w:lineRule="auto"/>
        <w:tabs>
          <w:tab w:leader="none" w:pos="63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52" w:lineRule="exact"/>
        <w:rPr>
          <w:rFonts w:ascii="Arial" w:cs="Arial" w:eastAsia="Arial" w:hAnsi="Arial"/>
          <w:sz w:val="18"/>
          <w:szCs w:val="18"/>
          <w:color w:val="auto"/>
        </w:rPr>
      </w:pPr>
    </w:p>
    <w:p>
      <w:pPr>
        <w:ind w:left="-8" w:right="520" w:firstLine="8"/>
        <w:spacing w:after="0" w:line="287" w:lineRule="auto"/>
        <w:tabs>
          <w:tab w:leader="none" w:pos="63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152" w:lineRule="exact"/>
        <w:rPr>
          <w:rFonts w:ascii="Arial" w:cs="Arial" w:eastAsia="Arial" w:hAnsi="Arial"/>
          <w:sz w:val="18"/>
          <w:szCs w:val="18"/>
          <w:color w:val="auto"/>
        </w:rPr>
      </w:pPr>
    </w:p>
    <w:p>
      <w:pPr>
        <w:ind w:left="632" w:hanging="632"/>
        <w:spacing w:after="0"/>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sz w:val="20"/>
          <w:szCs w:val="20"/>
          <w:color w:val="auto"/>
        </w:rPr>
      </w:pPr>
    </w:p>
    <w:p>
      <w:pPr>
        <w:ind w:left="-8" w:right="220" w:firstLine="8"/>
        <w:spacing w:after="0" w:line="287" w:lineRule="auto"/>
        <w:tabs>
          <w:tab w:leader="none" w:pos="63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53" w:lineRule="exact"/>
        <w:rPr>
          <w:sz w:val="20"/>
          <w:szCs w:val="20"/>
          <w:color w:val="auto"/>
        </w:rPr>
      </w:pPr>
    </w:p>
    <w:p>
      <w:pPr>
        <w:ind w:left="-8" w:firstLine="8"/>
        <w:spacing w:after="0" w:line="287" w:lineRule="auto"/>
        <w:tabs>
          <w:tab w:leader="none" w:pos="62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72"/>
          </w:cols>
          <w:pgMar w:left="328" w:top="1309" w:right="399" w:bottom="1440" w:gutter="0" w:footer="0" w:header="0"/>
        </w:sectPr>
      </w:pPr>
    </w:p>
    <w:bookmarkStart w:id="160" w:name="page161"/>
    <w:bookmarkEnd w:id="160"/>
    <w:p>
      <w:pPr>
        <w:ind w:left="632" w:hanging="632"/>
        <w:spacing w:after="0"/>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25" w:lineRule="exact"/>
        <w:rPr>
          <w:sz w:val="20"/>
          <w:szCs w:val="20"/>
          <w:color w:val="auto"/>
        </w:rPr>
      </w:pPr>
    </w:p>
    <w:p>
      <w:pPr>
        <w:ind w:left="-8" w:firstLine="8"/>
        <w:spacing w:after="0" w:line="257" w:lineRule="auto"/>
        <w:tabs>
          <w:tab w:leader="none" w:pos="63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2" w:lineRule="exact"/>
        <w:rPr>
          <w:rFonts w:ascii="Arial" w:cs="Arial" w:eastAsia="Arial" w:hAnsi="Arial"/>
          <w:sz w:val="18"/>
          <w:szCs w:val="18"/>
          <w:color w:val="auto"/>
        </w:rPr>
      </w:pPr>
    </w:p>
    <w:p>
      <w:pPr>
        <w:ind w:left="-8" w:right="240" w:firstLine="8"/>
        <w:spacing w:after="0" w:line="259" w:lineRule="auto"/>
        <w:tabs>
          <w:tab w:leader="none" w:pos="63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five(5) years from the date of grant or such shorter term as may be provided in the Award Agreement.</w:t>
      </w:r>
    </w:p>
    <w:p>
      <w:pPr>
        <w:spacing w:after="0" w:line="179" w:lineRule="exact"/>
        <w:rPr>
          <w:rFonts w:ascii="Arial" w:cs="Arial" w:eastAsia="Arial" w:hAnsi="Arial"/>
          <w:sz w:val="18"/>
          <w:szCs w:val="18"/>
          <w:color w:val="auto"/>
        </w:rPr>
      </w:pPr>
    </w:p>
    <w:p>
      <w:pPr>
        <w:ind w:left="632" w:hanging="632"/>
        <w:spacing w:after="0"/>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sz w:val="20"/>
          <w:szCs w:val="20"/>
          <w:color w:val="auto"/>
        </w:rPr>
      </w:pPr>
    </w:p>
    <w:p>
      <w:pPr>
        <w:ind w:left="-8" w:right="100" w:firstLine="8"/>
        <w:spacing w:after="0" w:line="287" w:lineRule="auto"/>
        <w:tabs>
          <w:tab w:leader="none" w:pos="63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53" w:lineRule="exact"/>
        <w:rPr>
          <w:sz w:val="20"/>
          <w:szCs w:val="20"/>
          <w:color w:val="auto"/>
        </w:rPr>
      </w:pPr>
    </w:p>
    <w:p>
      <w:pPr>
        <w:ind w:left="632" w:hanging="632"/>
        <w:spacing w:after="0"/>
        <w:tabs>
          <w:tab w:leader="none" w:pos="6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25" w:lineRule="exact"/>
        <w:rPr>
          <w:sz w:val="20"/>
          <w:szCs w:val="20"/>
          <w:color w:val="auto"/>
        </w:rPr>
      </w:pPr>
    </w:p>
    <w:p>
      <w:pPr>
        <w:ind w:left="-8" w:right="360" w:firstLine="8"/>
        <w:spacing w:after="0" w:line="268" w:lineRule="auto"/>
        <w:tabs>
          <w:tab w:leader="none" w:pos="6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0" w:lineRule="exact"/>
        <w:rPr>
          <w:rFonts w:ascii="Arial" w:cs="Arial" w:eastAsia="Arial" w:hAnsi="Arial"/>
          <w:sz w:val="18"/>
          <w:szCs w:val="18"/>
          <w:color w:val="auto"/>
        </w:rPr>
      </w:pPr>
    </w:p>
    <w:p>
      <w:pPr>
        <w:ind w:left="-8" w:right="220" w:firstLine="8"/>
        <w:spacing w:after="0" w:line="287" w:lineRule="auto"/>
        <w:tabs>
          <w:tab w:leader="none" w:pos="6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53" w:lineRule="exact"/>
        <w:rPr>
          <w:sz w:val="20"/>
          <w:szCs w:val="20"/>
          <w:color w:val="auto"/>
        </w:rPr>
      </w:pPr>
    </w:p>
    <w:p>
      <w:pPr>
        <w:ind w:left="-8" w:right="80" w:firstLine="8"/>
        <w:spacing w:after="0" w:line="287" w:lineRule="auto"/>
        <w:tabs>
          <w:tab w:leader="none" w:pos="63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no less than one hundred percent (100%) of the Fair Market Value per Share on the date of grant.</w:t>
      </w:r>
    </w:p>
    <w:p>
      <w:pPr>
        <w:spacing w:after="0" w:line="152" w:lineRule="exact"/>
        <w:rPr>
          <w:rFonts w:ascii="Arial" w:cs="Arial" w:eastAsia="Arial" w:hAnsi="Arial"/>
          <w:sz w:val="18"/>
          <w:szCs w:val="18"/>
          <w:color w:val="auto"/>
        </w:rPr>
      </w:pPr>
    </w:p>
    <w:p>
      <w:pPr>
        <w:jc w:val="both"/>
        <w:ind w:left="-8" w:right="100" w:firstLine="8"/>
        <w:spacing w:after="0" w:line="268" w:lineRule="auto"/>
        <w:tabs>
          <w:tab w:leader="none" w:pos="63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1" w:lineRule="exact"/>
        <w:rPr>
          <w:sz w:val="20"/>
          <w:szCs w:val="20"/>
          <w:color w:val="auto"/>
        </w:rPr>
      </w:pPr>
    </w:p>
    <w:p>
      <w:pPr>
        <w:ind w:left="-8" w:right="40" w:firstLine="8"/>
        <w:spacing w:after="0" w:line="287" w:lineRule="auto"/>
        <w:tabs>
          <w:tab w:leader="none" w:pos="63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12"/>
          </w:cols>
          <w:pgMar w:left="328" w:top="1309" w:right="359" w:bottom="1440" w:gutter="0" w:footer="0" w:header="0"/>
        </w:sectPr>
      </w:pPr>
    </w:p>
    <w:bookmarkStart w:id="161" w:name="page162"/>
    <w:bookmarkEnd w:id="161"/>
    <w:p>
      <w:pPr>
        <w:ind w:firstLine="8"/>
        <w:spacing w:after="0" w:line="257" w:lineRule="auto"/>
        <w:tabs>
          <w:tab w:leader="none" w:pos="64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w:t>
      </w:r>
    </w:p>
    <w:p>
      <w:pPr>
        <w:spacing w:after="0" w:line="1" w:lineRule="exact"/>
        <w:rPr>
          <w:rFonts w:ascii="Arial" w:cs="Arial" w:eastAsia="Arial" w:hAnsi="Arial"/>
          <w:sz w:val="18"/>
          <w:szCs w:val="18"/>
          <w:color w:val="auto"/>
        </w:rPr>
      </w:pPr>
    </w:p>
    <w:p>
      <w:pPr>
        <w:ind w:right="140"/>
        <w:spacing w:after="0" w:line="253" w:lineRule="auto"/>
        <w:rPr>
          <w:rFonts w:ascii="Arial" w:cs="Arial" w:eastAsia="Arial" w:hAnsi="Arial"/>
          <w:sz w:val="18"/>
          <w:szCs w:val="18"/>
          <w:color w:val="auto"/>
        </w:rPr>
      </w:pPr>
      <w:r>
        <w:rPr>
          <w:rFonts w:ascii="Arial" w:cs="Arial" w:eastAsia="Arial" w:hAnsi="Arial"/>
          <w:sz w:val="18"/>
          <w:szCs w:val="18"/>
          <w:color w:val="auto"/>
        </w:rPr>
        <w:t>(4)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85"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ind w:right="100" w:firstLine="8"/>
        <w:spacing w:after="0" w:line="268" w:lineRule="auto"/>
        <w:tabs>
          <w:tab w:leader="none" w:pos="64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53" w:lineRule="exact"/>
        <w:rPr>
          <w:sz w:val="20"/>
          <w:szCs w:val="20"/>
          <w:color w:val="auto"/>
        </w:rPr>
      </w:pPr>
    </w:p>
    <w:p>
      <w:pPr>
        <w:ind w:firstLine="8"/>
        <w:spacing w:after="0" w:line="255" w:lineRule="auto"/>
        <w:tabs>
          <w:tab w:leader="none" w:pos="64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4" w:lineRule="exact"/>
        <w:rPr>
          <w:rFonts w:ascii="Arial" w:cs="Arial" w:eastAsia="Arial" w:hAnsi="Arial"/>
          <w:sz w:val="18"/>
          <w:szCs w:val="18"/>
          <w:color w:val="auto"/>
        </w:rPr>
      </w:pPr>
    </w:p>
    <w:p>
      <w:pPr>
        <w:ind w:right="120" w:firstLine="8"/>
        <w:spacing w:after="0" w:line="274" w:lineRule="auto"/>
        <w:tabs>
          <w:tab w:leader="none" w:pos="645"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09" w:right="339" w:bottom="1440" w:gutter="0" w:footer="0" w:header="0"/>
        </w:sectPr>
      </w:pPr>
    </w:p>
    <w:bookmarkStart w:id="162" w:name="page163"/>
    <w:bookmarkEnd w:id="162"/>
    <w:p>
      <w:pPr>
        <w:ind w:left="-8" w:right="20" w:firstLine="8"/>
        <w:spacing w:after="0" w:line="254" w:lineRule="auto"/>
        <w:tabs>
          <w:tab w:leader="none" w:pos="63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5" w:lineRule="exact"/>
        <w:rPr>
          <w:sz w:val="20"/>
          <w:szCs w:val="20"/>
          <w:color w:val="auto"/>
        </w:rPr>
      </w:pPr>
    </w:p>
    <w:p>
      <w:pPr>
        <w:ind w:left="632" w:hanging="632"/>
        <w:spacing w:after="0"/>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left="-8" w:right="120" w:firstLine="8"/>
        <w:spacing w:after="0" w:line="287"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2" w:lineRule="exact"/>
        <w:rPr>
          <w:rFonts w:ascii="Arial" w:cs="Arial" w:eastAsia="Arial" w:hAnsi="Arial"/>
          <w:sz w:val="18"/>
          <w:szCs w:val="18"/>
          <w:color w:val="auto"/>
        </w:rPr>
      </w:pPr>
    </w:p>
    <w:p>
      <w:pPr>
        <w:ind w:left="-8" w:right="160" w:firstLine="8"/>
        <w:spacing w:after="0" w:line="262"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6" w:lineRule="exact"/>
        <w:rPr>
          <w:rFonts w:ascii="Arial" w:cs="Arial" w:eastAsia="Arial" w:hAnsi="Arial"/>
          <w:sz w:val="18"/>
          <w:szCs w:val="18"/>
          <w:color w:val="auto"/>
        </w:rPr>
      </w:pPr>
    </w:p>
    <w:p>
      <w:pPr>
        <w:ind w:left="-8" w:right="880" w:firstLine="8"/>
        <w:spacing w:after="0" w:line="287" w:lineRule="auto"/>
        <w:tabs>
          <w:tab w:leader="none" w:pos="63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52" w:lineRule="exact"/>
        <w:rPr>
          <w:rFonts w:ascii="Arial" w:cs="Arial" w:eastAsia="Arial" w:hAnsi="Arial"/>
          <w:sz w:val="18"/>
          <w:szCs w:val="18"/>
          <w:color w:val="auto"/>
        </w:rPr>
      </w:pPr>
    </w:p>
    <w:p>
      <w:pPr>
        <w:ind w:left="-8" w:right="240" w:firstLine="8"/>
        <w:spacing w:after="0" w:line="287"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52" w:lineRule="exact"/>
        <w:rPr>
          <w:rFonts w:ascii="Arial" w:cs="Arial" w:eastAsia="Arial" w:hAnsi="Arial"/>
          <w:sz w:val="18"/>
          <w:szCs w:val="18"/>
          <w:color w:val="auto"/>
        </w:rPr>
      </w:pPr>
    </w:p>
    <w:p>
      <w:pPr>
        <w:ind w:left="-8" w:right="20" w:firstLine="8"/>
        <w:spacing w:after="0" w:line="262"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6" w:lineRule="exact"/>
        <w:rPr>
          <w:rFonts w:ascii="Arial" w:cs="Arial" w:eastAsia="Arial" w:hAnsi="Arial"/>
          <w:sz w:val="18"/>
          <w:szCs w:val="18"/>
          <w:color w:val="auto"/>
        </w:rPr>
      </w:pPr>
    </w:p>
    <w:p>
      <w:pPr>
        <w:ind w:left="-8" w:right="640" w:firstLine="8"/>
        <w:spacing w:after="0" w:line="287" w:lineRule="auto"/>
        <w:tabs>
          <w:tab w:leader="none" w:pos="63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52" w:lineRule="exact"/>
        <w:rPr>
          <w:rFonts w:ascii="Arial" w:cs="Arial" w:eastAsia="Arial" w:hAnsi="Arial"/>
          <w:sz w:val="18"/>
          <w:szCs w:val="18"/>
          <w:color w:val="auto"/>
        </w:rPr>
      </w:pPr>
    </w:p>
    <w:p>
      <w:pPr>
        <w:ind w:left="-8" w:firstLine="8"/>
        <w:spacing w:after="0" w:line="262"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6" w:lineRule="exact"/>
        <w:rPr>
          <w:rFonts w:ascii="Arial" w:cs="Arial" w:eastAsia="Arial" w:hAnsi="Arial"/>
          <w:sz w:val="18"/>
          <w:szCs w:val="18"/>
          <w:color w:val="auto"/>
        </w:rPr>
      </w:pPr>
    </w:p>
    <w:p>
      <w:pPr>
        <w:ind w:left="-8" w:right="320" w:firstLine="8"/>
        <w:spacing w:after="0" w:line="287"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92"/>
          </w:cols>
          <w:pgMar w:left="328" w:top="1309" w:right="379" w:bottom="1440" w:gutter="0" w:footer="0" w:header="0"/>
        </w:sectPr>
      </w:pPr>
    </w:p>
    <w:bookmarkStart w:id="163" w:name="page164"/>
    <w:bookmarkEnd w:id="163"/>
    <w:p>
      <w:pPr>
        <w:ind w:left="632" w:hanging="632"/>
        <w:spacing w:after="0"/>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225" w:lineRule="exact"/>
        <w:rPr>
          <w:sz w:val="20"/>
          <w:szCs w:val="20"/>
          <w:color w:val="auto"/>
        </w:rPr>
      </w:pPr>
    </w:p>
    <w:p>
      <w:pPr>
        <w:ind w:left="-8" w:right="220" w:firstLine="8"/>
        <w:spacing w:after="0" w:line="268" w:lineRule="auto"/>
        <w:tabs>
          <w:tab w:leader="none" w:pos="63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0" w:lineRule="exact"/>
        <w:rPr>
          <w:rFonts w:ascii="Arial" w:cs="Arial" w:eastAsia="Arial" w:hAnsi="Arial"/>
          <w:sz w:val="18"/>
          <w:szCs w:val="18"/>
          <w:color w:val="auto"/>
        </w:rPr>
      </w:pPr>
    </w:p>
    <w:p>
      <w:pPr>
        <w:ind w:left="-8" w:right="80" w:firstLine="8"/>
        <w:spacing w:after="0" w:line="259" w:lineRule="auto"/>
        <w:tabs>
          <w:tab w:leader="none" w:pos="63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Arial" w:cs="Arial" w:eastAsia="Arial" w:hAnsi="Arial"/>
          <w:sz w:val="18"/>
          <w:szCs w:val="18"/>
          <w:color w:val="auto"/>
        </w:rPr>
      </w:pPr>
    </w:p>
    <w:p>
      <w:pPr>
        <w:ind w:left="-8" w:right="80" w:firstLine="8"/>
        <w:spacing w:after="0" w:line="268" w:lineRule="auto"/>
        <w:tabs>
          <w:tab w:leader="none" w:pos="63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0" w:lineRule="exact"/>
        <w:rPr>
          <w:rFonts w:ascii="Arial" w:cs="Arial" w:eastAsia="Arial" w:hAnsi="Arial"/>
          <w:sz w:val="18"/>
          <w:szCs w:val="18"/>
          <w:color w:val="auto"/>
        </w:rPr>
      </w:pPr>
    </w:p>
    <w:p>
      <w:pPr>
        <w:ind w:left="-8" w:right="520" w:firstLine="8"/>
        <w:spacing w:after="0" w:line="268" w:lineRule="auto"/>
        <w:tabs>
          <w:tab w:leader="none" w:pos="63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unearned Restricted Stock Units will be forfeited to the Company.</w:t>
      </w:r>
    </w:p>
    <w:p>
      <w:pPr>
        <w:spacing w:after="0" w:line="225" w:lineRule="exact"/>
        <w:rPr>
          <w:sz w:val="20"/>
          <w:szCs w:val="20"/>
          <w:color w:val="auto"/>
        </w:rPr>
      </w:pPr>
    </w:p>
    <w:p>
      <w:pPr>
        <w:ind w:left="632" w:hanging="632"/>
        <w:spacing w:after="0"/>
        <w:tabs>
          <w:tab w:leader="none" w:pos="63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sz w:val="20"/>
          <w:szCs w:val="20"/>
          <w:color w:val="auto"/>
        </w:rPr>
      </w:pPr>
    </w:p>
    <w:p>
      <w:pPr>
        <w:ind w:left="-8" w:right="260" w:firstLine="8"/>
        <w:spacing w:after="0" w:line="287" w:lineRule="auto"/>
        <w:tabs>
          <w:tab w:leader="none" w:pos="63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52" w:lineRule="exact"/>
        <w:rPr>
          <w:rFonts w:ascii="Arial" w:cs="Arial" w:eastAsia="Arial" w:hAnsi="Arial"/>
          <w:sz w:val="18"/>
          <w:szCs w:val="18"/>
          <w:color w:val="auto"/>
        </w:rPr>
      </w:pPr>
    </w:p>
    <w:p>
      <w:pPr>
        <w:ind w:left="-8" w:right="60" w:firstLine="8"/>
        <w:spacing w:after="0" w:line="287" w:lineRule="auto"/>
        <w:tabs>
          <w:tab w:leader="none" w:pos="63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152" w:lineRule="exact"/>
        <w:rPr>
          <w:rFonts w:ascii="Arial" w:cs="Arial" w:eastAsia="Arial" w:hAnsi="Arial"/>
          <w:sz w:val="18"/>
          <w:szCs w:val="18"/>
          <w:color w:val="auto"/>
        </w:rPr>
      </w:pPr>
    </w:p>
    <w:p>
      <w:pPr>
        <w:ind w:left="-8" w:right="40" w:firstLine="8"/>
        <w:spacing w:after="0" w:line="262" w:lineRule="auto"/>
        <w:tabs>
          <w:tab w:leader="none" w:pos="63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rFonts w:ascii="Arial" w:cs="Arial" w:eastAsia="Arial" w:hAnsi="Arial"/>
          <w:sz w:val="18"/>
          <w:szCs w:val="18"/>
          <w:color w:val="auto"/>
        </w:rPr>
      </w:pPr>
    </w:p>
    <w:p>
      <w:pPr>
        <w:ind w:left="-8" w:firstLine="8"/>
        <w:spacing w:after="0" w:line="268" w:lineRule="auto"/>
        <w:tabs>
          <w:tab w:leader="none" w:pos="63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0" w:lineRule="exact"/>
        <w:rPr>
          <w:rFonts w:ascii="Arial" w:cs="Arial" w:eastAsia="Arial" w:hAnsi="Arial"/>
          <w:sz w:val="18"/>
          <w:szCs w:val="18"/>
          <w:color w:val="auto"/>
        </w:rPr>
      </w:pPr>
    </w:p>
    <w:p>
      <w:pPr>
        <w:ind w:left="-8" w:right="20" w:firstLine="8"/>
        <w:spacing w:after="0" w:line="268" w:lineRule="auto"/>
        <w:tabs>
          <w:tab w:leader="none" w:pos="63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92"/>
          </w:cols>
          <w:pgMar w:left="328" w:top="1309" w:right="379" w:bottom="1440" w:gutter="0" w:footer="0" w:header="0"/>
        </w:sectPr>
      </w:pPr>
    </w:p>
    <w:bookmarkStart w:id="164" w:name="page165"/>
    <w:bookmarkEnd w:id="164"/>
    <w:p>
      <w:pPr>
        <w:ind w:right="260" w:firstLine="8"/>
        <w:spacing w:after="0" w:line="287" w:lineRule="auto"/>
        <w:tabs>
          <w:tab w:leader="none" w:pos="64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 of Stock Appreciation Right Amount. Upon exercise of a Stock Appreciation Right, a Participant will be entitled to receive payment from the Company in an amount determined by multiplying:</w:t>
      </w:r>
    </w:p>
    <w:p>
      <w:pPr>
        <w:spacing w:after="0" w:line="153"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53"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25" w:lineRule="exact"/>
        <w:rPr>
          <w:sz w:val="20"/>
          <w:szCs w:val="20"/>
          <w:color w:val="auto"/>
        </w:rPr>
      </w:pPr>
    </w:p>
    <w:p>
      <w:pPr>
        <w:ind w:right="260" w:firstLine="8"/>
        <w:spacing w:after="0" w:line="268" w:lineRule="auto"/>
        <w:tabs>
          <w:tab w:leader="none" w:pos="63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0" w:lineRule="exact"/>
        <w:rPr>
          <w:rFonts w:ascii="Arial" w:cs="Arial" w:eastAsia="Arial" w:hAnsi="Arial"/>
          <w:sz w:val="18"/>
          <w:szCs w:val="18"/>
          <w:color w:val="auto"/>
        </w:rPr>
      </w:pPr>
    </w:p>
    <w:p>
      <w:pPr>
        <w:jc w:val="both"/>
        <w:ind w:right="300" w:firstLine="8"/>
        <w:spacing w:after="0" w:line="318" w:lineRule="auto"/>
        <w:tabs>
          <w:tab w:leader="none" w:pos="638"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Value of Performance Units/Shares</w:t>
      </w:r>
      <w:r>
        <w:rPr>
          <w:rFonts w:ascii="Arial" w:cs="Arial" w:eastAsia="Arial" w:hAnsi="Arial"/>
          <w:sz w:val="17"/>
          <w:szCs w:val="17"/>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29" w:lineRule="exact"/>
        <w:rPr>
          <w:rFonts w:ascii="Arial" w:cs="Arial" w:eastAsia="Arial" w:hAnsi="Arial"/>
          <w:sz w:val="17"/>
          <w:szCs w:val="17"/>
          <w:color w:val="auto"/>
        </w:rPr>
      </w:pPr>
    </w:p>
    <w:p>
      <w:pPr>
        <w:ind w:firstLine="8"/>
        <w:spacing w:after="0" w:line="255" w:lineRule="auto"/>
        <w:tabs>
          <w:tab w:leader="none" w:pos="64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84" w:lineRule="exact"/>
        <w:rPr>
          <w:rFonts w:ascii="Arial" w:cs="Arial" w:eastAsia="Arial" w:hAnsi="Arial"/>
          <w:sz w:val="18"/>
          <w:szCs w:val="18"/>
          <w:color w:val="auto"/>
        </w:rPr>
      </w:pPr>
    </w:p>
    <w:p>
      <w:pPr>
        <w:jc w:val="both"/>
        <w:ind w:right="120" w:firstLine="8"/>
        <w:spacing w:after="0" w:line="272" w:lineRule="auto"/>
        <w:tabs>
          <w:tab w:leader="none" w:pos="638"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Earning of Performance Units/Shares</w:t>
      </w:r>
      <w:r>
        <w:rPr>
          <w:rFonts w:ascii="Arial" w:cs="Arial" w:eastAsia="Arial" w:hAnsi="Arial"/>
          <w:sz w:val="17"/>
          <w:szCs w:val="17"/>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w:t>
      </w:r>
    </w:p>
    <w:p>
      <w:pPr>
        <w:spacing w:after="0" w:line="1" w:lineRule="exact"/>
        <w:rPr>
          <w:rFonts w:ascii="Arial" w:cs="Arial" w:eastAsia="Arial" w:hAnsi="Arial"/>
          <w:sz w:val="17"/>
          <w:szCs w:val="17"/>
          <w:color w:val="auto"/>
        </w:rPr>
      </w:pPr>
    </w:p>
    <w:p>
      <w:pPr>
        <w:ind w:right="420"/>
        <w:spacing w:after="0" w:line="266" w:lineRule="auto"/>
        <w:rPr>
          <w:rFonts w:ascii="Arial" w:cs="Arial" w:eastAsia="Arial" w:hAnsi="Arial"/>
          <w:sz w:val="17"/>
          <w:szCs w:val="17"/>
          <w:color w:val="auto"/>
        </w:rPr>
      </w:pPr>
      <w:r>
        <w:rPr>
          <w:rFonts w:ascii="Arial" w:cs="Arial" w:eastAsia="Arial" w:hAnsi="Arial"/>
          <w:sz w:val="18"/>
          <w:szCs w:val="18"/>
          <w:color w:val="auto"/>
        </w:rPr>
        <w:t>After the grant of a Performance Unit/Share, the Administrator, in its sole discretion, may reduce or waive any performance objectives or other vesting provisions for such Performance Unit/Share.</w:t>
      </w:r>
    </w:p>
    <w:p>
      <w:pPr>
        <w:spacing w:after="0" w:line="171" w:lineRule="exact"/>
        <w:rPr>
          <w:rFonts w:ascii="Arial" w:cs="Arial" w:eastAsia="Arial" w:hAnsi="Arial"/>
          <w:sz w:val="17"/>
          <w:szCs w:val="17"/>
          <w:color w:val="auto"/>
        </w:rPr>
      </w:pPr>
    </w:p>
    <w:p>
      <w:pPr>
        <w:jc w:val="both"/>
        <w:ind w:right="160" w:firstLine="8"/>
        <w:spacing w:after="0" w:line="262" w:lineRule="auto"/>
        <w:tabs>
          <w:tab w:leader="none" w:pos="63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6" w:lineRule="exact"/>
        <w:rPr>
          <w:rFonts w:ascii="Arial" w:cs="Arial" w:eastAsia="Arial" w:hAnsi="Arial"/>
          <w:sz w:val="18"/>
          <w:szCs w:val="18"/>
          <w:color w:val="auto"/>
        </w:rPr>
      </w:pPr>
    </w:p>
    <w:p>
      <w:pPr>
        <w:ind w:right="360" w:firstLine="8"/>
        <w:spacing w:after="0" w:line="287" w:lineRule="auto"/>
        <w:tabs>
          <w:tab w:leader="none" w:pos="64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09" w:right="339" w:bottom="1440" w:gutter="0" w:footer="0" w:header="0"/>
        </w:sectPr>
      </w:pPr>
    </w:p>
    <w:bookmarkStart w:id="165" w:name="page166"/>
    <w:bookmarkEnd w:id="165"/>
    <w:p>
      <w:pPr>
        <w:ind w:left="-8" w:right="180" w:firstLine="8"/>
        <w:spacing w:after="0" w:line="268" w:lineRule="auto"/>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Outside Director Limitations. Subject to the provisions of Section 14 of the Plan, no Outside Director may be granted, in any Fiscal Year, Awards covering more than 175,000 Shares, increased to 300,000 Shares in the Fiscal Year of his or her initial service as an Outside Director.</w:t>
      </w:r>
    </w:p>
    <w:p>
      <w:pPr>
        <w:spacing w:after="0" w:line="170" w:lineRule="exact"/>
        <w:rPr>
          <w:rFonts w:ascii="Arial" w:cs="Arial" w:eastAsia="Arial" w:hAnsi="Arial"/>
          <w:sz w:val="18"/>
          <w:szCs w:val="18"/>
          <w:color w:val="auto"/>
        </w:rPr>
      </w:pPr>
    </w:p>
    <w:p>
      <w:pPr>
        <w:ind w:left="-8" w:firstLine="8"/>
        <w:spacing w:after="0" w:line="256" w:lineRule="auto"/>
        <w:tabs>
          <w:tab w:leader="none" w:pos="63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82" w:lineRule="exact"/>
        <w:rPr>
          <w:rFonts w:ascii="Arial" w:cs="Arial" w:eastAsia="Arial" w:hAnsi="Arial"/>
          <w:sz w:val="18"/>
          <w:szCs w:val="18"/>
          <w:color w:val="auto"/>
        </w:rPr>
      </w:pPr>
    </w:p>
    <w:p>
      <w:pPr>
        <w:ind w:left="-8" w:right="120" w:firstLine="8"/>
        <w:spacing w:after="0" w:line="262" w:lineRule="auto"/>
        <w:tabs>
          <w:tab w:leader="none" w:pos="63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6" w:lineRule="exact"/>
        <w:rPr>
          <w:rFonts w:ascii="Arial" w:cs="Arial" w:eastAsia="Arial" w:hAnsi="Arial"/>
          <w:sz w:val="18"/>
          <w:szCs w:val="18"/>
          <w:color w:val="auto"/>
        </w:rPr>
      </w:pPr>
    </w:p>
    <w:p>
      <w:pPr>
        <w:ind w:left="632" w:hanging="632"/>
        <w:spacing w:after="0"/>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Change in Control</w:t>
      </w:r>
      <w:r>
        <w:rPr>
          <w:rFonts w:ascii="Arial" w:cs="Arial" w:eastAsia="Arial" w:hAnsi="Arial"/>
          <w:sz w:val="18"/>
          <w:szCs w:val="18"/>
          <w:color w:val="auto"/>
        </w:rPr>
        <w:t>.</w:t>
      </w:r>
    </w:p>
    <w:p>
      <w:pPr>
        <w:spacing w:after="0" w:line="225" w:lineRule="exact"/>
        <w:rPr>
          <w:sz w:val="20"/>
          <w:szCs w:val="20"/>
          <w:color w:val="auto"/>
        </w:rPr>
      </w:pPr>
    </w:p>
    <w:p>
      <w:pPr>
        <w:ind w:left="-8" w:right="20" w:firstLine="8"/>
        <w:spacing w:after="0" w:line="257" w:lineRule="auto"/>
        <w:tabs>
          <w:tab w:leader="none" w:pos="63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 in Section 3 of the Plan.</w:t>
      </w:r>
    </w:p>
    <w:p>
      <w:pPr>
        <w:spacing w:after="0" w:line="182" w:lineRule="exact"/>
        <w:rPr>
          <w:rFonts w:ascii="Arial" w:cs="Arial" w:eastAsia="Arial" w:hAnsi="Arial"/>
          <w:sz w:val="18"/>
          <w:szCs w:val="18"/>
          <w:color w:val="auto"/>
        </w:rPr>
      </w:pPr>
    </w:p>
    <w:p>
      <w:pPr>
        <w:ind w:left="-8" w:right="40" w:firstLine="8"/>
        <w:spacing w:after="0" w:line="268" w:lineRule="auto"/>
        <w:tabs>
          <w:tab w:leader="none" w:pos="63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previously has not been exercised, an Award will terminate immediately prior to the consummation of such proposed action.</w:t>
      </w:r>
    </w:p>
    <w:p>
      <w:pPr>
        <w:spacing w:after="0" w:line="170" w:lineRule="exact"/>
        <w:rPr>
          <w:rFonts w:ascii="Arial" w:cs="Arial" w:eastAsia="Arial" w:hAnsi="Arial"/>
          <w:sz w:val="18"/>
          <w:szCs w:val="18"/>
          <w:color w:val="auto"/>
        </w:rPr>
      </w:pPr>
    </w:p>
    <w:p>
      <w:pPr>
        <w:ind w:left="-8" w:right="20" w:firstLine="8"/>
        <w:spacing w:after="0" w:line="255" w:lineRule="auto"/>
        <w:tabs>
          <w:tab w:leader="none" w:pos="63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each outstanding Award will be treated as the Administrator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Change in Control;</w:t>
      </w:r>
    </w:p>
    <w:p>
      <w:pPr>
        <w:spacing w:after="0" w:line="2" w:lineRule="exact"/>
        <w:rPr>
          <w:rFonts w:ascii="Arial" w:cs="Arial" w:eastAsia="Arial" w:hAnsi="Arial"/>
          <w:sz w:val="18"/>
          <w:szCs w:val="18"/>
          <w:color w:val="auto"/>
        </w:rPr>
      </w:pPr>
    </w:p>
    <w:p>
      <w:pPr>
        <w:ind w:left="-8" w:right="20" w:firstLine="8"/>
        <w:spacing w:after="0" w:line="252" w:lineRule="auto"/>
        <w:tabs>
          <w:tab w:leader="none" w:pos="28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14(c), the Administrator will not be required to treat all Awards similarly in the transaction.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12"/>
          </w:cols>
          <w:pgMar w:left="328" w:top="1309" w:right="359" w:bottom="1440" w:gutter="0" w:footer="0" w:header="0"/>
        </w:sectPr>
      </w:pPr>
    </w:p>
    <w:bookmarkStart w:id="166" w:name="page167"/>
    <w:bookmarkEnd w:id="166"/>
    <w:p>
      <w:pPr>
        <w:ind w:right="80"/>
        <w:spacing w:after="0" w:line="255" w:lineRule="auto"/>
        <w:rPr>
          <w:sz w:val="20"/>
          <w:szCs w:val="20"/>
          <w:color w:val="auto"/>
        </w:rPr>
      </w:pPr>
      <w:r>
        <w:rPr>
          <w:rFonts w:ascii="Arial" w:cs="Arial" w:eastAsia="Arial" w:hAnsi="Arial"/>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76" w:lineRule="exact"/>
        <w:rPr>
          <w:sz w:val="20"/>
          <w:szCs w:val="20"/>
          <w:color w:val="auto"/>
        </w:rPr>
      </w:pPr>
    </w:p>
    <w:p>
      <w:pPr>
        <w:ind w:right="120" w:firstLine="8"/>
        <w:spacing w:after="0" w:line="259" w:lineRule="auto"/>
        <w:tabs>
          <w:tab w:leader="none" w:pos="63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Outside Director Awards</w:t>
      </w:r>
      <w:r>
        <w:rPr>
          <w:rFonts w:ascii="Arial" w:cs="Arial" w:eastAsia="Arial" w:hAnsi="Arial"/>
          <w:sz w:val="18"/>
          <w:szCs w:val="18"/>
          <w:color w:val="auto"/>
        </w:rPr>
        <w:t>. With respect to Awards granted to an Outside Director, in the event of a Change in Control,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w:t>
      </w:r>
    </w:p>
    <w:p>
      <w:pPr>
        <w:spacing w:after="0" w:line="179" w:lineRule="exact"/>
        <w:rPr>
          <w:sz w:val="20"/>
          <w:szCs w:val="20"/>
          <w:color w:val="auto"/>
        </w:rPr>
      </w:pPr>
    </w:p>
    <w:p>
      <w:pPr>
        <w:ind w:left="640" w:hanging="632"/>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62" w:lineRule="auto"/>
        <w:tabs>
          <w:tab w:leader="none" w:pos="63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09" w:right="339" w:bottom="1440" w:gutter="0" w:footer="0" w:header="0"/>
        </w:sectPr>
      </w:pPr>
    </w:p>
    <w:bookmarkStart w:id="167" w:name="page168"/>
    <w:bookmarkEnd w:id="167"/>
    <w:p>
      <w:pPr>
        <w:ind w:left="-8" w:firstLine="8"/>
        <w:spacing w:after="0" w:line="252"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Withholding Arrangements. The Administrator, in its sole discretion and pursuant to such procedures as it may specify from time to time, may permit a Participant to satisfy such tax withholding obligation, in whole or in part by such methods as the Administrator shall determine, including, without limitation, (a) paying cash, (b) electing to have the Company withhold otherwise deliverable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(e) such other consideration and method of payment for the meeting of tax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93" w:lineRule="exact"/>
        <w:rPr>
          <w:rFonts w:ascii="Arial" w:cs="Arial" w:eastAsia="Arial" w:hAnsi="Arial"/>
          <w:sz w:val="18"/>
          <w:szCs w:val="18"/>
          <w:color w:val="auto"/>
        </w:rPr>
      </w:pPr>
    </w:p>
    <w:p>
      <w:pPr>
        <w:ind w:left="-8" w:right="60" w:firstLine="8"/>
        <w:spacing w:after="0" w:line="255" w:lineRule="auto"/>
        <w:tabs>
          <w:tab w:leader="none" w:pos="63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85" w:lineRule="exact"/>
        <w:rPr>
          <w:sz w:val="20"/>
          <w:szCs w:val="20"/>
          <w:color w:val="auto"/>
        </w:rPr>
      </w:pPr>
    </w:p>
    <w:p>
      <w:pPr>
        <w:ind w:left="-8" w:right="100" w:firstLine="8"/>
        <w:spacing w:after="0" w:line="268" w:lineRule="auto"/>
        <w:tabs>
          <w:tab w:leader="none" w:pos="63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0" w:lineRule="exact"/>
        <w:rPr>
          <w:rFonts w:ascii="Arial" w:cs="Arial" w:eastAsia="Arial" w:hAnsi="Arial"/>
          <w:sz w:val="18"/>
          <w:szCs w:val="18"/>
          <w:color w:val="auto"/>
        </w:rPr>
      </w:pPr>
    </w:p>
    <w:p>
      <w:pPr>
        <w:ind w:left="-8" w:right="200" w:firstLine="8"/>
        <w:spacing w:after="0" w:line="268" w:lineRule="auto"/>
        <w:tabs>
          <w:tab w:leader="none" w:pos="63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0" w:lineRule="exact"/>
        <w:rPr>
          <w:rFonts w:ascii="Arial" w:cs="Arial" w:eastAsia="Arial" w:hAnsi="Arial"/>
          <w:sz w:val="18"/>
          <w:szCs w:val="18"/>
          <w:color w:val="auto"/>
        </w:rPr>
      </w:pPr>
    </w:p>
    <w:p>
      <w:pPr>
        <w:jc w:val="both"/>
        <w:ind w:left="-8" w:right="100" w:firstLine="8"/>
        <w:spacing w:after="0" w:line="268" w:lineRule="auto"/>
        <w:tabs>
          <w:tab w:leader="none" w:pos="63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22 of the Plan, the Plan will become effective upon the later to occur of (i) its adoption by the Board or (ii) the business day immediately prior to the Registration Date. It will continue in effect for a term of ten (10) years from the date adopted by the Board, unless terminated earlier under Section 19 of the Plan.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12"/>
          </w:cols>
          <w:pgMar w:left="328" w:top="1309" w:right="359" w:bottom="1440" w:gutter="0" w:footer="0" w:header="0"/>
        </w:sectPr>
      </w:pPr>
    </w:p>
    <w:bookmarkStart w:id="168" w:name="page169"/>
    <w:bookmarkEnd w:id="168"/>
    <w:p>
      <w:pPr>
        <w:ind w:left="640" w:hanging="632"/>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rFonts w:ascii="Arial" w:cs="Arial" w:eastAsia="Arial" w:hAnsi="Arial"/>
          <w:sz w:val="18"/>
          <w:szCs w:val="18"/>
          <w:color w:val="auto"/>
        </w:rPr>
      </w:pPr>
    </w:p>
    <w:p>
      <w:pPr>
        <w:ind w:right="100" w:firstLine="8"/>
        <w:spacing w:after="0" w:line="287" w:lineRule="auto"/>
        <w:tabs>
          <w:tab w:leader="none" w:pos="63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52" w:lineRule="exact"/>
        <w:rPr>
          <w:rFonts w:ascii="Arial" w:cs="Arial" w:eastAsia="Arial" w:hAnsi="Arial"/>
          <w:sz w:val="18"/>
          <w:szCs w:val="18"/>
          <w:color w:val="auto"/>
        </w:rPr>
      </w:pPr>
    </w:p>
    <w:p>
      <w:pPr>
        <w:ind w:firstLine="8"/>
        <w:spacing w:after="0" w:line="262" w:lineRule="auto"/>
        <w:tabs>
          <w:tab w:leader="none" w:pos="64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6"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w:t>
      </w:r>
    </w:p>
    <w:p>
      <w:pPr>
        <w:spacing w:after="0" w:line="27" w:lineRule="exact"/>
        <w:rPr>
          <w:rFonts w:ascii="Arial" w:cs="Arial" w:eastAsia="Arial" w:hAnsi="Arial"/>
          <w:sz w:val="18"/>
          <w:szCs w:val="18"/>
          <w:color w:val="auto"/>
        </w:rPr>
      </w:pPr>
    </w:p>
    <w:p>
      <w:pPr>
        <w:ind w:right="20"/>
        <w:spacing w:after="0" w:line="266" w:lineRule="auto"/>
        <w:rPr>
          <w:rFonts w:ascii="Arial" w:cs="Arial" w:eastAsia="Arial" w:hAnsi="Arial"/>
          <w:sz w:val="18"/>
          <w:szCs w:val="18"/>
          <w:color w:val="auto"/>
        </w:rPr>
      </w:pPr>
      <w:r>
        <w:rPr>
          <w:rFonts w:ascii="Arial" w:cs="Arial" w:eastAsia="Arial" w:hAnsi="Arial"/>
          <w:sz w:val="18"/>
          <w:szCs w:val="18"/>
          <w:color w:val="auto"/>
        </w:rPr>
        <w:t>issuance and delivery of such Shares will comply with Applicable Laws and will be further subject to the approval of counsel for the Company with respect to such compliance.</w:t>
      </w:r>
    </w:p>
    <w:p>
      <w:pPr>
        <w:spacing w:after="0" w:line="171" w:lineRule="exact"/>
        <w:rPr>
          <w:rFonts w:ascii="Arial" w:cs="Arial" w:eastAsia="Arial" w:hAnsi="Arial"/>
          <w:sz w:val="18"/>
          <w:szCs w:val="18"/>
          <w:color w:val="auto"/>
        </w:rPr>
      </w:pPr>
    </w:p>
    <w:p>
      <w:pPr>
        <w:ind w:right="280" w:firstLine="8"/>
        <w:spacing w:after="0" w:line="268" w:lineRule="auto"/>
        <w:tabs>
          <w:tab w:leader="none" w:pos="63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1" w:lineRule="exact"/>
        <w:rPr>
          <w:sz w:val="20"/>
          <w:szCs w:val="20"/>
          <w:color w:val="auto"/>
        </w:rPr>
      </w:pPr>
    </w:p>
    <w:p>
      <w:pPr>
        <w:ind w:right="60" w:firstLine="8"/>
        <w:spacing w:after="0" w:line="256" w:lineRule="auto"/>
        <w:tabs>
          <w:tab w:leader="none" w:pos="64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2" w:lineRule="exact"/>
        <w:rPr>
          <w:rFonts w:ascii="Arial" w:cs="Arial" w:eastAsia="Arial" w:hAnsi="Arial"/>
          <w:sz w:val="18"/>
          <w:szCs w:val="18"/>
          <w:color w:val="auto"/>
        </w:rPr>
      </w:pPr>
    </w:p>
    <w:p>
      <w:pPr>
        <w:ind w:right="220" w:firstLine="8"/>
        <w:spacing w:after="0" w:line="268" w:lineRule="auto"/>
        <w:tabs>
          <w:tab w:leader="none" w:pos="64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309" w:right="35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Adcock, certify that:</w:t>
      </w:r>
    </w:p>
    <w:p>
      <w:pPr>
        <w:spacing w:after="0" w:line="225"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6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Sachs, certify that:</w:t>
      </w:r>
    </w:p>
    <w:p>
      <w:pPr>
        <w:spacing w:after="0" w:line="225"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8"/>
        </w:trPr>
        <w:tc>
          <w:tcPr>
            <w:tcW w:w="3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Richard Adcock, the Chief Executive Officer of ImmunityBio, Inc. (the “Company”), hereby certify, that, to my knowledge:</w:t>
      </w:r>
    </w:p>
    <w:p>
      <w:pPr>
        <w:spacing w:after="0" w:line="162" w:lineRule="exact"/>
        <w:rPr>
          <w:sz w:val="20"/>
          <w:szCs w:val="20"/>
          <w:color w:val="auto"/>
        </w:rPr>
      </w:pPr>
    </w:p>
    <w:p>
      <w:pPr>
        <w:ind w:left="660" w:hanging="328"/>
        <w:spacing w:after="0" w:line="282" w:lineRule="auto"/>
        <w:tabs>
          <w:tab w:leader="none" w:pos="64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June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6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David C. Sachs, the Chief Financial Officer of ImmunityBio, Inc. (the “Company”), hereby certify, that, to my knowledge:</w:t>
      </w:r>
    </w:p>
    <w:p>
      <w:pPr>
        <w:spacing w:after="0" w:line="162" w:lineRule="exact"/>
        <w:rPr>
          <w:sz w:val="20"/>
          <w:szCs w:val="20"/>
          <w:color w:val="auto"/>
        </w:rPr>
      </w:pPr>
    </w:p>
    <w:p>
      <w:pPr>
        <w:ind w:left="660" w:hanging="328"/>
        <w:spacing w:after="0" w:line="282" w:lineRule="auto"/>
        <w:tabs>
          <w:tab w:leader="none" w:pos="64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June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8"/>
        </w:trPr>
        <w:tc>
          <w:tcPr>
            <w:tcW w:w="3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1)"/>
      <w:numFmt w:val="decimal"/>
      <w:start w:val="1"/>
    </w:lvl>
  </w:abstractNum>
  <w:abstractNum w:abstractNumId="6">
    <w:nsid w:val="6590700B"/>
    <w:multiLevelType w:val="hybridMultilevel"/>
    <w:lvl w:ilvl="0">
      <w:lvlJc w:val="left"/>
      <w:lvlText w:val="(%1)"/>
      <w:numFmt w:val="decimal"/>
      <w:start w:val="2"/>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1)"/>
      <w:numFmt w:val="lowerLetter"/>
      <w:start w:val="3"/>
    </w:lvl>
  </w:abstractNum>
  <w:abstractNum w:abstractNumId="9">
    <w:nsid w:val="98A3148"/>
    <w:multiLevelType w:val="hybridMultilevel"/>
    <w:lvl w:ilvl="0">
      <w:lvlJc w:val="left"/>
      <w:lvlText w:val="(%1)"/>
      <w:numFmt w:val="decimal"/>
      <w:start w:val="1"/>
    </w:lvl>
  </w:abstractNum>
  <w:abstractNum w:abstractNumId="10">
    <w:nsid w:val="799D0247"/>
    <w:multiLevelType w:val="hybridMultilevel"/>
    <w:lvl w:ilvl="0">
      <w:lvlJc w:val="left"/>
      <w:lvlText w:val="(%1)"/>
      <w:numFmt w:val="lowerRoman"/>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1)"/>
      <w:numFmt w:val="lowerRoman"/>
      <w:start w:val="1"/>
    </w:lvl>
  </w:abstractNum>
  <w:abstractNum w:abstractNumId="19">
    <w:nsid w:val="51D9C564"/>
    <w:multiLevelType w:val="hybridMultilevel"/>
    <w:lvl w:ilvl="0">
      <w:lvlJc w:val="left"/>
      <w:lvlText w:val="•"/>
      <w:numFmt w:val="bullet"/>
      <w:start w:val="1"/>
    </w:lvl>
    <w:lvl w:ilvl="1">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1)"/>
      <w:numFmt w:val="decimal"/>
      <w:start w:val="27"/>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1)"/>
      <w:numFmt w:val="decimal"/>
      <w:start w:val="2"/>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1."/>
      <w:numFmt w:val="decimal"/>
      <w:start w:val="2"/>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lowerRoman"/>
      <w:start w:val="1"/>
    </w:lvl>
  </w:abstractNum>
  <w:abstractNum w:abstractNumId="74">
    <w:nsid w:val="3FA62ACA"/>
    <w:multiLevelType w:val="hybridMultilevel"/>
    <w:lvl w:ilvl="0">
      <w:lvlJc w:val="left"/>
      <w:lvlText w:val="(%1)"/>
      <w:numFmt w:val="lowerRoman"/>
      <w:start w:val="3"/>
    </w:lvl>
  </w:abstractNum>
  <w:abstractNum w:abstractNumId="75">
    <w:nsid w:val="14FCE74E"/>
    <w:multiLevelType w:val="hybridMultilevel"/>
    <w:lvl w:ilvl="0">
      <w:lvlJc w:val="left"/>
      <w:lvlText w:val="(%1)"/>
      <w:numFmt w:val="lowerLetter"/>
      <w:start w:val="7"/>
    </w:lvl>
  </w:abstractNum>
  <w:abstractNum w:abstractNumId="76">
    <w:nsid w:val="6A3DD3E8"/>
    <w:multiLevelType w:val="hybridMultilevel"/>
    <w:lvl w:ilvl="0">
      <w:lvlJc w:val="left"/>
      <w:lvlText w:val="(%1)"/>
      <w:numFmt w:val="lowerLetter"/>
      <w:start w:val="35"/>
    </w:lvl>
  </w:abstractNum>
  <w:abstractNum w:abstractNumId="77">
    <w:nsid w:val="71C91298"/>
    <w:multiLevelType w:val="hybridMultilevel"/>
    <w:lvl w:ilvl="0">
      <w:lvlJc w:val="left"/>
      <w:lvlText w:val="(%1)"/>
      <w:numFmt w:val="lowerLetter"/>
      <w:start w:val="12"/>
    </w:lvl>
  </w:abstractNum>
  <w:abstractNum w:abstractNumId="78">
    <w:nsid w:val="9DAF632"/>
    <w:multiLevelType w:val="hybridMultilevel"/>
    <w:lvl w:ilvl="0">
      <w:lvlJc w:val="left"/>
      <w:lvlText w:val="(%1)"/>
      <w:numFmt w:val="lowerLetter"/>
      <w:start w:val="13"/>
    </w:lvl>
  </w:abstractNum>
  <w:abstractNum w:abstractNumId="79">
    <w:nsid w:val="53299938"/>
    <w:multiLevelType w:val="hybridMultilevel"/>
    <w:lvl w:ilvl="0">
      <w:lvlJc w:val="left"/>
      <w:lvlText w:val="(%1)"/>
      <w:numFmt w:val="lowerRoman"/>
      <w:start w:val="1"/>
    </w:lvl>
  </w:abstractNum>
  <w:abstractNum w:abstractNumId="80">
    <w:nsid w:val="1FBFE8E0"/>
    <w:multiLevelType w:val="hybridMultilevel"/>
    <w:lvl w:ilvl="0">
      <w:lvlJc w:val="left"/>
      <w:lvlText w:val="(%1)"/>
      <w:numFmt w:val="lowerLetter"/>
      <w:start w:val="18"/>
    </w:lvl>
  </w:abstractNum>
  <w:abstractNum w:abstractNumId="81">
    <w:nsid w:val="5092CA79"/>
    <w:multiLevelType w:val="hybridMultilevel"/>
    <w:lvl w:ilvl="0">
      <w:lvlJc w:val="left"/>
      <w:lvlText w:val="(%1)"/>
      <w:numFmt w:val="lowerLetter"/>
      <w:start w:val="23"/>
    </w:lvl>
  </w:abstractNum>
  <w:abstractNum w:abstractNumId="82">
    <w:nsid w:val="1D545C4D"/>
    <w:multiLevelType w:val="hybridMultilevel"/>
    <w:lvl w:ilvl="0">
      <w:lvlJc w:val="left"/>
      <w:lvlText w:val="(%1)"/>
      <w:numFmt w:val="lowerLetter"/>
      <w:start w:val="27"/>
    </w:lvl>
  </w:abstractNum>
  <w:abstractNum w:abstractNumId="83">
    <w:nsid w:val="59ADEA3D"/>
    <w:multiLevelType w:val="hybridMultilevel"/>
    <w:lvl w:ilvl="0">
      <w:lvlJc w:val="left"/>
      <w:lvlText w:val="%1."/>
      <w:numFmt w:val="decimal"/>
      <w:start w:val="3"/>
    </w:lvl>
  </w:abstractNum>
  <w:abstractNum w:abstractNumId="84">
    <w:nsid w:val="288F1A34"/>
    <w:multiLevelType w:val="hybridMultilevel"/>
    <w:lvl w:ilvl="0">
      <w:lvlJc w:val="left"/>
      <w:lvlText w:val="(%1)"/>
      <w:numFmt w:val="lowerLetter"/>
      <w:start w:val="1"/>
    </w:lvl>
  </w:abstractNum>
  <w:abstractNum w:abstractNumId="85">
    <w:nsid w:val="2A155DBC"/>
    <w:multiLevelType w:val="hybridMultilevel"/>
    <w:lvl w:ilvl="0">
      <w:lvlJc w:val="left"/>
      <w:lvlText w:val="%1."/>
      <w:numFmt w:val="decimal"/>
      <w:start w:val="4"/>
    </w:lvl>
  </w:abstractNum>
  <w:abstractNum w:abstractNumId="86">
    <w:nsid w:val="1D9F6E5F"/>
    <w:multiLevelType w:val="hybridMultilevel"/>
    <w:lvl w:ilvl="0">
      <w:lvlJc w:val="left"/>
      <w:lvlText w:val="(%1)"/>
      <w:numFmt w:val="lowerLetter"/>
      <w:start w:val="1"/>
    </w:lvl>
  </w:abstractNum>
  <w:abstractNum w:abstractNumId="87">
    <w:nsid w:val="97E1B4E"/>
    <w:multiLevelType w:val="hybridMultilevel"/>
    <w:lvl w:ilvl="0">
      <w:lvlJc w:val="left"/>
      <w:lvlText w:val="(%1)"/>
      <w:numFmt w:val="lowerRoman"/>
      <w:start w:val="1"/>
    </w:lvl>
  </w:abstractNum>
  <w:abstractNum w:abstractNumId="88">
    <w:nsid w:val="51088277"/>
    <w:multiLevelType w:val="hybridMultilevel"/>
    <w:lvl w:ilvl="0">
      <w:lvlJc w:val="left"/>
      <w:lvlText w:val="(%1)"/>
      <w:numFmt w:val="lowerLetter"/>
      <w:start w:val="2"/>
    </w:lvl>
  </w:abstractNum>
  <w:abstractNum w:abstractNumId="89">
    <w:nsid w:val="1CA0C5FA"/>
    <w:multiLevelType w:val="hybridMultilevel"/>
    <w:lvl w:ilvl="0">
      <w:lvlJc w:val="left"/>
      <w:lvlText w:val="(%1)"/>
      <w:numFmt w:val="lowerRoman"/>
      <w:start w:val="1"/>
    </w:lvl>
  </w:abstractNum>
  <w:abstractNum w:abstractNumId="90">
    <w:nsid w:val="53584BCB"/>
    <w:multiLevelType w:val="hybridMultilevel"/>
    <w:lvl w:ilvl="0">
      <w:lvlJc w:val="left"/>
      <w:lvlText w:val="(%1)"/>
      <w:numFmt w:val="lowerLetter"/>
      <w:start w:val="3"/>
    </w:lvl>
  </w:abstractNum>
  <w:abstractNum w:abstractNumId="91">
    <w:nsid w:val="415E286C"/>
    <w:multiLevelType w:val="hybridMultilevel"/>
    <w:lvl w:ilvl="0">
      <w:lvlJc w:val="left"/>
      <w:lvlText w:val="%1."/>
      <w:numFmt w:val="decimal"/>
      <w:start w:val="5"/>
    </w:lvl>
  </w:abstractNum>
  <w:abstractNum w:abstractNumId="92">
    <w:nsid w:val="7C58FD05"/>
    <w:multiLevelType w:val="hybridMultilevel"/>
    <w:lvl w:ilvl="0">
      <w:lvlJc w:val="left"/>
      <w:lvlText w:val="%1."/>
      <w:numFmt w:val="decimal"/>
      <w:start w:val="6"/>
    </w:lvl>
  </w:abstractNum>
  <w:abstractNum w:abstractNumId="93">
    <w:nsid w:val="23D86AAC"/>
    <w:multiLevelType w:val="hybridMultilevel"/>
    <w:lvl w:ilvl="0">
      <w:lvlJc w:val="left"/>
      <w:lvlText w:val="(%1)"/>
      <w:numFmt w:val="lowerLetter"/>
      <w:start w:val="1"/>
    </w:lvl>
  </w:abstractNum>
  <w:abstractNum w:abstractNumId="94">
    <w:nsid w:val="45E6D486"/>
    <w:multiLevelType w:val="hybridMultilevel"/>
    <w:lvl w:ilvl="0">
      <w:lvlJc w:val="left"/>
      <w:lvlText w:val="(%1)"/>
      <w:numFmt w:val="lowerRoman"/>
      <w:start w:val="1"/>
    </w:lvl>
  </w:abstractNum>
  <w:abstractNum w:abstractNumId="95">
    <w:nsid w:val="5C10FE21"/>
    <w:multiLevelType w:val="hybridMultilevel"/>
    <w:lvl w:ilvl="0">
      <w:lvlJc w:val="left"/>
      <w:lvlText w:val="(%1)"/>
      <w:numFmt w:val="decimal"/>
      <w:start w:val="1"/>
    </w:lvl>
  </w:abstractNum>
  <w:abstractNum w:abstractNumId="96">
    <w:nsid w:val="E7FFA2B"/>
    <w:multiLevelType w:val="hybridMultilevel"/>
    <w:lvl w:ilvl="0">
      <w:lvlJc w:val="left"/>
      <w:lvlText w:val="(%1)"/>
      <w:numFmt w:val="upperLetter"/>
      <w:start w:val="1"/>
    </w:lvl>
  </w:abstractNum>
  <w:abstractNum w:abstractNumId="97">
    <w:nsid w:val="3C5991AA"/>
    <w:multiLevelType w:val="hybridMultilevel"/>
    <w:lvl w:ilvl="0">
      <w:lvlJc w:val="left"/>
      <w:lvlText w:val="(%1)"/>
      <w:numFmt w:val="decimal"/>
      <w:start w:val="2"/>
    </w:lvl>
  </w:abstractNum>
  <w:abstractNum w:abstractNumId="98">
    <w:nsid w:val="4BD8591A"/>
    <w:multiLevelType w:val="hybridMultilevel"/>
    <w:lvl w:ilvl="0">
      <w:lvlJc w:val="left"/>
      <w:lvlText w:val="(%1)"/>
      <w:numFmt w:val="lowerRoman"/>
      <w:start w:val="2"/>
    </w:lvl>
  </w:abstractNum>
  <w:abstractNum w:abstractNumId="99">
    <w:nsid w:val="78DF6A55"/>
    <w:multiLevelType w:val="hybridMultilevel"/>
    <w:lvl w:ilvl="0">
      <w:lvlJc w:val="left"/>
      <w:lvlText w:val="(%1)"/>
      <w:numFmt w:val="lowerRoman"/>
      <w:start w:val="3"/>
    </w:lvl>
  </w:abstractNum>
  <w:abstractNum w:abstractNumId="100">
    <w:nsid w:val="39B7AAA2"/>
    <w:multiLevelType w:val="hybridMultilevel"/>
    <w:lvl w:ilvl="0">
      <w:lvlJc w:val="left"/>
      <w:lvlText w:val="(%1)"/>
      <w:numFmt w:val="lowerLetter"/>
      <w:start w:val="4"/>
    </w:lvl>
  </w:abstractNum>
  <w:abstractNum w:abstractNumId="101">
    <w:nsid w:val="2B0D8DBE"/>
    <w:multiLevelType w:val="hybridMultilevel"/>
    <w:lvl w:ilvl="0">
      <w:lvlJc w:val="left"/>
      <w:lvlText w:val="(%1)"/>
      <w:numFmt w:val="lowerRoman"/>
      <w:start w:val="1"/>
    </w:lvl>
  </w:abstractNum>
  <w:abstractNum w:abstractNumId="102">
    <w:nsid w:val="6C80EC70"/>
    <w:multiLevelType w:val="hybridMultilevel"/>
    <w:lvl w:ilvl="0">
      <w:lvlJc w:val="left"/>
      <w:lvlText w:val="(%1)"/>
      <w:numFmt w:val="lowerRoman"/>
      <w:start w:val="2"/>
    </w:lvl>
  </w:abstractNum>
  <w:abstractNum w:abstractNumId="103">
    <w:nsid w:val="379E21B5"/>
    <w:multiLevelType w:val="hybridMultilevel"/>
    <w:lvl w:ilvl="0">
      <w:lvlJc w:val="left"/>
      <w:lvlText w:val="(%1)"/>
      <w:numFmt w:val="lowerRoman"/>
      <w:start w:val="4"/>
    </w:lvl>
  </w:abstractNum>
  <w:abstractNum w:abstractNumId="104">
    <w:nsid w:val="69E373"/>
    <w:multiLevelType w:val="hybridMultilevel"/>
    <w:lvl w:ilvl="0">
      <w:lvlJc w:val="left"/>
      <w:lvlText w:val="%1."/>
      <w:numFmt w:val="decimal"/>
      <w:start w:val="7"/>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decimal"/>
      <w:start w:val="8"/>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decimal"/>
      <w:start w:val="9"/>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lowerLetter"/>
      <w:start w:val="6"/>
    </w:lvl>
  </w:abstractNum>
  <w:abstractNum w:abstractNumId="111">
    <w:nsid w:val="3DB012B3"/>
    <w:multiLevelType w:val="hybridMultilevel"/>
    <w:lvl w:ilvl="0">
      <w:lvlJc w:val="left"/>
      <w:lvlText w:val="(%1)"/>
      <w:numFmt w:val="lowerRoman"/>
      <w:start w:val="1"/>
    </w:lvl>
  </w:abstractNum>
  <w:abstractNum w:abstractNumId="112">
    <w:nsid w:val="2708C9AF"/>
    <w:multiLevelType w:val="hybridMultilevel"/>
    <w:lvl w:ilvl="0">
      <w:lvlJc w:val="left"/>
      <w:lvlText w:val="%1."/>
      <w:numFmt w:val="decimal"/>
      <w:start w:val="10"/>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decimal"/>
      <w:start w:val="11"/>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lowerLetter"/>
      <w:start w:val="61"/>
    </w:lvl>
  </w:abstractNum>
  <w:abstractNum w:abstractNumId="117">
    <w:nsid w:val="34FD6B4F"/>
    <w:multiLevelType w:val="hybridMultilevel"/>
    <w:lvl w:ilvl="0">
      <w:lvlJc w:val="left"/>
      <w:lvlText w:val="(%1)"/>
      <w:numFmt w:val="lowerLetter"/>
      <w:start w:val="4"/>
    </w:lvl>
  </w:abstractNum>
  <w:abstractNum w:abstractNumId="118">
    <w:nsid w:val="5915FF32"/>
    <w:multiLevelType w:val="hybridMultilevel"/>
    <w:lvl w:ilvl="0">
      <w:lvlJc w:val="left"/>
      <w:lvlText w:val="%1."/>
      <w:numFmt w:val="decimal"/>
      <w:start w:val="15"/>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lowerLetter"/>
      <w:start w:val="2"/>
    </w:lvl>
  </w:abstractNum>
  <w:abstractNum w:abstractNumId="121">
    <w:nsid w:val="2C6E4AFD"/>
    <w:multiLevelType w:val="hybridMultilevel"/>
    <w:lvl w:ilvl="0">
      <w:lvlJc w:val="left"/>
      <w:lvlText w:val="%1."/>
      <w:numFmt w:val="decimal"/>
      <w:start w:val="16"/>
    </w:lvl>
  </w:abstractNum>
  <w:abstractNum w:abstractNumId="122">
    <w:nsid w:val="17A1B582"/>
    <w:multiLevelType w:val="hybridMultilevel"/>
    <w:lvl w:ilvl="0">
      <w:lvlJc w:val="left"/>
      <w:lvlText w:val="%1."/>
      <w:numFmt w:val="decimal"/>
      <w:start w:val="19"/>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1."/>
      <w:numFmt w:val="decimal"/>
      <w:start w:val="20"/>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decimal"/>
      <w:start w:val="2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lowerRoman"/>
      <w:start w:val="1"/>
    </w:lvl>
  </w:abstractNum>
  <w:abstractNum w:abstractNumId="130">
    <w:nsid w:val="57A61A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5" Type="http://schemas.openxmlformats.org/officeDocument/2006/relationships/image" Target="media/image247.png"/><Relationship Id="rId260" Type="http://schemas.openxmlformats.org/officeDocument/2006/relationships/image" Target="media/image248.png"/><Relationship Id="rId254" Type="http://schemas.openxmlformats.org/officeDocument/2006/relationships/hyperlink" Target="https://www.sec.gov/Archives/edgar/data/1326110/000119312515275314/d158803dex31.htm" TargetMode="External"/><Relationship Id="rId256" Type="http://schemas.openxmlformats.org/officeDocument/2006/relationships/hyperlink" Target="https://www.sec.gov/Archives/edgar/data/1326110/000119312521075243/d307217dex31.htm" TargetMode="External"/><Relationship Id="rId257" Type="http://schemas.openxmlformats.org/officeDocument/2006/relationships/hyperlink" Target="https://www.sec.gov/Archives/edgar/data/1326110/000119312522061324/d283375dex33.htm" TargetMode="External"/><Relationship Id="rId258" Type="http://schemas.openxmlformats.org/officeDocument/2006/relationships/hyperlink" Target="https://www.sec.gov/Archives/edgar/data/1326110/000132611023000147/ibrx-2023930x10qexhibit34.htm" TargetMode="External"/><Relationship Id="rId259" Type="http://schemas.openxmlformats.org/officeDocument/2006/relationships/hyperlink" Target="https://www.sec.gov/Archives/edgar/data/1326110/000156459021044008/ibrx-ex32_7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2024-08-12T07:11:15Z</dcterms:created>
  <dcterms:modified xsi:type="dcterms:W3CDTF">2024-08-12T07:11:15Z</dcterms:modified>
</cp:coreProperties>
</file>