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Sachs David 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880"/>
        <w:spacing w:after="0" w:line="328" w:lineRule="auto"/>
        <w:rPr>
          <w:sz w:val="20"/>
          <w:szCs w:val="20"/>
          <w:color w:val="auto"/>
        </w:rPr>
      </w:pPr>
      <w:r>
        <w:rPr>
          <w:rFonts w:ascii="Times New Roman" w:cs="Times New Roman" w:eastAsia="Times New Roman" w:hAnsi="Times New Roman"/>
          <w:sz w:val="16"/>
          <w:szCs w:val="16"/>
          <w:color w:val="0000FF"/>
        </w:rPr>
        <w:t>C/O IMMUNITYBIO, INC. 3530 JOHN HOPKINS COURT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ImmunityBio,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IBRX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02/22/2025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3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700" w:type="dxa"/>
            <w:vAlign w:val="bottom"/>
            <w:gridSpan w:val="6"/>
          </w:tcPr>
          <w:p>
            <w:pPr>
              <w:jc w:val="center"/>
              <w:ind w:right="37"/>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28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02/22/2025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40,650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241,480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02/22/2025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15,860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3.42</w:t>
            </w:r>
            <w:r>
              <w:rPr>
                <w:rFonts w:ascii="Times New Roman" w:cs="Times New Roman" w:eastAsia="Times New Roman" w:hAnsi="Times New Roman"/>
                <w:sz w:val="21"/>
                <w:szCs w:val="21"/>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225,620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8"/>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40,650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02/22/2025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40,650</w:t>
            </w:r>
          </w:p>
        </w:tc>
        <w:tc>
          <w:tcPr>
            <w:tcW w:w="8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81,301</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ImmunityBio, Inc. (the "Issuer")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22, 2025, the Reporting Person's RSUs vested. The closing price of Immunity Bio, Inc.'s common stock on February 21, 2025 was the settlement price used to calculate the shares withheld.</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person's continuing to be a Service Provider (as defined in the Issuer's Amended and Restated 2015 Equity Incentive Plan) through each applicable vesting date, 33.33% of the shares subject to the RSU award shall vest in equal annual installments on each of the first and second anniversaries of the vesting commencement date and 33.34% of the shares subject to the RSU award shall vest on the third anniversary of the vesting commencement date, such that all shares shall be fully vested on the third anniversary of the vesting commencement date. The vesting commencement date for this RSU award is February 22, 2024.</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Jason Liljestrom, as</w:t>
            </w:r>
          </w:p>
        </w:tc>
        <w:tc>
          <w:tcPr>
            <w:tcW w:w="66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02/25/2025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8899" TargetMode="External"/><Relationship Id="rId14" Type="http://schemas.openxmlformats.org/officeDocument/2006/relationships/hyperlink" Target="http://www.sec.gov/cgi-bin/browse-edgar?action=getcompany&amp;CIK=00013261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2025-02-25T20:21:47Z</dcterms:created>
  <dcterms:modified xsi:type="dcterms:W3CDTF">2025-02-25T20:21:47Z</dcterms:modified>
</cp:coreProperties>
</file>