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SCHEDULE 13D</w:t>
      </w:r>
    </w:p>
    <w:p>
      <w:pPr>
        <w:spacing w:after="0" w:line="22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(Amendment No.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40"/>
          <w:szCs w:val="40"/>
          <w:b w:val="1"/>
          <w:bCs w:val="1"/>
          <w:color w:val="auto"/>
        </w:rPr>
        <w:t>ImmunityBio, Inc.</w:t>
      </w:r>
    </w:p>
    <w:p>
      <w:pPr>
        <w:spacing w:after="0" w:line="4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Common Stock, par value $0.0001 per share</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18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45256X103</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18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Cambridge Equities, LP</w:t>
      </w:r>
    </w:p>
    <w:p>
      <w:pPr>
        <w:spacing w:after="0" w:line="2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Attn: Charles Kenworthy</w:t>
      </w: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450 Duley Road</w:t>
      </w:r>
    </w:p>
    <w:p>
      <w:pPr>
        <w:spacing w:after="0" w:line="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El Segundo, California 90245 (310) 836-6400</w:t>
      </w:r>
    </w:p>
    <w:p>
      <w:pPr>
        <w:spacing w:after="0" w:line="203"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i w:val="1"/>
          <w:iCs w:val="1"/>
          <w:color w:val="auto"/>
        </w:rPr>
        <w:t>With a copy to:</w:t>
      </w:r>
    </w:p>
    <w:p>
      <w:pPr>
        <w:spacing w:after="0" w:line="2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Martin J. Waters</w:t>
      </w:r>
    </w:p>
    <w:p>
      <w:pPr>
        <w:spacing w:after="0" w:line="3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Thomas E. Hornish</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Wilson Sonsini Goodrich &amp; Rosati</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Professional Corporation</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12235 El Camino Real</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San Diego, California 92130</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(858) 350-2300</w:t>
      </w:r>
    </w:p>
    <w:p>
      <w:pPr>
        <w:spacing w:after="0" w:line="2"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(Name, Address and Telephone Number of Person Authorized to Receive Notices and Communications)</w:t>
      </w:r>
    </w:p>
    <w:p>
      <w:pPr>
        <w:spacing w:after="0" w:line="18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December 29, 2023</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 w:right="120"/>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154305</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43" w:lineRule="exact"/>
        <w:rPr>
          <w:sz w:val="24"/>
          <w:szCs w:val="24"/>
          <w:color w:val="auto"/>
        </w:rPr>
      </w:pPr>
    </w:p>
    <w:p>
      <w:pPr>
        <w:ind w:left="4" w:right="300"/>
        <w:spacing w:after="0" w:line="284" w:lineRule="auto"/>
        <w:rPr>
          <w:sz w:val="20"/>
          <w:szCs w:val="20"/>
          <w:color w:val="auto"/>
        </w:rPr>
      </w:pPr>
      <w:r>
        <w:rPr>
          <w:rFonts w:ascii="Times New Roman" w:cs="Times New Roman" w:eastAsia="Times New Roman" w:hAnsi="Times New Roman"/>
          <w:sz w:val="18"/>
          <w:szCs w:val="18"/>
          <w:i w:val="1"/>
          <w:iCs w:val="1"/>
          <w:color w:val="auto"/>
        </w:rPr>
        <w:t>Note</w:t>
      </w:r>
      <w:r>
        <w:rPr>
          <w:rFonts w:ascii="Times New Roman" w:cs="Times New Roman" w:eastAsia="Times New Roman" w:hAnsi="Times New Roman"/>
          <w:sz w:val="18"/>
          <w:szCs w:val="18"/>
          <w:color w:val="auto"/>
        </w:rPr>
        <w:t>. Schedules filed in paper format shall include a signed original and five copies of the schedule, including all exhibits. See Rule 13d-7 for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44450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16" w:lineRule="exact"/>
        <w:rPr>
          <w:sz w:val="24"/>
          <w:szCs w:val="24"/>
          <w:color w:val="auto"/>
        </w:rPr>
      </w:pPr>
    </w:p>
    <w:p>
      <w:pPr>
        <w:ind w:left="424" w:hanging="424"/>
        <w:spacing w:after="0" w:line="282"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ind w:left="4" w:right="20"/>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140335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183515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44"/>
          </w:cols>
          <w:pgMar w:left="436" w:top="511" w:right="519" w:bottom="1440" w:gutter="0" w:footer="0" w:header="0"/>
        </w:sectPr>
      </w:pPr>
    </w:p>
    <w:bookmarkStart w:id="1" w:name="page2"/>
    <w:bookmarkEnd w:id="1"/>
    <w:p>
      <w:pPr>
        <w:jc w:val="center"/>
        <w:ind w:right="-9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13D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CUSIP No. 45256X103</w:t>
      </w:r>
    </w:p>
    <w:p>
      <w:pPr>
        <w:spacing w:after="0" w:line="171" w:lineRule="exact"/>
        <w:rPr>
          <w:sz w:val="20"/>
          <w:szCs w:val="20"/>
          <w:color w:val="auto"/>
        </w:rPr>
      </w:pPr>
    </w:p>
    <w:p>
      <w:pPr>
        <w:ind w:left="740" w:right="7380" w:hanging="497"/>
        <w:spacing w:after="0" w:line="406" w:lineRule="auto"/>
        <w:tabs>
          <w:tab w:leader="none" w:pos="7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 Cambridge Equities, LP</w:t>
      </w:r>
    </w:p>
    <w:p>
      <w:pPr>
        <w:spacing w:after="0" w:line="1" w:lineRule="exact"/>
        <w:rPr>
          <w:rFonts w:ascii="Times New Roman" w:cs="Times New Roman" w:eastAsia="Times New Roman" w:hAnsi="Times New Roman"/>
          <w:sz w:val="18"/>
          <w:szCs w:val="18"/>
          <w:color w:val="auto"/>
        </w:rPr>
      </w:pPr>
    </w:p>
    <w:p>
      <w:pPr>
        <w:ind w:left="740" w:hanging="497"/>
        <w:spacing w:after="0"/>
        <w:tabs>
          <w:tab w:leader="none" w:pos="7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-573405</wp:posOffset>
            </wp:positionV>
            <wp:extent cx="6926580" cy="61125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6580" cy="6112510"/>
                    </a:xfrm>
                    <a:prstGeom prst="rect">
                      <a:avLst/>
                    </a:prstGeom>
                    <a:noFill/>
                  </pic:spPr>
                </pic:pic>
              </a:graphicData>
            </a:graphic>
          </wp:anchor>
        </w:drawing>
      </w:r>
    </w:p>
    <w:p>
      <w:pPr>
        <w:spacing w:after="0" w:line="2" w:lineRule="exact"/>
        <w:rPr>
          <w:sz w:val="20"/>
          <w:szCs w:val="20"/>
          <w:color w:val="auto"/>
        </w:rPr>
      </w:pPr>
    </w:p>
    <w:p>
      <w:pPr>
        <w:ind w:left="740"/>
        <w:spacing w:after="0" w:line="207" w:lineRule="exact"/>
        <w:tabs>
          <w:tab w:leader="none" w:pos="152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740" w:hanging="497"/>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rFonts w:ascii="Times New Roman" w:cs="Times New Roman" w:eastAsia="Times New Roman" w:hAnsi="Times New Roman"/>
          <w:sz w:val="18"/>
          <w:szCs w:val="18"/>
          <w:color w:val="auto"/>
        </w:rPr>
      </w:pPr>
    </w:p>
    <w:p>
      <w:pPr>
        <w:ind w:left="740" w:right="7260" w:hanging="497"/>
        <w:spacing w:after="0" w:line="406" w:lineRule="auto"/>
        <w:tabs>
          <w:tab w:leader="none" w:pos="74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 WC, AF, OO (See Item 3)</w:t>
      </w:r>
    </w:p>
    <w:p>
      <w:pPr>
        <w:spacing w:after="0" w:line="1" w:lineRule="exact"/>
        <w:rPr>
          <w:rFonts w:ascii="Times New Roman" w:cs="Times New Roman" w:eastAsia="Times New Roman" w:hAnsi="Times New Roman"/>
          <w:sz w:val="18"/>
          <w:szCs w:val="18"/>
          <w:color w:val="auto"/>
        </w:rPr>
      </w:pPr>
    </w:p>
    <w:p>
      <w:pPr>
        <w:ind w:left="740" w:hanging="497"/>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 2(d) or 2(e)</w:t>
      </w:r>
    </w:p>
    <w:p>
      <w:pPr>
        <w:spacing w:after="0" w:line="211" w:lineRule="exact"/>
        <w:rPr>
          <w:rFonts w:ascii="Times New Roman" w:cs="Times New Roman" w:eastAsia="Times New Roman" w:hAnsi="Times New Roman"/>
          <w:sz w:val="18"/>
          <w:szCs w:val="18"/>
          <w:color w:val="auto"/>
        </w:rPr>
      </w:pPr>
    </w:p>
    <w:p>
      <w:pPr>
        <w:ind w:left="74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22" w:lineRule="exact"/>
        <w:rPr>
          <w:rFonts w:ascii="Times New Roman" w:cs="Times New Roman" w:eastAsia="Times New Roman" w:hAnsi="Times New Roman"/>
          <w:sz w:val="18"/>
          <w:szCs w:val="18"/>
          <w:color w:val="auto"/>
        </w:rPr>
      </w:pPr>
    </w:p>
    <w:p>
      <w:pPr>
        <w:ind w:left="740" w:hanging="497"/>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3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Delaware</w:t>
      </w:r>
    </w:p>
    <w:p>
      <w:pPr>
        <w:spacing w:after="0" w:line="36"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1180" w:type="dxa"/>
            <w:vAlign w:val="bottom"/>
          </w:tcPr>
          <w:p>
            <w:pPr>
              <w:spacing w:after="0"/>
              <w:rPr>
                <w:sz w:val="20"/>
                <w:szCs w:val="20"/>
                <w:color w:val="auto"/>
              </w:rPr>
            </w:pPr>
          </w:p>
        </w:tc>
        <w:tc>
          <w:tcPr>
            <w:tcW w:w="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w:t>
            </w:r>
          </w:p>
        </w:tc>
        <w:tc>
          <w:tcPr>
            <w:tcW w:w="8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05"/>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560" w:type="dxa"/>
            <w:vAlign w:val="bottom"/>
          </w:tcPr>
          <w:p>
            <w:pPr>
              <w:spacing w:after="0"/>
              <w:rPr>
                <w:sz w:val="24"/>
                <w:szCs w:val="24"/>
                <w:color w:val="auto"/>
              </w:rPr>
            </w:pPr>
          </w:p>
        </w:tc>
        <w:tc>
          <w:tcPr>
            <w:tcW w:w="8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None (See Item 5)</w:t>
            </w:r>
          </w:p>
        </w:tc>
        <w:tc>
          <w:tcPr>
            <w:tcW w:w="0" w:type="dxa"/>
            <w:vAlign w:val="bottom"/>
          </w:tcPr>
          <w:p>
            <w:pPr>
              <w:spacing w:after="0"/>
              <w:rPr>
                <w:sz w:val="1"/>
                <w:szCs w:val="1"/>
                <w:color w:val="auto"/>
              </w:rPr>
            </w:pPr>
          </w:p>
        </w:tc>
      </w:tr>
      <w:tr>
        <w:trPr>
          <w:trHeight w:val="68"/>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560" w:type="dxa"/>
            <w:vAlign w:val="bottom"/>
            <w:tcBorders>
              <w:bottom w:val="single" w:sz="8" w:color="auto"/>
            </w:tcBorders>
          </w:tcPr>
          <w:p>
            <w:pPr>
              <w:spacing w:after="0"/>
              <w:rPr>
                <w:sz w:val="5"/>
                <w:szCs w:val="5"/>
                <w:color w:val="auto"/>
              </w:rPr>
            </w:pPr>
          </w:p>
        </w:tc>
        <w:tc>
          <w:tcPr>
            <w:tcW w:w="8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180" w:type="dxa"/>
            <w:vAlign w:val="bottom"/>
            <w:vMerge w:val="continue"/>
          </w:tcPr>
          <w:p>
            <w:pPr>
              <w:spacing w:after="0"/>
              <w:rPr>
                <w:sz w:val="10"/>
                <w:szCs w:val="10"/>
                <w:color w:val="auto"/>
              </w:rPr>
            </w:pPr>
          </w:p>
        </w:tc>
        <w:tc>
          <w:tcPr>
            <w:tcW w:w="5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89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BENFICIALLY</w:t>
            </w:r>
          </w:p>
        </w:tc>
        <w:tc>
          <w:tcPr>
            <w:tcW w:w="560" w:type="dxa"/>
            <w:vAlign w:val="bottom"/>
            <w:vMerge w:val="continue"/>
          </w:tcPr>
          <w:p>
            <w:pPr>
              <w:spacing w:after="0"/>
              <w:rPr>
                <w:sz w:val="9"/>
                <w:szCs w:val="9"/>
                <w:color w:val="auto"/>
              </w:rPr>
            </w:pPr>
          </w:p>
        </w:tc>
        <w:tc>
          <w:tcPr>
            <w:tcW w:w="8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18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8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560" w:type="dxa"/>
            <w:vAlign w:val="bottom"/>
          </w:tcPr>
          <w:p>
            <w:pPr>
              <w:spacing w:after="0"/>
              <w:rPr>
                <w:sz w:val="18"/>
                <w:szCs w:val="18"/>
                <w:color w:val="auto"/>
              </w:rPr>
            </w:pPr>
          </w:p>
        </w:tc>
        <w:tc>
          <w:tcPr>
            <w:tcW w:w="89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261,705,814 shares (See Item 5)</w:t>
            </w:r>
          </w:p>
        </w:tc>
        <w:tc>
          <w:tcPr>
            <w:tcW w:w="0" w:type="dxa"/>
            <w:vAlign w:val="bottom"/>
          </w:tcPr>
          <w:p>
            <w:pPr>
              <w:spacing w:after="0"/>
              <w:rPr>
                <w:sz w:val="1"/>
                <w:szCs w:val="1"/>
                <w:color w:val="auto"/>
              </w:rPr>
            </w:pPr>
          </w:p>
        </w:tc>
      </w:tr>
      <w:tr>
        <w:trPr>
          <w:trHeight w:val="120"/>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560" w:type="dxa"/>
            <w:vAlign w:val="bottom"/>
            <w:tcBorders>
              <w:bottom w:val="single" w:sz="8" w:color="auto"/>
            </w:tcBorders>
          </w:tcPr>
          <w:p>
            <w:pPr>
              <w:spacing w:after="0"/>
              <w:rPr>
                <w:sz w:val="10"/>
                <w:szCs w:val="10"/>
                <w:color w:val="auto"/>
              </w:rPr>
            </w:pPr>
          </w:p>
        </w:tc>
        <w:tc>
          <w:tcPr>
            <w:tcW w:w="89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180" w:type="dxa"/>
            <w:vAlign w:val="bottom"/>
            <w:vMerge w:val="continue"/>
          </w:tcPr>
          <w:p>
            <w:pPr>
              <w:spacing w:after="0"/>
              <w:rPr>
                <w:sz w:val="6"/>
                <w:szCs w:val="6"/>
                <w:color w:val="auto"/>
              </w:rPr>
            </w:pPr>
          </w:p>
        </w:tc>
        <w:tc>
          <w:tcPr>
            <w:tcW w:w="5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(9)</w:t>
            </w:r>
          </w:p>
        </w:tc>
        <w:tc>
          <w:tcPr>
            <w:tcW w:w="89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560" w:type="dxa"/>
            <w:vAlign w:val="bottom"/>
            <w:vMerge w:val="continue"/>
          </w:tcPr>
          <w:p>
            <w:pPr>
              <w:spacing w:after="0"/>
              <w:rPr>
                <w:sz w:val="13"/>
                <w:szCs w:val="13"/>
                <w:color w:val="auto"/>
              </w:rPr>
            </w:pPr>
          </w:p>
        </w:tc>
        <w:tc>
          <w:tcPr>
            <w:tcW w:w="8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1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560" w:type="dxa"/>
            <w:vAlign w:val="bottom"/>
          </w:tcPr>
          <w:p>
            <w:pPr>
              <w:spacing w:after="0"/>
              <w:rPr>
                <w:sz w:val="18"/>
                <w:szCs w:val="18"/>
                <w:color w:val="auto"/>
              </w:rPr>
            </w:pPr>
          </w:p>
        </w:tc>
        <w:tc>
          <w:tcPr>
            <w:tcW w:w="89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None (See Item 5)</w:t>
            </w:r>
          </w:p>
        </w:tc>
        <w:tc>
          <w:tcPr>
            <w:tcW w:w="0" w:type="dxa"/>
            <w:vAlign w:val="bottom"/>
          </w:tcPr>
          <w:p>
            <w:pPr>
              <w:spacing w:after="0"/>
              <w:rPr>
                <w:sz w:val="1"/>
                <w:szCs w:val="1"/>
                <w:color w:val="auto"/>
              </w:rPr>
            </w:pPr>
          </w:p>
        </w:tc>
      </w:tr>
      <w:tr>
        <w:trPr>
          <w:trHeight w:val="167"/>
        </w:trPr>
        <w:tc>
          <w:tcPr>
            <w:tcW w:w="1180" w:type="dxa"/>
            <w:vAlign w:val="bottom"/>
            <w:vMerge w:val="restart"/>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WITH:</w:t>
            </w:r>
          </w:p>
        </w:tc>
        <w:tc>
          <w:tcPr>
            <w:tcW w:w="560" w:type="dxa"/>
            <w:vAlign w:val="bottom"/>
          </w:tcPr>
          <w:p>
            <w:pPr>
              <w:spacing w:after="0"/>
              <w:rPr>
                <w:sz w:val="14"/>
                <w:szCs w:val="14"/>
                <w:color w:val="auto"/>
              </w:rPr>
            </w:pPr>
          </w:p>
        </w:tc>
        <w:tc>
          <w:tcPr>
            <w:tcW w:w="8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118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8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2100" w:right="6280" w:hanging="619"/>
        <w:spacing w:after="0" w:line="418" w:lineRule="auto"/>
        <w:tabs>
          <w:tab w:leader="none" w:pos="2100" w:val="left"/>
        </w:tabs>
        <w:numPr>
          <w:ilvl w:val="2"/>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261,705,814 shares (See Item 5)</w:t>
      </w:r>
    </w:p>
    <w:p>
      <w:pPr>
        <w:spacing w:after="0" w:line="1" w:lineRule="exact"/>
        <w:rPr>
          <w:rFonts w:ascii="Times New Roman" w:cs="Times New Roman" w:eastAsia="Times New Roman" w:hAnsi="Times New Roman"/>
          <w:sz w:val="17"/>
          <w:szCs w:val="17"/>
          <w:color w:val="auto"/>
        </w:rPr>
      </w:pPr>
    </w:p>
    <w:p>
      <w:pPr>
        <w:ind w:left="740" w:right="3620" w:hanging="587"/>
        <w:spacing w:after="0" w:line="406" w:lineRule="auto"/>
        <w:tabs>
          <w:tab w:leader="none" w:pos="73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261,705,814 shares (See Item 5)</w:t>
      </w:r>
    </w:p>
    <w:p>
      <w:pPr>
        <w:spacing w:after="0" w:line="1" w:lineRule="exact"/>
        <w:rPr>
          <w:rFonts w:ascii="Times New Roman" w:cs="Times New Roman" w:eastAsia="Times New Roman" w:hAnsi="Times New Roman"/>
          <w:sz w:val="18"/>
          <w:szCs w:val="18"/>
          <w:color w:val="auto"/>
        </w:rPr>
      </w:pPr>
    </w:p>
    <w:p>
      <w:pPr>
        <w:ind w:left="740" w:hanging="587"/>
        <w:spacing w:after="0"/>
        <w:tabs>
          <w:tab w:leader="none" w:pos="7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211" w:lineRule="exact"/>
        <w:rPr>
          <w:rFonts w:ascii="Times New Roman" w:cs="Times New Roman" w:eastAsia="Times New Roman" w:hAnsi="Times New Roman"/>
          <w:sz w:val="18"/>
          <w:szCs w:val="18"/>
          <w:color w:val="auto"/>
        </w:rPr>
      </w:pPr>
    </w:p>
    <w:p>
      <w:pPr>
        <w:ind w:left="74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22" w:lineRule="exact"/>
        <w:rPr>
          <w:rFonts w:ascii="Times New Roman" w:cs="Times New Roman" w:eastAsia="Times New Roman" w:hAnsi="Times New Roman"/>
          <w:sz w:val="18"/>
          <w:szCs w:val="18"/>
          <w:color w:val="auto"/>
        </w:rPr>
      </w:pPr>
    </w:p>
    <w:p>
      <w:pPr>
        <w:ind w:left="740" w:hanging="587"/>
        <w:spacing w:after="0"/>
        <w:tabs>
          <w:tab w:leader="none" w:pos="7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32" w:lineRule="exact"/>
        <w:rPr>
          <w:rFonts w:ascii="Times New Roman" w:cs="Times New Roman" w:eastAsia="Times New Roman" w:hAnsi="Times New Roman"/>
          <w:sz w:val="18"/>
          <w:szCs w:val="18"/>
          <w:color w:val="auto"/>
        </w:rPr>
      </w:pPr>
    </w:p>
    <w:p>
      <w:pPr>
        <w:ind w:left="7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39.0% (See Item 5)*</w:t>
      </w:r>
    </w:p>
    <w:p>
      <w:pPr>
        <w:spacing w:after="0" w:line="36" w:lineRule="exact"/>
        <w:rPr>
          <w:rFonts w:ascii="Times New Roman" w:cs="Times New Roman" w:eastAsia="Times New Roman" w:hAnsi="Times New Roman"/>
          <w:sz w:val="18"/>
          <w:szCs w:val="18"/>
          <w:color w:val="auto"/>
        </w:rPr>
      </w:pPr>
    </w:p>
    <w:p>
      <w:pPr>
        <w:ind w:left="740" w:hanging="587"/>
        <w:spacing w:after="0"/>
        <w:tabs>
          <w:tab w:leader="none" w:pos="7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7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79" w:lineRule="exact"/>
        <w:rPr>
          <w:rFonts w:ascii="Times New Roman" w:cs="Times New Roman" w:eastAsia="Times New Roman" w:hAnsi="Times New Roman"/>
          <w:sz w:val="18"/>
          <w:szCs w:val="18"/>
          <w:color w:val="auto"/>
        </w:rPr>
      </w:pPr>
    </w:p>
    <w:p>
      <w:pPr>
        <w:ind w:left="420" w:right="80" w:hanging="432"/>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upon (x) 261,705,814 shares of the Issuer’s Common Stock (as defined below) beneficially owned by Cambridge Equities, LP (“Cambridge Equities”), divided by (y) 670,331,089 shares of the Issuer’s Common Stock issued and outstanding, as of December 29, 2023, as provided by the Issuer.</w:t>
      </w:r>
    </w:p>
    <w:p>
      <w:pPr>
        <w:sectPr>
          <w:pgSz w:w="11900" w:h="16838" w:orient="portrait"/>
          <w:cols w:equalWidth="0" w:num="1">
            <w:col w:w="10900"/>
          </w:cols>
          <w:pgMar w:left="440" w:top="270" w:right="559" w:bottom="1440" w:gutter="0" w:footer="0" w:header="0"/>
        </w:sectPr>
      </w:pPr>
    </w:p>
    <w:bookmarkStart w:id="2" w:name="page3"/>
    <w:bookmarkEnd w:id="2"/>
    <w:p>
      <w:pPr>
        <w:jc w:val="center"/>
        <w:ind w:right="-9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13D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CUSIP No. 45256X103</w:t>
      </w:r>
    </w:p>
    <w:p>
      <w:pPr>
        <w:spacing w:after="0" w:line="171" w:lineRule="exact"/>
        <w:rPr>
          <w:sz w:val="20"/>
          <w:szCs w:val="20"/>
          <w:color w:val="auto"/>
        </w:rPr>
      </w:pPr>
    </w:p>
    <w:p>
      <w:pPr>
        <w:ind w:left="740" w:right="7380" w:hanging="497"/>
        <w:spacing w:after="0" w:line="406" w:lineRule="auto"/>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 MP 13 Ventures, LLC</w:t>
      </w:r>
    </w:p>
    <w:p>
      <w:pPr>
        <w:spacing w:after="0" w:line="1" w:lineRule="exact"/>
        <w:rPr>
          <w:rFonts w:ascii="Times New Roman" w:cs="Times New Roman" w:eastAsia="Times New Roman" w:hAnsi="Times New Roman"/>
          <w:sz w:val="18"/>
          <w:szCs w:val="18"/>
          <w:color w:val="auto"/>
        </w:rPr>
      </w:pPr>
    </w:p>
    <w:p>
      <w:pPr>
        <w:ind w:left="740" w:hanging="497"/>
        <w:spacing w:after="0"/>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-573405</wp:posOffset>
            </wp:positionV>
            <wp:extent cx="6926580" cy="6111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 w:lineRule="exact"/>
        <w:rPr>
          <w:sz w:val="20"/>
          <w:szCs w:val="20"/>
          <w:color w:val="auto"/>
        </w:rPr>
      </w:pPr>
    </w:p>
    <w:p>
      <w:pPr>
        <w:ind w:left="740"/>
        <w:spacing w:after="0" w:line="207" w:lineRule="exact"/>
        <w:tabs>
          <w:tab w:leader="none" w:pos="152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740" w:hanging="497"/>
        <w:spacing w:after="0"/>
        <w:tabs>
          <w:tab w:leader="none" w:pos="7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rFonts w:ascii="Times New Roman" w:cs="Times New Roman" w:eastAsia="Times New Roman" w:hAnsi="Times New Roman"/>
          <w:sz w:val="18"/>
          <w:szCs w:val="18"/>
          <w:color w:val="auto"/>
        </w:rPr>
      </w:pPr>
    </w:p>
    <w:p>
      <w:pPr>
        <w:ind w:left="720" w:right="7260" w:hanging="477"/>
        <w:spacing w:after="0" w:line="406" w:lineRule="auto"/>
        <w:tabs>
          <w:tab w:leader="none" w:pos="73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 AF (See Item 3)</w:t>
      </w:r>
    </w:p>
    <w:p>
      <w:pPr>
        <w:spacing w:after="0" w:line="1" w:lineRule="exact"/>
        <w:rPr>
          <w:rFonts w:ascii="Times New Roman" w:cs="Times New Roman" w:eastAsia="Times New Roman" w:hAnsi="Times New Roman"/>
          <w:sz w:val="18"/>
          <w:szCs w:val="18"/>
          <w:color w:val="auto"/>
        </w:rPr>
      </w:pPr>
    </w:p>
    <w:p>
      <w:pPr>
        <w:ind w:left="740" w:hanging="497"/>
        <w:spacing w:after="0"/>
        <w:tabs>
          <w:tab w:leader="none" w:pos="7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 2(d) or 2(e)</w:t>
      </w:r>
    </w:p>
    <w:p>
      <w:pPr>
        <w:spacing w:after="0" w:line="211" w:lineRule="exact"/>
        <w:rPr>
          <w:rFonts w:ascii="Times New Roman" w:cs="Times New Roman" w:eastAsia="Times New Roman" w:hAnsi="Times New Roman"/>
          <w:sz w:val="18"/>
          <w:szCs w:val="18"/>
          <w:color w:val="auto"/>
        </w:rPr>
      </w:pPr>
    </w:p>
    <w:p>
      <w:pPr>
        <w:ind w:left="74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22" w:lineRule="exact"/>
        <w:rPr>
          <w:rFonts w:ascii="Times New Roman" w:cs="Times New Roman" w:eastAsia="Times New Roman" w:hAnsi="Times New Roman"/>
          <w:sz w:val="18"/>
          <w:szCs w:val="18"/>
          <w:color w:val="auto"/>
        </w:rPr>
      </w:pPr>
    </w:p>
    <w:p>
      <w:pPr>
        <w:ind w:left="740" w:hanging="497"/>
        <w:spacing w:after="0"/>
        <w:tabs>
          <w:tab w:leader="none" w:pos="7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3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Delaware</w:t>
      </w:r>
    </w:p>
    <w:p>
      <w:pPr>
        <w:spacing w:after="0" w:line="36"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1180" w:type="dxa"/>
            <w:vAlign w:val="bottom"/>
          </w:tcPr>
          <w:p>
            <w:pPr>
              <w:spacing w:after="0"/>
              <w:rPr>
                <w:sz w:val="20"/>
                <w:szCs w:val="20"/>
                <w:color w:val="auto"/>
              </w:rPr>
            </w:pPr>
          </w:p>
        </w:tc>
        <w:tc>
          <w:tcPr>
            <w:tcW w:w="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w:t>
            </w:r>
          </w:p>
        </w:tc>
        <w:tc>
          <w:tcPr>
            <w:tcW w:w="8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05"/>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560" w:type="dxa"/>
            <w:vAlign w:val="bottom"/>
          </w:tcPr>
          <w:p>
            <w:pPr>
              <w:spacing w:after="0"/>
              <w:rPr>
                <w:sz w:val="24"/>
                <w:szCs w:val="24"/>
                <w:color w:val="auto"/>
              </w:rPr>
            </w:pPr>
          </w:p>
        </w:tc>
        <w:tc>
          <w:tcPr>
            <w:tcW w:w="8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None (See Item 5)</w:t>
            </w:r>
          </w:p>
        </w:tc>
        <w:tc>
          <w:tcPr>
            <w:tcW w:w="0" w:type="dxa"/>
            <w:vAlign w:val="bottom"/>
          </w:tcPr>
          <w:p>
            <w:pPr>
              <w:spacing w:after="0"/>
              <w:rPr>
                <w:sz w:val="1"/>
                <w:szCs w:val="1"/>
                <w:color w:val="auto"/>
              </w:rPr>
            </w:pPr>
          </w:p>
        </w:tc>
      </w:tr>
      <w:tr>
        <w:trPr>
          <w:trHeight w:val="68"/>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560" w:type="dxa"/>
            <w:vAlign w:val="bottom"/>
            <w:tcBorders>
              <w:bottom w:val="single" w:sz="8" w:color="auto"/>
            </w:tcBorders>
          </w:tcPr>
          <w:p>
            <w:pPr>
              <w:spacing w:after="0"/>
              <w:rPr>
                <w:sz w:val="5"/>
                <w:szCs w:val="5"/>
                <w:color w:val="auto"/>
              </w:rPr>
            </w:pPr>
          </w:p>
        </w:tc>
        <w:tc>
          <w:tcPr>
            <w:tcW w:w="8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180" w:type="dxa"/>
            <w:vAlign w:val="bottom"/>
            <w:vMerge w:val="continue"/>
          </w:tcPr>
          <w:p>
            <w:pPr>
              <w:spacing w:after="0"/>
              <w:rPr>
                <w:sz w:val="10"/>
                <w:szCs w:val="10"/>
                <w:color w:val="auto"/>
              </w:rPr>
            </w:pPr>
          </w:p>
        </w:tc>
        <w:tc>
          <w:tcPr>
            <w:tcW w:w="5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89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BENFICIALLY</w:t>
            </w:r>
          </w:p>
        </w:tc>
        <w:tc>
          <w:tcPr>
            <w:tcW w:w="560" w:type="dxa"/>
            <w:vAlign w:val="bottom"/>
            <w:vMerge w:val="continue"/>
          </w:tcPr>
          <w:p>
            <w:pPr>
              <w:spacing w:after="0"/>
              <w:rPr>
                <w:sz w:val="9"/>
                <w:szCs w:val="9"/>
                <w:color w:val="auto"/>
              </w:rPr>
            </w:pPr>
          </w:p>
        </w:tc>
        <w:tc>
          <w:tcPr>
            <w:tcW w:w="8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18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8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560" w:type="dxa"/>
            <w:vAlign w:val="bottom"/>
          </w:tcPr>
          <w:p>
            <w:pPr>
              <w:spacing w:after="0"/>
              <w:rPr>
                <w:sz w:val="18"/>
                <w:szCs w:val="18"/>
                <w:color w:val="auto"/>
              </w:rPr>
            </w:pPr>
          </w:p>
        </w:tc>
        <w:tc>
          <w:tcPr>
            <w:tcW w:w="89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261,705,814 shares (See Item 5)</w:t>
            </w:r>
          </w:p>
        </w:tc>
        <w:tc>
          <w:tcPr>
            <w:tcW w:w="0" w:type="dxa"/>
            <w:vAlign w:val="bottom"/>
          </w:tcPr>
          <w:p>
            <w:pPr>
              <w:spacing w:after="0"/>
              <w:rPr>
                <w:sz w:val="1"/>
                <w:szCs w:val="1"/>
                <w:color w:val="auto"/>
              </w:rPr>
            </w:pPr>
          </w:p>
        </w:tc>
      </w:tr>
      <w:tr>
        <w:trPr>
          <w:trHeight w:val="120"/>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560" w:type="dxa"/>
            <w:vAlign w:val="bottom"/>
            <w:tcBorders>
              <w:bottom w:val="single" w:sz="8" w:color="auto"/>
            </w:tcBorders>
          </w:tcPr>
          <w:p>
            <w:pPr>
              <w:spacing w:after="0"/>
              <w:rPr>
                <w:sz w:val="10"/>
                <w:szCs w:val="10"/>
                <w:color w:val="auto"/>
              </w:rPr>
            </w:pPr>
          </w:p>
        </w:tc>
        <w:tc>
          <w:tcPr>
            <w:tcW w:w="89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180" w:type="dxa"/>
            <w:vAlign w:val="bottom"/>
            <w:vMerge w:val="continue"/>
          </w:tcPr>
          <w:p>
            <w:pPr>
              <w:spacing w:after="0"/>
              <w:rPr>
                <w:sz w:val="6"/>
                <w:szCs w:val="6"/>
                <w:color w:val="auto"/>
              </w:rPr>
            </w:pPr>
          </w:p>
        </w:tc>
        <w:tc>
          <w:tcPr>
            <w:tcW w:w="5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(9)</w:t>
            </w:r>
          </w:p>
        </w:tc>
        <w:tc>
          <w:tcPr>
            <w:tcW w:w="89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560" w:type="dxa"/>
            <w:vAlign w:val="bottom"/>
            <w:vMerge w:val="continue"/>
          </w:tcPr>
          <w:p>
            <w:pPr>
              <w:spacing w:after="0"/>
              <w:rPr>
                <w:sz w:val="13"/>
                <w:szCs w:val="13"/>
                <w:color w:val="auto"/>
              </w:rPr>
            </w:pPr>
          </w:p>
        </w:tc>
        <w:tc>
          <w:tcPr>
            <w:tcW w:w="8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1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560" w:type="dxa"/>
            <w:vAlign w:val="bottom"/>
          </w:tcPr>
          <w:p>
            <w:pPr>
              <w:spacing w:after="0"/>
              <w:rPr>
                <w:sz w:val="18"/>
                <w:szCs w:val="18"/>
                <w:color w:val="auto"/>
              </w:rPr>
            </w:pPr>
          </w:p>
        </w:tc>
        <w:tc>
          <w:tcPr>
            <w:tcW w:w="89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None (See Item 5)</w:t>
            </w:r>
          </w:p>
        </w:tc>
        <w:tc>
          <w:tcPr>
            <w:tcW w:w="0" w:type="dxa"/>
            <w:vAlign w:val="bottom"/>
          </w:tcPr>
          <w:p>
            <w:pPr>
              <w:spacing w:after="0"/>
              <w:rPr>
                <w:sz w:val="1"/>
                <w:szCs w:val="1"/>
                <w:color w:val="auto"/>
              </w:rPr>
            </w:pPr>
          </w:p>
        </w:tc>
      </w:tr>
      <w:tr>
        <w:trPr>
          <w:trHeight w:val="167"/>
        </w:trPr>
        <w:tc>
          <w:tcPr>
            <w:tcW w:w="1180" w:type="dxa"/>
            <w:vAlign w:val="bottom"/>
            <w:vMerge w:val="restart"/>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WITH:</w:t>
            </w:r>
          </w:p>
        </w:tc>
        <w:tc>
          <w:tcPr>
            <w:tcW w:w="560" w:type="dxa"/>
            <w:vAlign w:val="bottom"/>
          </w:tcPr>
          <w:p>
            <w:pPr>
              <w:spacing w:after="0"/>
              <w:rPr>
                <w:sz w:val="14"/>
                <w:szCs w:val="14"/>
                <w:color w:val="auto"/>
              </w:rPr>
            </w:pPr>
          </w:p>
        </w:tc>
        <w:tc>
          <w:tcPr>
            <w:tcW w:w="8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118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8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2100" w:right="6280" w:hanging="619"/>
        <w:spacing w:after="0" w:line="418" w:lineRule="auto"/>
        <w:tabs>
          <w:tab w:leader="none" w:pos="2100" w:val="left"/>
        </w:tabs>
        <w:numPr>
          <w:ilvl w:val="2"/>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261,705,814 shares (See Item 5)</w:t>
      </w:r>
    </w:p>
    <w:p>
      <w:pPr>
        <w:spacing w:after="0" w:line="1" w:lineRule="exact"/>
        <w:rPr>
          <w:rFonts w:ascii="Times New Roman" w:cs="Times New Roman" w:eastAsia="Times New Roman" w:hAnsi="Times New Roman"/>
          <w:sz w:val="17"/>
          <w:szCs w:val="17"/>
          <w:color w:val="auto"/>
        </w:rPr>
      </w:pPr>
    </w:p>
    <w:p>
      <w:pPr>
        <w:ind w:left="740" w:right="3620" w:hanging="587"/>
        <w:spacing w:after="0" w:line="406" w:lineRule="auto"/>
        <w:tabs>
          <w:tab w:leader="none" w:pos="73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261,705,814 shares (See Item 5)</w:t>
      </w:r>
    </w:p>
    <w:p>
      <w:pPr>
        <w:spacing w:after="0" w:line="1" w:lineRule="exact"/>
        <w:rPr>
          <w:rFonts w:ascii="Times New Roman" w:cs="Times New Roman" w:eastAsia="Times New Roman" w:hAnsi="Times New Roman"/>
          <w:sz w:val="18"/>
          <w:szCs w:val="18"/>
          <w:color w:val="auto"/>
        </w:rPr>
      </w:pPr>
    </w:p>
    <w:p>
      <w:pPr>
        <w:ind w:left="740" w:hanging="587"/>
        <w:spacing w:after="0"/>
        <w:tabs>
          <w:tab w:leader="none" w:pos="7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211" w:lineRule="exact"/>
        <w:rPr>
          <w:rFonts w:ascii="Times New Roman" w:cs="Times New Roman" w:eastAsia="Times New Roman" w:hAnsi="Times New Roman"/>
          <w:sz w:val="18"/>
          <w:szCs w:val="18"/>
          <w:color w:val="auto"/>
        </w:rPr>
      </w:pPr>
    </w:p>
    <w:p>
      <w:pPr>
        <w:ind w:left="74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22" w:lineRule="exact"/>
        <w:rPr>
          <w:rFonts w:ascii="Times New Roman" w:cs="Times New Roman" w:eastAsia="Times New Roman" w:hAnsi="Times New Roman"/>
          <w:sz w:val="18"/>
          <w:szCs w:val="18"/>
          <w:color w:val="auto"/>
        </w:rPr>
      </w:pPr>
    </w:p>
    <w:p>
      <w:pPr>
        <w:ind w:left="740" w:hanging="587"/>
        <w:spacing w:after="0"/>
        <w:tabs>
          <w:tab w:leader="none" w:pos="7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32" w:lineRule="exact"/>
        <w:rPr>
          <w:rFonts w:ascii="Times New Roman" w:cs="Times New Roman" w:eastAsia="Times New Roman" w:hAnsi="Times New Roman"/>
          <w:sz w:val="18"/>
          <w:szCs w:val="18"/>
          <w:color w:val="auto"/>
        </w:rPr>
      </w:pPr>
    </w:p>
    <w:p>
      <w:pPr>
        <w:ind w:left="7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39.0% (See Item 5)*</w:t>
      </w:r>
    </w:p>
    <w:p>
      <w:pPr>
        <w:spacing w:after="0" w:line="36" w:lineRule="exact"/>
        <w:rPr>
          <w:rFonts w:ascii="Times New Roman" w:cs="Times New Roman" w:eastAsia="Times New Roman" w:hAnsi="Times New Roman"/>
          <w:sz w:val="18"/>
          <w:szCs w:val="18"/>
          <w:color w:val="auto"/>
        </w:rPr>
      </w:pPr>
    </w:p>
    <w:p>
      <w:pPr>
        <w:ind w:left="740" w:hanging="587"/>
        <w:spacing w:after="0"/>
        <w:tabs>
          <w:tab w:leader="none" w:pos="7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7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79" w:lineRule="exact"/>
        <w:rPr>
          <w:rFonts w:ascii="Times New Roman" w:cs="Times New Roman" w:eastAsia="Times New Roman" w:hAnsi="Times New Roman"/>
          <w:sz w:val="18"/>
          <w:szCs w:val="18"/>
          <w:color w:val="auto"/>
        </w:rPr>
      </w:pPr>
    </w:p>
    <w:p>
      <w:pPr>
        <w:ind w:left="420" w:right="100" w:hanging="432"/>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upon (x) 261,705,814 shares of the Issuer’s Common Stock held by Cambridge Equities, divided by (y) 670,331,089 shares of the Issuer’s Common Stock issued and outstanding, as of December 29, 2023, as provided by the Issuer. MP 13 Ventures, LLC (“MP 13 Ventures”) may be deemed to beneficially own, and share voting power and investment power with Cambridge Equities over, all shares of the Issuer’s Common Stock beneficially owned by Cambridge Equities.</w:t>
      </w:r>
    </w:p>
    <w:p>
      <w:pPr>
        <w:sectPr>
          <w:pgSz w:w="11900" w:h="16838" w:orient="portrait"/>
          <w:cols w:equalWidth="0" w:num="1">
            <w:col w:w="10900"/>
          </w:cols>
          <w:pgMar w:left="440" w:top="270" w:right="559" w:bottom="1440" w:gutter="0" w:footer="0" w:header="0"/>
        </w:sectPr>
      </w:pPr>
    </w:p>
    <w:bookmarkStart w:id="3" w:name="page4"/>
    <w:bookmarkEnd w:id="3"/>
    <w:p>
      <w:pPr>
        <w:jc w:val="center"/>
        <w:ind w:right="-9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13D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CUSIP No. 45256X103</w:t>
      </w:r>
    </w:p>
    <w:p>
      <w:pPr>
        <w:spacing w:after="0" w:line="171" w:lineRule="exact"/>
        <w:rPr>
          <w:sz w:val="20"/>
          <w:szCs w:val="20"/>
          <w:color w:val="auto"/>
        </w:rPr>
      </w:pPr>
    </w:p>
    <w:p>
      <w:pPr>
        <w:ind w:left="740" w:right="7380" w:hanging="497"/>
        <w:spacing w:after="0" w:line="406" w:lineRule="auto"/>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 NantWorks, LLC</w:t>
      </w:r>
    </w:p>
    <w:p>
      <w:pPr>
        <w:spacing w:after="0" w:line="1" w:lineRule="exact"/>
        <w:rPr>
          <w:rFonts w:ascii="Times New Roman" w:cs="Times New Roman" w:eastAsia="Times New Roman" w:hAnsi="Times New Roman"/>
          <w:sz w:val="18"/>
          <w:szCs w:val="18"/>
          <w:color w:val="auto"/>
        </w:rPr>
      </w:pPr>
    </w:p>
    <w:p>
      <w:pPr>
        <w:ind w:left="740" w:hanging="497"/>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-573405</wp:posOffset>
            </wp:positionV>
            <wp:extent cx="6926580" cy="61118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 w:lineRule="exact"/>
        <w:rPr>
          <w:sz w:val="20"/>
          <w:szCs w:val="20"/>
          <w:color w:val="auto"/>
        </w:rPr>
      </w:pPr>
    </w:p>
    <w:p>
      <w:pPr>
        <w:ind w:left="740"/>
        <w:spacing w:after="0" w:line="207" w:lineRule="exact"/>
        <w:tabs>
          <w:tab w:leader="none" w:pos="152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740" w:hanging="497"/>
        <w:spacing w:after="0"/>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rFonts w:ascii="Times New Roman" w:cs="Times New Roman" w:eastAsia="Times New Roman" w:hAnsi="Times New Roman"/>
          <w:sz w:val="18"/>
          <w:szCs w:val="18"/>
          <w:color w:val="auto"/>
        </w:rPr>
      </w:pPr>
    </w:p>
    <w:p>
      <w:pPr>
        <w:ind w:left="740" w:right="7260" w:hanging="497"/>
        <w:spacing w:after="0" w:line="406" w:lineRule="auto"/>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 OO (See Item 3)</w:t>
      </w:r>
    </w:p>
    <w:p>
      <w:pPr>
        <w:spacing w:after="0" w:line="1" w:lineRule="exact"/>
        <w:rPr>
          <w:rFonts w:ascii="Times New Roman" w:cs="Times New Roman" w:eastAsia="Times New Roman" w:hAnsi="Times New Roman"/>
          <w:sz w:val="18"/>
          <w:szCs w:val="18"/>
          <w:color w:val="auto"/>
        </w:rPr>
      </w:pPr>
    </w:p>
    <w:p>
      <w:pPr>
        <w:ind w:left="740" w:hanging="497"/>
        <w:spacing w:after="0"/>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 2(d) or 2(e)</w:t>
      </w:r>
    </w:p>
    <w:p>
      <w:pPr>
        <w:spacing w:after="0" w:line="211" w:lineRule="exact"/>
        <w:rPr>
          <w:rFonts w:ascii="Times New Roman" w:cs="Times New Roman" w:eastAsia="Times New Roman" w:hAnsi="Times New Roman"/>
          <w:sz w:val="18"/>
          <w:szCs w:val="18"/>
          <w:color w:val="auto"/>
        </w:rPr>
      </w:pPr>
    </w:p>
    <w:p>
      <w:pPr>
        <w:ind w:left="74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22" w:lineRule="exact"/>
        <w:rPr>
          <w:rFonts w:ascii="Times New Roman" w:cs="Times New Roman" w:eastAsia="Times New Roman" w:hAnsi="Times New Roman"/>
          <w:sz w:val="18"/>
          <w:szCs w:val="18"/>
          <w:color w:val="auto"/>
        </w:rPr>
      </w:pPr>
    </w:p>
    <w:p>
      <w:pPr>
        <w:ind w:left="740" w:hanging="497"/>
        <w:spacing w:after="0"/>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3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Delaware</w:t>
      </w:r>
    </w:p>
    <w:p>
      <w:pPr>
        <w:spacing w:after="0" w:line="36"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1180" w:type="dxa"/>
            <w:vAlign w:val="bottom"/>
          </w:tcPr>
          <w:p>
            <w:pPr>
              <w:spacing w:after="0"/>
              <w:rPr>
                <w:sz w:val="20"/>
                <w:szCs w:val="20"/>
                <w:color w:val="auto"/>
              </w:rPr>
            </w:pPr>
          </w:p>
        </w:tc>
        <w:tc>
          <w:tcPr>
            <w:tcW w:w="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w:t>
            </w:r>
          </w:p>
        </w:tc>
        <w:tc>
          <w:tcPr>
            <w:tcW w:w="8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05"/>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560" w:type="dxa"/>
            <w:vAlign w:val="bottom"/>
          </w:tcPr>
          <w:p>
            <w:pPr>
              <w:spacing w:after="0"/>
              <w:rPr>
                <w:sz w:val="24"/>
                <w:szCs w:val="24"/>
                <w:color w:val="auto"/>
              </w:rPr>
            </w:pPr>
          </w:p>
        </w:tc>
        <w:tc>
          <w:tcPr>
            <w:tcW w:w="8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None (See Item 5)</w:t>
            </w:r>
          </w:p>
        </w:tc>
        <w:tc>
          <w:tcPr>
            <w:tcW w:w="0" w:type="dxa"/>
            <w:vAlign w:val="bottom"/>
          </w:tcPr>
          <w:p>
            <w:pPr>
              <w:spacing w:after="0"/>
              <w:rPr>
                <w:sz w:val="1"/>
                <w:szCs w:val="1"/>
                <w:color w:val="auto"/>
              </w:rPr>
            </w:pPr>
          </w:p>
        </w:tc>
      </w:tr>
      <w:tr>
        <w:trPr>
          <w:trHeight w:val="68"/>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560" w:type="dxa"/>
            <w:vAlign w:val="bottom"/>
            <w:tcBorders>
              <w:bottom w:val="single" w:sz="8" w:color="auto"/>
            </w:tcBorders>
          </w:tcPr>
          <w:p>
            <w:pPr>
              <w:spacing w:after="0"/>
              <w:rPr>
                <w:sz w:val="5"/>
                <w:szCs w:val="5"/>
                <w:color w:val="auto"/>
              </w:rPr>
            </w:pPr>
          </w:p>
        </w:tc>
        <w:tc>
          <w:tcPr>
            <w:tcW w:w="8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180" w:type="dxa"/>
            <w:vAlign w:val="bottom"/>
            <w:vMerge w:val="continue"/>
          </w:tcPr>
          <w:p>
            <w:pPr>
              <w:spacing w:after="0"/>
              <w:rPr>
                <w:sz w:val="10"/>
                <w:szCs w:val="10"/>
                <w:color w:val="auto"/>
              </w:rPr>
            </w:pPr>
          </w:p>
        </w:tc>
        <w:tc>
          <w:tcPr>
            <w:tcW w:w="5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89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BENFICIALLY</w:t>
            </w:r>
          </w:p>
        </w:tc>
        <w:tc>
          <w:tcPr>
            <w:tcW w:w="560" w:type="dxa"/>
            <w:vAlign w:val="bottom"/>
            <w:vMerge w:val="continue"/>
          </w:tcPr>
          <w:p>
            <w:pPr>
              <w:spacing w:after="0"/>
              <w:rPr>
                <w:sz w:val="9"/>
                <w:szCs w:val="9"/>
                <w:color w:val="auto"/>
              </w:rPr>
            </w:pPr>
          </w:p>
        </w:tc>
        <w:tc>
          <w:tcPr>
            <w:tcW w:w="8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18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8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560" w:type="dxa"/>
            <w:vAlign w:val="bottom"/>
          </w:tcPr>
          <w:p>
            <w:pPr>
              <w:spacing w:after="0"/>
              <w:rPr>
                <w:sz w:val="18"/>
                <w:szCs w:val="18"/>
                <w:color w:val="auto"/>
              </w:rPr>
            </w:pPr>
          </w:p>
        </w:tc>
        <w:tc>
          <w:tcPr>
            <w:tcW w:w="89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98,535,253 shares (See Item 5)</w:t>
            </w:r>
          </w:p>
        </w:tc>
        <w:tc>
          <w:tcPr>
            <w:tcW w:w="0" w:type="dxa"/>
            <w:vAlign w:val="bottom"/>
          </w:tcPr>
          <w:p>
            <w:pPr>
              <w:spacing w:after="0"/>
              <w:rPr>
                <w:sz w:val="1"/>
                <w:szCs w:val="1"/>
                <w:color w:val="auto"/>
              </w:rPr>
            </w:pPr>
          </w:p>
        </w:tc>
      </w:tr>
      <w:tr>
        <w:trPr>
          <w:trHeight w:val="120"/>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560" w:type="dxa"/>
            <w:vAlign w:val="bottom"/>
            <w:tcBorders>
              <w:bottom w:val="single" w:sz="8" w:color="auto"/>
            </w:tcBorders>
          </w:tcPr>
          <w:p>
            <w:pPr>
              <w:spacing w:after="0"/>
              <w:rPr>
                <w:sz w:val="10"/>
                <w:szCs w:val="10"/>
                <w:color w:val="auto"/>
              </w:rPr>
            </w:pPr>
          </w:p>
        </w:tc>
        <w:tc>
          <w:tcPr>
            <w:tcW w:w="89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180" w:type="dxa"/>
            <w:vAlign w:val="bottom"/>
            <w:vMerge w:val="continue"/>
          </w:tcPr>
          <w:p>
            <w:pPr>
              <w:spacing w:after="0"/>
              <w:rPr>
                <w:sz w:val="6"/>
                <w:szCs w:val="6"/>
                <w:color w:val="auto"/>
              </w:rPr>
            </w:pPr>
          </w:p>
        </w:tc>
        <w:tc>
          <w:tcPr>
            <w:tcW w:w="5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(9)</w:t>
            </w:r>
          </w:p>
        </w:tc>
        <w:tc>
          <w:tcPr>
            <w:tcW w:w="89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560" w:type="dxa"/>
            <w:vAlign w:val="bottom"/>
            <w:vMerge w:val="continue"/>
          </w:tcPr>
          <w:p>
            <w:pPr>
              <w:spacing w:after="0"/>
              <w:rPr>
                <w:sz w:val="13"/>
                <w:szCs w:val="13"/>
                <w:color w:val="auto"/>
              </w:rPr>
            </w:pPr>
          </w:p>
        </w:tc>
        <w:tc>
          <w:tcPr>
            <w:tcW w:w="8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1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560" w:type="dxa"/>
            <w:vAlign w:val="bottom"/>
          </w:tcPr>
          <w:p>
            <w:pPr>
              <w:spacing w:after="0"/>
              <w:rPr>
                <w:sz w:val="18"/>
                <w:szCs w:val="18"/>
                <w:color w:val="auto"/>
              </w:rPr>
            </w:pPr>
          </w:p>
        </w:tc>
        <w:tc>
          <w:tcPr>
            <w:tcW w:w="89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None (See Item 5)</w:t>
            </w:r>
          </w:p>
        </w:tc>
        <w:tc>
          <w:tcPr>
            <w:tcW w:w="0" w:type="dxa"/>
            <w:vAlign w:val="bottom"/>
          </w:tcPr>
          <w:p>
            <w:pPr>
              <w:spacing w:after="0"/>
              <w:rPr>
                <w:sz w:val="1"/>
                <w:szCs w:val="1"/>
                <w:color w:val="auto"/>
              </w:rPr>
            </w:pPr>
          </w:p>
        </w:tc>
      </w:tr>
      <w:tr>
        <w:trPr>
          <w:trHeight w:val="167"/>
        </w:trPr>
        <w:tc>
          <w:tcPr>
            <w:tcW w:w="1180" w:type="dxa"/>
            <w:vAlign w:val="bottom"/>
            <w:vMerge w:val="restart"/>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WITH:</w:t>
            </w:r>
          </w:p>
        </w:tc>
        <w:tc>
          <w:tcPr>
            <w:tcW w:w="560" w:type="dxa"/>
            <w:vAlign w:val="bottom"/>
          </w:tcPr>
          <w:p>
            <w:pPr>
              <w:spacing w:after="0"/>
              <w:rPr>
                <w:sz w:val="14"/>
                <w:szCs w:val="14"/>
                <w:color w:val="auto"/>
              </w:rPr>
            </w:pPr>
          </w:p>
        </w:tc>
        <w:tc>
          <w:tcPr>
            <w:tcW w:w="8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118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8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2100" w:right="6280" w:hanging="619"/>
        <w:spacing w:after="0" w:line="418" w:lineRule="auto"/>
        <w:tabs>
          <w:tab w:leader="none" w:pos="2100" w:val="left"/>
        </w:tabs>
        <w:numPr>
          <w:ilvl w:val="2"/>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98,535,253 shares (See Item 5)</w:t>
      </w:r>
    </w:p>
    <w:p>
      <w:pPr>
        <w:spacing w:after="0" w:line="1" w:lineRule="exact"/>
        <w:rPr>
          <w:rFonts w:ascii="Times New Roman" w:cs="Times New Roman" w:eastAsia="Times New Roman" w:hAnsi="Times New Roman"/>
          <w:sz w:val="17"/>
          <w:szCs w:val="17"/>
          <w:color w:val="auto"/>
        </w:rPr>
      </w:pPr>
    </w:p>
    <w:p>
      <w:pPr>
        <w:ind w:left="740" w:right="3620" w:hanging="587"/>
        <w:spacing w:after="0" w:line="406" w:lineRule="auto"/>
        <w:tabs>
          <w:tab w:leader="none" w:pos="73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98,535,253 shares (See Item 5)</w:t>
      </w:r>
    </w:p>
    <w:p>
      <w:pPr>
        <w:spacing w:after="0" w:line="1" w:lineRule="exact"/>
        <w:rPr>
          <w:rFonts w:ascii="Times New Roman" w:cs="Times New Roman" w:eastAsia="Times New Roman" w:hAnsi="Times New Roman"/>
          <w:sz w:val="18"/>
          <w:szCs w:val="18"/>
          <w:color w:val="auto"/>
        </w:rPr>
      </w:pPr>
    </w:p>
    <w:p>
      <w:pPr>
        <w:ind w:left="740" w:hanging="587"/>
        <w:spacing w:after="0"/>
        <w:tabs>
          <w:tab w:leader="none" w:pos="7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211" w:lineRule="exact"/>
        <w:rPr>
          <w:rFonts w:ascii="Times New Roman" w:cs="Times New Roman" w:eastAsia="Times New Roman" w:hAnsi="Times New Roman"/>
          <w:sz w:val="18"/>
          <w:szCs w:val="18"/>
          <w:color w:val="auto"/>
        </w:rPr>
      </w:pPr>
    </w:p>
    <w:p>
      <w:pPr>
        <w:ind w:left="74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22" w:lineRule="exact"/>
        <w:rPr>
          <w:rFonts w:ascii="Times New Roman" w:cs="Times New Roman" w:eastAsia="Times New Roman" w:hAnsi="Times New Roman"/>
          <w:sz w:val="18"/>
          <w:szCs w:val="18"/>
          <w:color w:val="auto"/>
        </w:rPr>
      </w:pPr>
    </w:p>
    <w:p>
      <w:pPr>
        <w:ind w:left="740" w:hanging="587"/>
        <w:spacing w:after="0"/>
        <w:tabs>
          <w:tab w:leader="none" w:pos="7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32" w:lineRule="exact"/>
        <w:rPr>
          <w:rFonts w:ascii="Times New Roman" w:cs="Times New Roman" w:eastAsia="Times New Roman" w:hAnsi="Times New Roman"/>
          <w:sz w:val="18"/>
          <w:szCs w:val="18"/>
          <w:color w:val="auto"/>
        </w:rPr>
      </w:pPr>
    </w:p>
    <w:p>
      <w:pPr>
        <w:ind w:left="7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14.7% (See Item 5)*</w:t>
      </w:r>
    </w:p>
    <w:p>
      <w:pPr>
        <w:spacing w:after="0" w:line="36" w:lineRule="exact"/>
        <w:rPr>
          <w:rFonts w:ascii="Times New Roman" w:cs="Times New Roman" w:eastAsia="Times New Roman" w:hAnsi="Times New Roman"/>
          <w:sz w:val="18"/>
          <w:szCs w:val="18"/>
          <w:color w:val="auto"/>
        </w:rPr>
      </w:pPr>
    </w:p>
    <w:p>
      <w:pPr>
        <w:ind w:left="740" w:hanging="587"/>
        <w:spacing w:after="0"/>
        <w:tabs>
          <w:tab w:leader="none" w:pos="7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7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79" w:lineRule="exact"/>
        <w:rPr>
          <w:rFonts w:ascii="Times New Roman" w:cs="Times New Roman" w:eastAsia="Times New Roman" w:hAnsi="Times New Roman"/>
          <w:sz w:val="18"/>
          <w:szCs w:val="18"/>
          <w:color w:val="auto"/>
        </w:rPr>
      </w:pPr>
    </w:p>
    <w:p>
      <w:pPr>
        <w:ind w:left="420" w:hanging="432"/>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upon (x) the sum of (i) 9,986,920 shares of the Issuer’s Common Stock held by NantWorks, LLC (“NantWorks”); (ii) 8,383,414 shares of the Issuer’s Common Stock held by NantBio, Inc. (“NantBio”); (iii) 47,557,934 shares of the Issuer’s Common Stock held by NantMobile, LLC (“NantMobile”); and (iv) 32,606,985 shares of the Issuer’s Common Stock held by NantCancerStemCell, LLC (“NantCancerStemCell”) divided by (y) 670,331,089 shares of the Issuer’s Common Stock issued and outstanding, as of December 29, 2023, as provided by the Issuer. NantBio, NantMobile and NantCancerStemCell are majority-owned subsidiaries of NantWorks and NantWorks shares voting and dispositive power over the shares beneficially owned by NantBio, NantMobile and NantCancerStemCell. NantWorks disclaims beneficial ownership of the shares of the Issuer’s Common Stock beneficially owned by NantBio, NantMobile and NantCancerStemCell except to the extent of their pecuniary interest.</w:t>
      </w:r>
    </w:p>
    <w:p>
      <w:pPr>
        <w:sectPr>
          <w:pgSz w:w="11900" w:h="16838" w:orient="portrait"/>
          <w:cols w:equalWidth="0" w:num="1">
            <w:col w:w="10900"/>
          </w:cols>
          <w:pgMar w:left="440" w:top="270" w:right="559" w:bottom="1440" w:gutter="0" w:footer="0" w:header="0"/>
        </w:sectPr>
      </w:pPr>
    </w:p>
    <w:bookmarkStart w:id="4" w:name="page5"/>
    <w:bookmarkEnd w:id="4"/>
    <w:p>
      <w:pPr>
        <w:jc w:val="center"/>
        <w:ind w:right="-9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13D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CUSIP No. 45256X103</w:t>
      </w:r>
    </w:p>
    <w:p>
      <w:pPr>
        <w:spacing w:after="0" w:line="171" w:lineRule="exact"/>
        <w:rPr>
          <w:sz w:val="20"/>
          <w:szCs w:val="20"/>
          <w:color w:val="auto"/>
        </w:rPr>
      </w:pPr>
    </w:p>
    <w:p>
      <w:pPr>
        <w:ind w:left="760" w:right="7360" w:hanging="517"/>
        <w:spacing w:after="0" w:line="406"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 NantMobile, LLC</w:t>
      </w:r>
    </w:p>
    <w:p>
      <w:pPr>
        <w:spacing w:after="0" w:line="1" w:lineRule="exact"/>
        <w:rPr>
          <w:rFonts w:ascii="Times New Roman" w:cs="Times New Roman" w:eastAsia="Times New Roman" w:hAnsi="Times New Roman"/>
          <w:sz w:val="18"/>
          <w:szCs w:val="18"/>
          <w:color w:val="auto"/>
        </w:rPr>
      </w:pPr>
    </w:p>
    <w:p>
      <w:pPr>
        <w:ind w:left="760" w:hanging="517"/>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-573405</wp:posOffset>
            </wp:positionV>
            <wp:extent cx="6926580" cy="61118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 w:lineRule="exact"/>
        <w:rPr>
          <w:sz w:val="20"/>
          <w:szCs w:val="20"/>
          <w:color w:val="auto"/>
        </w:rPr>
      </w:pPr>
    </w:p>
    <w:p>
      <w:pPr>
        <w:ind w:left="760"/>
        <w:spacing w:after="0" w:line="207" w:lineRule="exact"/>
        <w:tabs>
          <w:tab w:leader="none" w:pos="156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760" w:hanging="517"/>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rFonts w:ascii="Times New Roman" w:cs="Times New Roman" w:eastAsia="Times New Roman" w:hAnsi="Times New Roman"/>
          <w:sz w:val="18"/>
          <w:szCs w:val="18"/>
          <w:color w:val="auto"/>
        </w:rPr>
      </w:pPr>
    </w:p>
    <w:p>
      <w:pPr>
        <w:ind w:left="760" w:right="7240" w:hanging="517"/>
        <w:spacing w:after="0" w:line="406"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 OO (See Item 3)</w:t>
      </w:r>
    </w:p>
    <w:p>
      <w:pPr>
        <w:spacing w:after="0" w:line="1" w:lineRule="exact"/>
        <w:rPr>
          <w:rFonts w:ascii="Times New Roman" w:cs="Times New Roman" w:eastAsia="Times New Roman" w:hAnsi="Times New Roman"/>
          <w:sz w:val="18"/>
          <w:szCs w:val="18"/>
          <w:color w:val="auto"/>
        </w:rPr>
      </w:pPr>
    </w:p>
    <w:p>
      <w:pPr>
        <w:ind w:left="760" w:hanging="517"/>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 2(d) or 2(e)</w:t>
      </w:r>
    </w:p>
    <w:p>
      <w:pPr>
        <w:spacing w:after="0" w:line="211" w:lineRule="exact"/>
        <w:rPr>
          <w:rFonts w:ascii="Times New Roman" w:cs="Times New Roman" w:eastAsia="Times New Roman" w:hAnsi="Times New Roman"/>
          <w:sz w:val="18"/>
          <w:szCs w:val="18"/>
          <w:color w:val="auto"/>
        </w:rPr>
      </w:pPr>
    </w:p>
    <w:p>
      <w:pPr>
        <w:ind w:left="76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22" w:lineRule="exact"/>
        <w:rPr>
          <w:rFonts w:ascii="Times New Roman" w:cs="Times New Roman" w:eastAsia="Times New Roman" w:hAnsi="Times New Roman"/>
          <w:sz w:val="18"/>
          <w:szCs w:val="18"/>
          <w:color w:val="auto"/>
        </w:rPr>
      </w:pPr>
    </w:p>
    <w:p>
      <w:pPr>
        <w:ind w:left="760" w:hanging="517"/>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Delaware</w:t>
      </w:r>
    </w:p>
    <w:p>
      <w:pPr>
        <w:spacing w:after="0" w:line="36"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1200" w:type="dxa"/>
            <w:vAlign w:val="bottom"/>
          </w:tcPr>
          <w:p>
            <w:pPr>
              <w:spacing w:after="0"/>
              <w:rPr>
                <w:sz w:val="20"/>
                <w:szCs w:val="20"/>
                <w:color w:val="auto"/>
              </w:rPr>
            </w:pPr>
          </w:p>
        </w:tc>
        <w:tc>
          <w:tcPr>
            <w:tcW w:w="5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w:t>
            </w:r>
          </w:p>
        </w:tc>
        <w:tc>
          <w:tcPr>
            <w:tcW w:w="8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05"/>
        </w:trPr>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580" w:type="dxa"/>
            <w:vAlign w:val="bottom"/>
          </w:tcPr>
          <w:p>
            <w:pPr>
              <w:spacing w:after="0"/>
              <w:rPr>
                <w:sz w:val="24"/>
                <w:szCs w:val="24"/>
                <w:color w:val="auto"/>
              </w:rPr>
            </w:pPr>
          </w:p>
        </w:tc>
        <w:tc>
          <w:tcPr>
            <w:tcW w:w="8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None (See Item 5)</w:t>
            </w:r>
          </w:p>
        </w:tc>
        <w:tc>
          <w:tcPr>
            <w:tcW w:w="0" w:type="dxa"/>
            <w:vAlign w:val="bottom"/>
          </w:tcPr>
          <w:p>
            <w:pPr>
              <w:spacing w:after="0"/>
              <w:rPr>
                <w:sz w:val="1"/>
                <w:szCs w:val="1"/>
                <w:color w:val="auto"/>
              </w:rPr>
            </w:pPr>
          </w:p>
        </w:tc>
      </w:tr>
      <w:tr>
        <w:trPr>
          <w:trHeight w:val="68"/>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580" w:type="dxa"/>
            <w:vAlign w:val="bottom"/>
            <w:tcBorders>
              <w:bottom w:val="single" w:sz="8" w:color="auto"/>
            </w:tcBorders>
          </w:tcPr>
          <w:p>
            <w:pPr>
              <w:spacing w:after="0"/>
              <w:rPr>
                <w:sz w:val="5"/>
                <w:szCs w:val="5"/>
                <w:color w:val="auto"/>
              </w:rPr>
            </w:pPr>
          </w:p>
        </w:tc>
        <w:tc>
          <w:tcPr>
            <w:tcW w:w="89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200" w:type="dxa"/>
            <w:vAlign w:val="bottom"/>
            <w:vMerge w:val="continue"/>
          </w:tcPr>
          <w:p>
            <w:pPr>
              <w:spacing w:after="0"/>
              <w:rPr>
                <w:sz w:val="10"/>
                <w:szCs w:val="10"/>
                <w:color w:val="auto"/>
              </w:rPr>
            </w:pPr>
          </w:p>
        </w:tc>
        <w:tc>
          <w:tcPr>
            <w:tcW w:w="5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890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BENFICIALLY</w:t>
            </w:r>
          </w:p>
        </w:tc>
        <w:tc>
          <w:tcPr>
            <w:tcW w:w="580" w:type="dxa"/>
            <w:vAlign w:val="bottom"/>
            <w:vMerge w:val="continue"/>
          </w:tcPr>
          <w:p>
            <w:pPr>
              <w:spacing w:after="0"/>
              <w:rPr>
                <w:sz w:val="9"/>
                <w:szCs w:val="9"/>
                <w:color w:val="auto"/>
              </w:rPr>
            </w:pPr>
          </w:p>
        </w:tc>
        <w:tc>
          <w:tcPr>
            <w:tcW w:w="8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20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8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580" w:type="dxa"/>
            <w:vAlign w:val="bottom"/>
          </w:tcPr>
          <w:p>
            <w:pPr>
              <w:spacing w:after="0"/>
              <w:rPr>
                <w:sz w:val="18"/>
                <w:szCs w:val="18"/>
                <w:color w:val="auto"/>
              </w:rPr>
            </w:pPr>
          </w:p>
        </w:tc>
        <w:tc>
          <w:tcPr>
            <w:tcW w:w="890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47,557,934 shares (See Item 5)</w:t>
            </w:r>
          </w:p>
        </w:tc>
        <w:tc>
          <w:tcPr>
            <w:tcW w:w="0" w:type="dxa"/>
            <w:vAlign w:val="bottom"/>
          </w:tcPr>
          <w:p>
            <w:pPr>
              <w:spacing w:after="0"/>
              <w:rPr>
                <w:sz w:val="1"/>
                <w:szCs w:val="1"/>
                <w:color w:val="auto"/>
              </w:rPr>
            </w:pPr>
          </w:p>
        </w:tc>
      </w:tr>
      <w:tr>
        <w:trPr>
          <w:trHeight w:val="120"/>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EACH</w:t>
            </w:r>
          </w:p>
        </w:tc>
        <w:tc>
          <w:tcPr>
            <w:tcW w:w="580" w:type="dxa"/>
            <w:vAlign w:val="bottom"/>
            <w:tcBorders>
              <w:bottom w:val="single" w:sz="8" w:color="auto"/>
            </w:tcBorders>
          </w:tcPr>
          <w:p>
            <w:pPr>
              <w:spacing w:after="0"/>
              <w:rPr>
                <w:sz w:val="10"/>
                <w:szCs w:val="10"/>
                <w:color w:val="auto"/>
              </w:rPr>
            </w:pPr>
          </w:p>
        </w:tc>
        <w:tc>
          <w:tcPr>
            <w:tcW w:w="89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200" w:type="dxa"/>
            <w:vAlign w:val="bottom"/>
            <w:vMerge w:val="continue"/>
          </w:tcPr>
          <w:p>
            <w:pPr>
              <w:spacing w:after="0"/>
              <w:rPr>
                <w:sz w:val="6"/>
                <w:szCs w:val="6"/>
                <w:color w:val="auto"/>
              </w:rPr>
            </w:pPr>
          </w:p>
        </w:tc>
        <w:tc>
          <w:tcPr>
            <w:tcW w:w="5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(9)</w:t>
            </w:r>
          </w:p>
        </w:tc>
        <w:tc>
          <w:tcPr>
            <w:tcW w:w="890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REPORTING</w:t>
            </w:r>
          </w:p>
        </w:tc>
        <w:tc>
          <w:tcPr>
            <w:tcW w:w="580" w:type="dxa"/>
            <w:vAlign w:val="bottom"/>
            <w:vMerge w:val="continue"/>
          </w:tcPr>
          <w:p>
            <w:pPr>
              <w:spacing w:after="0"/>
              <w:rPr>
                <w:sz w:val="13"/>
                <w:szCs w:val="13"/>
                <w:color w:val="auto"/>
              </w:rPr>
            </w:pPr>
          </w:p>
        </w:tc>
        <w:tc>
          <w:tcPr>
            <w:tcW w:w="8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20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580" w:type="dxa"/>
            <w:vAlign w:val="bottom"/>
          </w:tcPr>
          <w:p>
            <w:pPr>
              <w:spacing w:after="0"/>
              <w:rPr>
                <w:sz w:val="18"/>
                <w:szCs w:val="18"/>
                <w:color w:val="auto"/>
              </w:rPr>
            </w:pPr>
          </w:p>
        </w:tc>
        <w:tc>
          <w:tcPr>
            <w:tcW w:w="890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None (See Item 5)</w:t>
            </w:r>
          </w:p>
        </w:tc>
        <w:tc>
          <w:tcPr>
            <w:tcW w:w="0" w:type="dxa"/>
            <w:vAlign w:val="bottom"/>
          </w:tcPr>
          <w:p>
            <w:pPr>
              <w:spacing w:after="0"/>
              <w:rPr>
                <w:sz w:val="1"/>
                <w:szCs w:val="1"/>
                <w:color w:val="auto"/>
              </w:rPr>
            </w:pPr>
          </w:p>
        </w:tc>
      </w:tr>
      <w:tr>
        <w:trPr>
          <w:trHeight w:val="167"/>
        </w:trPr>
        <w:tc>
          <w:tcPr>
            <w:tcW w:w="1200" w:type="dxa"/>
            <w:vAlign w:val="bottom"/>
            <w:vMerge w:val="restart"/>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WITH:</w:t>
            </w:r>
          </w:p>
        </w:tc>
        <w:tc>
          <w:tcPr>
            <w:tcW w:w="580" w:type="dxa"/>
            <w:vAlign w:val="bottom"/>
          </w:tcPr>
          <w:p>
            <w:pPr>
              <w:spacing w:after="0"/>
              <w:rPr>
                <w:sz w:val="14"/>
                <w:szCs w:val="14"/>
                <w:color w:val="auto"/>
              </w:rPr>
            </w:pPr>
          </w:p>
        </w:tc>
        <w:tc>
          <w:tcPr>
            <w:tcW w:w="8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1200" w:type="dxa"/>
            <w:vAlign w:val="bottom"/>
            <w:vMerge w:val="continue"/>
          </w:tcPr>
          <w:p>
            <w:pPr>
              <w:spacing w:after="0"/>
              <w:rPr>
                <w:sz w:val="2"/>
                <w:szCs w:val="2"/>
                <w:color w:val="auto"/>
              </w:rPr>
            </w:pPr>
          </w:p>
        </w:tc>
        <w:tc>
          <w:tcPr>
            <w:tcW w:w="580" w:type="dxa"/>
            <w:vAlign w:val="bottom"/>
          </w:tcPr>
          <w:p>
            <w:pPr>
              <w:spacing w:after="0"/>
              <w:rPr>
                <w:sz w:val="2"/>
                <w:szCs w:val="2"/>
                <w:color w:val="auto"/>
              </w:rPr>
            </w:pPr>
          </w:p>
        </w:tc>
        <w:tc>
          <w:tcPr>
            <w:tcW w:w="8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2160" w:right="6220" w:hanging="625"/>
        <w:spacing w:after="0" w:line="418" w:lineRule="auto"/>
        <w:tabs>
          <w:tab w:leader="none" w:pos="2160" w:val="left"/>
        </w:tabs>
        <w:numPr>
          <w:ilvl w:val="2"/>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47,557,934 shares (See Item 5)</w:t>
      </w:r>
    </w:p>
    <w:p>
      <w:pPr>
        <w:spacing w:after="0" w:line="1" w:lineRule="exact"/>
        <w:rPr>
          <w:rFonts w:ascii="Times New Roman" w:cs="Times New Roman" w:eastAsia="Times New Roman" w:hAnsi="Times New Roman"/>
          <w:sz w:val="17"/>
          <w:szCs w:val="17"/>
          <w:color w:val="auto"/>
        </w:rPr>
      </w:pPr>
    </w:p>
    <w:p>
      <w:pPr>
        <w:ind w:left="760" w:right="3600" w:hanging="607"/>
        <w:spacing w:after="0" w:line="406" w:lineRule="auto"/>
        <w:tabs>
          <w:tab w:leader="none" w:pos="75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47,557,934 shares (See Item 5)</w:t>
      </w:r>
    </w:p>
    <w:p>
      <w:pPr>
        <w:spacing w:after="0" w:line="1" w:lineRule="exact"/>
        <w:rPr>
          <w:rFonts w:ascii="Times New Roman" w:cs="Times New Roman" w:eastAsia="Times New Roman" w:hAnsi="Times New Roman"/>
          <w:sz w:val="18"/>
          <w:szCs w:val="18"/>
          <w:color w:val="auto"/>
        </w:rPr>
      </w:pPr>
    </w:p>
    <w:p>
      <w:pPr>
        <w:ind w:left="760" w:hanging="607"/>
        <w:spacing w:after="0"/>
        <w:tabs>
          <w:tab w:leader="none" w:pos="7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211" w:lineRule="exact"/>
        <w:rPr>
          <w:rFonts w:ascii="Times New Roman" w:cs="Times New Roman" w:eastAsia="Times New Roman" w:hAnsi="Times New Roman"/>
          <w:sz w:val="18"/>
          <w:szCs w:val="18"/>
          <w:color w:val="auto"/>
        </w:rPr>
      </w:pPr>
    </w:p>
    <w:p>
      <w:pPr>
        <w:ind w:left="76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22" w:lineRule="exact"/>
        <w:rPr>
          <w:rFonts w:ascii="Times New Roman" w:cs="Times New Roman" w:eastAsia="Times New Roman" w:hAnsi="Times New Roman"/>
          <w:sz w:val="18"/>
          <w:szCs w:val="18"/>
          <w:color w:val="auto"/>
        </w:rPr>
      </w:pPr>
    </w:p>
    <w:p>
      <w:pPr>
        <w:ind w:left="760" w:hanging="607"/>
        <w:spacing w:after="0"/>
        <w:tabs>
          <w:tab w:leader="none" w:pos="7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32" w:lineRule="exact"/>
        <w:rPr>
          <w:rFonts w:ascii="Times New Roman" w:cs="Times New Roman" w:eastAsia="Times New Roman" w:hAnsi="Times New Roman"/>
          <w:sz w:val="18"/>
          <w:szCs w:val="18"/>
          <w:color w:val="auto"/>
        </w:rPr>
      </w:pP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7.1% (See Item 5)*</w:t>
      </w:r>
    </w:p>
    <w:p>
      <w:pPr>
        <w:spacing w:after="0" w:line="36" w:lineRule="exact"/>
        <w:rPr>
          <w:rFonts w:ascii="Times New Roman" w:cs="Times New Roman" w:eastAsia="Times New Roman" w:hAnsi="Times New Roman"/>
          <w:sz w:val="18"/>
          <w:szCs w:val="18"/>
          <w:color w:val="auto"/>
        </w:rPr>
      </w:pPr>
    </w:p>
    <w:p>
      <w:pPr>
        <w:ind w:left="760" w:hanging="607"/>
        <w:spacing w:after="0"/>
        <w:tabs>
          <w:tab w:leader="none" w:pos="7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79" w:lineRule="exact"/>
        <w:rPr>
          <w:rFonts w:ascii="Times New Roman" w:cs="Times New Roman" w:eastAsia="Times New Roman" w:hAnsi="Times New Roman"/>
          <w:sz w:val="18"/>
          <w:szCs w:val="18"/>
          <w:color w:val="auto"/>
        </w:rPr>
      </w:pPr>
    </w:p>
    <w:p>
      <w:pPr>
        <w:ind w:left="420" w:right="200" w:hanging="432"/>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upon (x) 47,557,934 shares of the Issuer’s Common Stock held by NantMobile divided by (y) 670,331,089 shares of the Issuer’s Common Stock issued and outstanding, as of December 29, 2023, as provided by the Issuer.</w:t>
      </w:r>
    </w:p>
    <w:p>
      <w:pPr>
        <w:sectPr>
          <w:pgSz w:w="11900" w:h="16838" w:orient="portrait"/>
          <w:cols w:equalWidth="0" w:num="1">
            <w:col w:w="10900"/>
          </w:cols>
          <w:pgMar w:left="440" w:top="270" w:right="559" w:bottom="1440" w:gutter="0" w:footer="0" w:header="0"/>
        </w:sectPr>
      </w:pPr>
    </w:p>
    <w:bookmarkStart w:id="5" w:name="page6"/>
    <w:bookmarkEnd w:id="5"/>
    <w:p>
      <w:pPr>
        <w:jc w:val="center"/>
        <w:ind w:right="-9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13D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CUSIP No. 45256X103</w:t>
      </w:r>
    </w:p>
    <w:p>
      <w:pPr>
        <w:spacing w:after="0" w:line="171" w:lineRule="exact"/>
        <w:rPr>
          <w:sz w:val="20"/>
          <w:szCs w:val="20"/>
          <w:color w:val="auto"/>
        </w:rPr>
      </w:pPr>
    </w:p>
    <w:p>
      <w:pPr>
        <w:ind w:left="740" w:right="7380" w:hanging="497"/>
        <w:spacing w:after="0" w:line="406" w:lineRule="auto"/>
        <w:tabs>
          <w:tab w:leader="none" w:pos="7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 Nant Capital, LLC</w:t>
      </w:r>
    </w:p>
    <w:p>
      <w:pPr>
        <w:spacing w:after="0" w:line="1" w:lineRule="exact"/>
        <w:rPr>
          <w:rFonts w:ascii="Times New Roman" w:cs="Times New Roman" w:eastAsia="Times New Roman" w:hAnsi="Times New Roman"/>
          <w:sz w:val="18"/>
          <w:szCs w:val="18"/>
          <w:color w:val="auto"/>
        </w:rPr>
      </w:pPr>
    </w:p>
    <w:p>
      <w:pPr>
        <w:ind w:left="740" w:hanging="497"/>
        <w:spacing w:after="0"/>
        <w:tabs>
          <w:tab w:leader="none" w:pos="7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-573405</wp:posOffset>
            </wp:positionV>
            <wp:extent cx="6926580" cy="61118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 w:lineRule="exact"/>
        <w:rPr>
          <w:sz w:val="20"/>
          <w:szCs w:val="20"/>
          <w:color w:val="auto"/>
        </w:rPr>
      </w:pPr>
    </w:p>
    <w:p>
      <w:pPr>
        <w:ind w:left="740"/>
        <w:spacing w:after="0" w:line="207" w:lineRule="exact"/>
        <w:tabs>
          <w:tab w:leader="none" w:pos="152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740" w:hanging="497"/>
        <w:spacing w:after="0"/>
        <w:tabs>
          <w:tab w:leader="none" w:pos="7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rFonts w:ascii="Times New Roman" w:cs="Times New Roman" w:eastAsia="Times New Roman" w:hAnsi="Times New Roman"/>
          <w:sz w:val="18"/>
          <w:szCs w:val="18"/>
          <w:color w:val="auto"/>
        </w:rPr>
      </w:pPr>
    </w:p>
    <w:p>
      <w:pPr>
        <w:ind w:left="740" w:right="7260" w:hanging="497"/>
        <w:spacing w:after="0" w:line="406" w:lineRule="auto"/>
        <w:tabs>
          <w:tab w:leader="none" w:pos="7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 OO (See Item 3)</w:t>
      </w:r>
    </w:p>
    <w:p>
      <w:pPr>
        <w:spacing w:after="0" w:line="1" w:lineRule="exact"/>
        <w:rPr>
          <w:rFonts w:ascii="Times New Roman" w:cs="Times New Roman" w:eastAsia="Times New Roman" w:hAnsi="Times New Roman"/>
          <w:sz w:val="18"/>
          <w:szCs w:val="18"/>
          <w:color w:val="auto"/>
        </w:rPr>
      </w:pPr>
    </w:p>
    <w:p>
      <w:pPr>
        <w:ind w:left="740" w:hanging="497"/>
        <w:spacing w:after="0"/>
        <w:tabs>
          <w:tab w:leader="none" w:pos="7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 2(d) or 2(e)</w:t>
      </w:r>
    </w:p>
    <w:p>
      <w:pPr>
        <w:spacing w:after="0" w:line="211" w:lineRule="exact"/>
        <w:rPr>
          <w:rFonts w:ascii="Times New Roman" w:cs="Times New Roman" w:eastAsia="Times New Roman" w:hAnsi="Times New Roman"/>
          <w:sz w:val="18"/>
          <w:szCs w:val="18"/>
          <w:color w:val="auto"/>
        </w:rPr>
      </w:pPr>
    </w:p>
    <w:p>
      <w:pPr>
        <w:ind w:left="74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22" w:lineRule="exact"/>
        <w:rPr>
          <w:rFonts w:ascii="Times New Roman" w:cs="Times New Roman" w:eastAsia="Times New Roman" w:hAnsi="Times New Roman"/>
          <w:sz w:val="18"/>
          <w:szCs w:val="18"/>
          <w:color w:val="auto"/>
        </w:rPr>
      </w:pPr>
    </w:p>
    <w:p>
      <w:pPr>
        <w:ind w:left="740" w:hanging="497"/>
        <w:spacing w:after="0"/>
        <w:tabs>
          <w:tab w:leader="none" w:pos="7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3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Delaware</w:t>
      </w:r>
    </w:p>
    <w:p>
      <w:pPr>
        <w:spacing w:after="0" w:line="36"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1180" w:type="dxa"/>
            <w:vAlign w:val="bottom"/>
          </w:tcPr>
          <w:p>
            <w:pPr>
              <w:spacing w:after="0"/>
              <w:rPr>
                <w:sz w:val="20"/>
                <w:szCs w:val="20"/>
                <w:color w:val="auto"/>
              </w:rPr>
            </w:pPr>
          </w:p>
        </w:tc>
        <w:tc>
          <w:tcPr>
            <w:tcW w:w="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w:t>
            </w:r>
          </w:p>
        </w:tc>
        <w:tc>
          <w:tcPr>
            <w:tcW w:w="8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05"/>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560" w:type="dxa"/>
            <w:vAlign w:val="bottom"/>
          </w:tcPr>
          <w:p>
            <w:pPr>
              <w:spacing w:after="0"/>
              <w:rPr>
                <w:sz w:val="24"/>
                <w:szCs w:val="24"/>
                <w:color w:val="auto"/>
              </w:rPr>
            </w:pPr>
          </w:p>
        </w:tc>
        <w:tc>
          <w:tcPr>
            <w:tcW w:w="8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None (See Item 5)</w:t>
            </w:r>
          </w:p>
        </w:tc>
        <w:tc>
          <w:tcPr>
            <w:tcW w:w="0" w:type="dxa"/>
            <w:vAlign w:val="bottom"/>
          </w:tcPr>
          <w:p>
            <w:pPr>
              <w:spacing w:after="0"/>
              <w:rPr>
                <w:sz w:val="1"/>
                <w:szCs w:val="1"/>
                <w:color w:val="auto"/>
              </w:rPr>
            </w:pPr>
          </w:p>
        </w:tc>
      </w:tr>
      <w:tr>
        <w:trPr>
          <w:trHeight w:val="68"/>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560" w:type="dxa"/>
            <w:vAlign w:val="bottom"/>
            <w:tcBorders>
              <w:bottom w:val="single" w:sz="8" w:color="auto"/>
            </w:tcBorders>
          </w:tcPr>
          <w:p>
            <w:pPr>
              <w:spacing w:after="0"/>
              <w:rPr>
                <w:sz w:val="5"/>
                <w:szCs w:val="5"/>
                <w:color w:val="auto"/>
              </w:rPr>
            </w:pPr>
          </w:p>
        </w:tc>
        <w:tc>
          <w:tcPr>
            <w:tcW w:w="8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180" w:type="dxa"/>
            <w:vAlign w:val="bottom"/>
            <w:vMerge w:val="continue"/>
          </w:tcPr>
          <w:p>
            <w:pPr>
              <w:spacing w:after="0"/>
              <w:rPr>
                <w:sz w:val="10"/>
                <w:szCs w:val="10"/>
                <w:color w:val="auto"/>
              </w:rPr>
            </w:pPr>
          </w:p>
        </w:tc>
        <w:tc>
          <w:tcPr>
            <w:tcW w:w="5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89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BENFICIALLY</w:t>
            </w:r>
          </w:p>
        </w:tc>
        <w:tc>
          <w:tcPr>
            <w:tcW w:w="560" w:type="dxa"/>
            <w:vAlign w:val="bottom"/>
            <w:vMerge w:val="continue"/>
          </w:tcPr>
          <w:p>
            <w:pPr>
              <w:spacing w:after="0"/>
              <w:rPr>
                <w:sz w:val="9"/>
                <w:szCs w:val="9"/>
                <w:color w:val="auto"/>
              </w:rPr>
            </w:pPr>
          </w:p>
        </w:tc>
        <w:tc>
          <w:tcPr>
            <w:tcW w:w="8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18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8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560" w:type="dxa"/>
            <w:vAlign w:val="bottom"/>
          </w:tcPr>
          <w:p>
            <w:pPr>
              <w:spacing w:after="0"/>
              <w:rPr>
                <w:sz w:val="18"/>
                <w:szCs w:val="18"/>
                <w:color w:val="auto"/>
              </w:rPr>
            </w:pPr>
          </w:p>
        </w:tc>
        <w:tc>
          <w:tcPr>
            <w:tcW w:w="89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291,693,297 shares (See Item 5)</w:t>
            </w:r>
          </w:p>
        </w:tc>
        <w:tc>
          <w:tcPr>
            <w:tcW w:w="0" w:type="dxa"/>
            <w:vAlign w:val="bottom"/>
          </w:tcPr>
          <w:p>
            <w:pPr>
              <w:spacing w:after="0"/>
              <w:rPr>
                <w:sz w:val="1"/>
                <w:szCs w:val="1"/>
                <w:color w:val="auto"/>
              </w:rPr>
            </w:pPr>
          </w:p>
        </w:tc>
      </w:tr>
      <w:tr>
        <w:trPr>
          <w:trHeight w:val="120"/>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560" w:type="dxa"/>
            <w:vAlign w:val="bottom"/>
            <w:tcBorders>
              <w:bottom w:val="single" w:sz="8" w:color="auto"/>
            </w:tcBorders>
          </w:tcPr>
          <w:p>
            <w:pPr>
              <w:spacing w:after="0"/>
              <w:rPr>
                <w:sz w:val="10"/>
                <w:szCs w:val="10"/>
                <w:color w:val="auto"/>
              </w:rPr>
            </w:pPr>
          </w:p>
        </w:tc>
        <w:tc>
          <w:tcPr>
            <w:tcW w:w="89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180" w:type="dxa"/>
            <w:vAlign w:val="bottom"/>
            <w:vMerge w:val="continue"/>
          </w:tcPr>
          <w:p>
            <w:pPr>
              <w:spacing w:after="0"/>
              <w:rPr>
                <w:sz w:val="6"/>
                <w:szCs w:val="6"/>
                <w:color w:val="auto"/>
              </w:rPr>
            </w:pPr>
          </w:p>
        </w:tc>
        <w:tc>
          <w:tcPr>
            <w:tcW w:w="5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(9)</w:t>
            </w:r>
          </w:p>
        </w:tc>
        <w:tc>
          <w:tcPr>
            <w:tcW w:w="89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560" w:type="dxa"/>
            <w:vAlign w:val="bottom"/>
            <w:vMerge w:val="continue"/>
          </w:tcPr>
          <w:p>
            <w:pPr>
              <w:spacing w:after="0"/>
              <w:rPr>
                <w:sz w:val="13"/>
                <w:szCs w:val="13"/>
                <w:color w:val="auto"/>
              </w:rPr>
            </w:pPr>
          </w:p>
        </w:tc>
        <w:tc>
          <w:tcPr>
            <w:tcW w:w="8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1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560" w:type="dxa"/>
            <w:vAlign w:val="bottom"/>
          </w:tcPr>
          <w:p>
            <w:pPr>
              <w:spacing w:after="0"/>
              <w:rPr>
                <w:sz w:val="18"/>
                <w:szCs w:val="18"/>
                <w:color w:val="auto"/>
              </w:rPr>
            </w:pPr>
          </w:p>
        </w:tc>
        <w:tc>
          <w:tcPr>
            <w:tcW w:w="89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None (See Item 5)</w:t>
            </w:r>
          </w:p>
        </w:tc>
        <w:tc>
          <w:tcPr>
            <w:tcW w:w="0" w:type="dxa"/>
            <w:vAlign w:val="bottom"/>
          </w:tcPr>
          <w:p>
            <w:pPr>
              <w:spacing w:after="0"/>
              <w:rPr>
                <w:sz w:val="1"/>
                <w:szCs w:val="1"/>
                <w:color w:val="auto"/>
              </w:rPr>
            </w:pPr>
          </w:p>
        </w:tc>
      </w:tr>
      <w:tr>
        <w:trPr>
          <w:trHeight w:val="167"/>
        </w:trPr>
        <w:tc>
          <w:tcPr>
            <w:tcW w:w="1180" w:type="dxa"/>
            <w:vAlign w:val="bottom"/>
            <w:vMerge w:val="restart"/>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WITH:</w:t>
            </w:r>
          </w:p>
        </w:tc>
        <w:tc>
          <w:tcPr>
            <w:tcW w:w="560" w:type="dxa"/>
            <w:vAlign w:val="bottom"/>
          </w:tcPr>
          <w:p>
            <w:pPr>
              <w:spacing w:after="0"/>
              <w:rPr>
                <w:sz w:val="14"/>
                <w:szCs w:val="14"/>
                <w:color w:val="auto"/>
              </w:rPr>
            </w:pPr>
          </w:p>
        </w:tc>
        <w:tc>
          <w:tcPr>
            <w:tcW w:w="8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118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8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2100" w:right="6280" w:hanging="619"/>
        <w:spacing w:after="0" w:line="418" w:lineRule="auto"/>
        <w:tabs>
          <w:tab w:leader="none" w:pos="2100" w:val="left"/>
        </w:tabs>
        <w:numPr>
          <w:ilvl w:val="2"/>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291,693,297 shares (See Item 5)</w:t>
      </w:r>
    </w:p>
    <w:p>
      <w:pPr>
        <w:spacing w:after="0" w:line="1" w:lineRule="exact"/>
        <w:rPr>
          <w:rFonts w:ascii="Times New Roman" w:cs="Times New Roman" w:eastAsia="Times New Roman" w:hAnsi="Times New Roman"/>
          <w:sz w:val="17"/>
          <w:szCs w:val="17"/>
          <w:color w:val="auto"/>
        </w:rPr>
      </w:pPr>
    </w:p>
    <w:p>
      <w:pPr>
        <w:ind w:left="740" w:right="3620" w:hanging="587"/>
        <w:spacing w:after="0" w:line="406" w:lineRule="auto"/>
        <w:tabs>
          <w:tab w:leader="none" w:pos="73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291,693,297 shares (See Item 5)</w:t>
      </w:r>
    </w:p>
    <w:p>
      <w:pPr>
        <w:spacing w:after="0" w:line="1" w:lineRule="exact"/>
        <w:rPr>
          <w:rFonts w:ascii="Times New Roman" w:cs="Times New Roman" w:eastAsia="Times New Roman" w:hAnsi="Times New Roman"/>
          <w:sz w:val="18"/>
          <w:szCs w:val="18"/>
          <w:color w:val="auto"/>
        </w:rPr>
      </w:pPr>
    </w:p>
    <w:p>
      <w:pPr>
        <w:ind w:left="740" w:hanging="587"/>
        <w:spacing w:after="0"/>
        <w:tabs>
          <w:tab w:leader="none" w:pos="7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211" w:lineRule="exact"/>
        <w:rPr>
          <w:rFonts w:ascii="Times New Roman" w:cs="Times New Roman" w:eastAsia="Times New Roman" w:hAnsi="Times New Roman"/>
          <w:sz w:val="18"/>
          <w:szCs w:val="18"/>
          <w:color w:val="auto"/>
        </w:rPr>
      </w:pPr>
    </w:p>
    <w:p>
      <w:pPr>
        <w:ind w:left="74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22" w:lineRule="exact"/>
        <w:rPr>
          <w:rFonts w:ascii="Times New Roman" w:cs="Times New Roman" w:eastAsia="Times New Roman" w:hAnsi="Times New Roman"/>
          <w:sz w:val="18"/>
          <w:szCs w:val="18"/>
          <w:color w:val="auto"/>
        </w:rPr>
      </w:pPr>
    </w:p>
    <w:p>
      <w:pPr>
        <w:ind w:left="740" w:hanging="587"/>
        <w:spacing w:after="0"/>
        <w:tabs>
          <w:tab w:leader="none" w:pos="7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32" w:lineRule="exact"/>
        <w:rPr>
          <w:rFonts w:ascii="Times New Roman" w:cs="Times New Roman" w:eastAsia="Times New Roman" w:hAnsi="Times New Roman"/>
          <w:sz w:val="18"/>
          <w:szCs w:val="18"/>
          <w:color w:val="auto"/>
        </w:rPr>
      </w:pPr>
    </w:p>
    <w:p>
      <w:pPr>
        <w:ind w:left="7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35.0% (See Item 5)*</w:t>
      </w:r>
    </w:p>
    <w:p>
      <w:pPr>
        <w:spacing w:after="0" w:line="36" w:lineRule="exact"/>
        <w:rPr>
          <w:rFonts w:ascii="Times New Roman" w:cs="Times New Roman" w:eastAsia="Times New Roman" w:hAnsi="Times New Roman"/>
          <w:sz w:val="18"/>
          <w:szCs w:val="18"/>
          <w:color w:val="auto"/>
        </w:rPr>
      </w:pPr>
    </w:p>
    <w:p>
      <w:pPr>
        <w:ind w:left="740" w:hanging="587"/>
        <w:spacing w:after="0"/>
        <w:tabs>
          <w:tab w:leader="none" w:pos="7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7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79" w:lineRule="exact"/>
        <w:rPr>
          <w:rFonts w:ascii="Times New Roman" w:cs="Times New Roman" w:eastAsia="Times New Roman" w:hAnsi="Times New Roman"/>
          <w:sz w:val="18"/>
          <w:szCs w:val="18"/>
          <w:color w:val="auto"/>
        </w:rPr>
      </w:pPr>
    </w:p>
    <w:p>
      <w:pPr>
        <w:ind w:left="420" w:right="40" w:hanging="432"/>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upon (x) the sum of (i) 129,227,017 shares of the Issuer’s Common Stock held by Nant Capital, LLC (“Nant Capital”); and (ii) 162,466,280 shares of the Issuer’s Common Stock that Nant Capital has the right to acquire from the Issuer within 60 days of December 29, 2023 pursuant to the conversion of certain promissory notes divided by (y) the sum of (i) 670,331,089 shares of the Issuer’s Common Stock issued and outstanding, as of December 29, 2023, as provided by the Issuer; and (ii) 162,466,280 shares of the Issuer’s Common Stock that Nant Capital has the right to acquire from the Issuer within 60 days of December 29, 2023 pursuant to the conversion of certain promissory notes.</w:t>
      </w:r>
    </w:p>
    <w:p>
      <w:pPr>
        <w:sectPr>
          <w:pgSz w:w="11900" w:h="16838" w:orient="portrait"/>
          <w:cols w:equalWidth="0" w:num="1">
            <w:col w:w="10900"/>
          </w:cols>
          <w:pgMar w:left="440" w:top="270" w:right="55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13D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CUSIP No. 45256X103</w:t>
      </w:r>
    </w:p>
    <w:p>
      <w:pPr>
        <w:spacing w:after="0" w:line="171" w:lineRule="exact"/>
        <w:rPr>
          <w:sz w:val="20"/>
          <w:szCs w:val="20"/>
          <w:color w:val="auto"/>
        </w:rPr>
      </w:pPr>
    </w:p>
    <w:p>
      <w:pPr>
        <w:ind w:left="740" w:right="7480" w:hanging="497"/>
        <w:spacing w:after="0" w:line="430" w:lineRule="auto"/>
        <w:tabs>
          <w:tab w:leader="none" w:pos="7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NAMES OF REPORTING PERSONS California Capital Equity, LLC</w:t>
      </w:r>
    </w:p>
    <w:p>
      <w:pPr>
        <w:spacing w:after="0" w:line="1" w:lineRule="exact"/>
        <w:rPr>
          <w:rFonts w:ascii="Times New Roman" w:cs="Times New Roman" w:eastAsia="Times New Roman" w:hAnsi="Times New Roman"/>
          <w:sz w:val="17"/>
          <w:szCs w:val="17"/>
          <w:color w:val="auto"/>
        </w:rPr>
      </w:pPr>
    </w:p>
    <w:p>
      <w:pPr>
        <w:ind w:left="740" w:hanging="497"/>
        <w:spacing w:after="0"/>
        <w:tabs>
          <w:tab w:leader="none" w:pos="7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-573405</wp:posOffset>
            </wp:positionV>
            <wp:extent cx="6926580" cy="61118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 w:lineRule="exact"/>
        <w:rPr>
          <w:sz w:val="20"/>
          <w:szCs w:val="20"/>
          <w:color w:val="auto"/>
        </w:rPr>
      </w:pPr>
    </w:p>
    <w:p>
      <w:pPr>
        <w:ind w:left="740"/>
        <w:spacing w:after="0" w:line="207" w:lineRule="exact"/>
        <w:tabs>
          <w:tab w:leader="none" w:pos="152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740" w:hanging="497"/>
        <w:spacing w:after="0"/>
        <w:tabs>
          <w:tab w:leader="none" w:pos="7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rFonts w:ascii="Times New Roman" w:cs="Times New Roman" w:eastAsia="Times New Roman" w:hAnsi="Times New Roman"/>
          <w:sz w:val="18"/>
          <w:szCs w:val="18"/>
          <w:color w:val="auto"/>
        </w:rPr>
      </w:pPr>
    </w:p>
    <w:p>
      <w:pPr>
        <w:ind w:left="740" w:right="7360" w:hanging="497"/>
        <w:spacing w:after="0" w:line="406" w:lineRule="auto"/>
        <w:tabs>
          <w:tab w:leader="none" w:pos="7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 OO (See Item 3)</w:t>
      </w:r>
    </w:p>
    <w:p>
      <w:pPr>
        <w:spacing w:after="0" w:line="1" w:lineRule="exact"/>
        <w:rPr>
          <w:rFonts w:ascii="Times New Roman" w:cs="Times New Roman" w:eastAsia="Times New Roman" w:hAnsi="Times New Roman"/>
          <w:sz w:val="18"/>
          <w:szCs w:val="18"/>
          <w:color w:val="auto"/>
        </w:rPr>
      </w:pPr>
    </w:p>
    <w:p>
      <w:pPr>
        <w:ind w:left="740" w:hanging="497"/>
        <w:spacing w:after="0"/>
        <w:tabs>
          <w:tab w:leader="none" w:pos="7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 2(d) or 2(e)</w:t>
      </w:r>
    </w:p>
    <w:p>
      <w:pPr>
        <w:spacing w:after="0" w:line="211" w:lineRule="exact"/>
        <w:rPr>
          <w:rFonts w:ascii="Times New Roman" w:cs="Times New Roman" w:eastAsia="Times New Roman" w:hAnsi="Times New Roman"/>
          <w:sz w:val="18"/>
          <w:szCs w:val="18"/>
          <w:color w:val="auto"/>
        </w:rPr>
      </w:pPr>
    </w:p>
    <w:p>
      <w:pPr>
        <w:ind w:left="74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22" w:lineRule="exact"/>
        <w:rPr>
          <w:rFonts w:ascii="Times New Roman" w:cs="Times New Roman" w:eastAsia="Times New Roman" w:hAnsi="Times New Roman"/>
          <w:sz w:val="18"/>
          <w:szCs w:val="18"/>
          <w:color w:val="auto"/>
        </w:rPr>
      </w:pPr>
    </w:p>
    <w:p>
      <w:pPr>
        <w:ind w:left="740" w:hanging="497"/>
        <w:spacing w:after="0"/>
        <w:tabs>
          <w:tab w:leader="none" w:pos="7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3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Delaware</w:t>
      </w:r>
    </w:p>
    <w:p>
      <w:pPr>
        <w:spacing w:after="0" w:line="36"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1180" w:type="dxa"/>
            <w:vAlign w:val="bottom"/>
          </w:tcPr>
          <w:p>
            <w:pPr>
              <w:spacing w:after="0"/>
              <w:rPr>
                <w:sz w:val="20"/>
                <w:szCs w:val="20"/>
                <w:color w:val="auto"/>
              </w:rPr>
            </w:pPr>
          </w:p>
        </w:tc>
        <w:tc>
          <w:tcPr>
            <w:tcW w:w="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w:t>
            </w:r>
          </w:p>
        </w:tc>
        <w:tc>
          <w:tcPr>
            <w:tcW w:w="8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05"/>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560" w:type="dxa"/>
            <w:vAlign w:val="bottom"/>
          </w:tcPr>
          <w:p>
            <w:pPr>
              <w:spacing w:after="0"/>
              <w:rPr>
                <w:sz w:val="24"/>
                <w:szCs w:val="24"/>
                <w:color w:val="auto"/>
              </w:rPr>
            </w:pPr>
          </w:p>
        </w:tc>
        <w:tc>
          <w:tcPr>
            <w:tcW w:w="8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None (See Item 5)</w:t>
            </w:r>
          </w:p>
        </w:tc>
        <w:tc>
          <w:tcPr>
            <w:tcW w:w="0" w:type="dxa"/>
            <w:vAlign w:val="bottom"/>
          </w:tcPr>
          <w:p>
            <w:pPr>
              <w:spacing w:after="0"/>
              <w:rPr>
                <w:sz w:val="1"/>
                <w:szCs w:val="1"/>
                <w:color w:val="auto"/>
              </w:rPr>
            </w:pPr>
          </w:p>
        </w:tc>
      </w:tr>
      <w:tr>
        <w:trPr>
          <w:trHeight w:val="68"/>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560" w:type="dxa"/>
            <w:vAlign w:val="bottom"/>
            <w:tcBorders>
              <w:bottom w:val="single" w:sz="8" w:color="auto"/>
            </w:tcBorders>
          </w:tcPr>
          <w:p>
            <w:pPr>
              <w:spacing w:after="0"/>
              <w:rPr>
                <w:sz w:val="5"/>
                <w:szCs w:val="5"/>
                <w:color w:val="auto"/>
              </w:rPr>
            </w:pPr>
          </w:p>
        </w:tc>
        <w:tc>
          <w:tcPr>
            <w:tcW w:w="8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180" w:type="dxa"/>
            <w:vAlign w:val="bottom"/>
            <w:vMerge w:val="continue"/>
          </w:tcPr>
          <w:p>
            <w:pPr>
              <w:spacing w:after="0"/>
              <w:rPr>
                <w:sz w:val="10"/>
                <w:szCs w:val="10"/>
                <w:color w:val="auto"/>
              </w:rPr>
            </w:pPr>
          </w:p>
        </w:tc>
        <w:tc>
          <w:tcPr>
            <w:tcW w:w="5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89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BENFICIALLY</w:t>
            </w:r>
          </w:p>
        </w:tc>
        <w:tc>
          <w:tcPr>
            <w:tcW w:w="560" w:type="dxa"/>
            <w:vAlign w:val="bottom"/>
            <w:vMerge w:val="continue"/>
          </w:tcPr>
          <w:p>
            <w:pPr>
              <w:spacing w:after="0"/>
              <w:rPr>
                <w:sz w:val="9"/>
                <w:szCs w:val="9"/>
                <w:color w:val="auto"/>
              </w:rPr>
            </w:pPr>
          </w:p>
        </w:tc>
        <w:tc>
          <w:tcPr>
            <w:tcW w:w="8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18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8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560" w:type="dxa"/>
            <w:vAlign w:val="bottom"/>
          </w:tcPr>
          <w:p>
            <w:pPr>
              <w:spacing w:after="0"/>
              <w:rPr>
                <w:sz w:val="18"/>
                <w:szCs w:val="18"/>
                <w:color w:val="auto"/>
              </w:rPr>
            </w:pPr>
          </w:p>
        </w:tc>
        <w:tc>
          <w:tcPr>
            <w:tcW w:w="89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106,511,412 shares (See Item 5)</w:t>
            </w:r>
          </w:p>
        </w:tc>
        <w:tc>
          <w:tcPr>
            <w:tcW w:w="0" w:type="dxa"/>
            <w:vAlign w:val="bottom"/>
          </w:tcPr>
          <w:p>
            <w:pPr>
              <w:spacing w:after="0"/>
              <w:rPr>
                <w:sz w:val="1"/>
                <w:szCs w:val="1"/>
                <w:color w:val="auto"/>
              </w:rPr>
            </w:pPr>
          </w:p>
        </w:tc>
      </w:tr>
      <w:tr>
        <w:trPr>
          <w:trHeight w:val="120"/>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560" w:type="dxa"/>
            <w:vAlign w:val="bottom"/>
            <w:tcBorders>
              <w:bottom w:val="single" w:sz="8" w:color="auto"/>
            </w:tcBorders>
          </w:tcPr>
          <w:p>
            <w:pPr>
              <w:spacing w:after="0"/>
              <w:rPr>
                <w:sz w:val="10"/>
                <w:szCs w:val="10"/>
                <w:color w:val="auto"/>
              </w:rPr>
            </w:pPr>
          </w:p>
        </w:tc>
        <w:tc>
          <w:tcPr>
            <w:tcW w:w="89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180" w:type="dxa"/>
            <w:vAlign w:val="bottom"/>
            <w:vMerge w:val="continue"/>
          </w:tcPr>
          <w:p>
            <w:pPr>
              <w:spacing w:after="0"/>
              <w:rPr>
                <w:sz w:val="6"/>
                <w:szCs w:val="6"/>
                <w:color w:val="auto"/>
              </w:rPr>
            </w:pPr>
          </w:p>
        </w:tc>
        <w:tc>
          <w:tcPr>
            <w:tcW w:w="5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(9)</w:t>
            </w:r>
          </w:p>
        </w:tc>
        <w:tc>
          <w:tcPr>
            <w:tcW w:w="89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560" w:type="dxa"/>
            <w:vAlign w:val="bottom"/>
            <w:vMerge w:val="continue"/>
          </w:tcPr>
          <w:p>
            <w:pPr>
              <w:spacing w:after="0"/>
              <w:rPr>
                <w:sz w:val="13"/>
                <w:szCs w:val="13"/>
                <w:color w:val="auto"/>
              </w:rPr>
            </w:pPr>
          </w:p>
        </w:tc>
        <w:tc>
          <w:tcPr>
            <w:tcW w:w="8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1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560" w:type="dxa"/>
            <w:vAlign w:val="bottom"/>
          </w:tcPr>
          <w:p>
            <w:pPr>
              <w:spacing w:after="0"/>
              <w:rPr>
                <w:sz w:val="18"/>
                <w:szCs w:val="18"/>
                <w:color w:val="auto"/>
              </w:rPr>
            </w:pPr>
          </w:p>
        </w:tc>
        <w:tc>
          <w:tcPr>
            <w:tcW w:w="89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None (See Item 5)</w:t>
            </w:r>
          </w:p>
        </w:tc>
        <w:tc>
          <w:tcPr>
            <w:tcW w:w="0" w:type="dxa"/>
            <w:vAlign w:val="bottom"/>
          </w:tcPr>
          <w:p>
            <w:pPr>
              <w:spacing w:after="0"/>
              <w:rPr>
                <w:sz w:val="1"/>
                <w:szCs w:val="1"/>
                <w:color w:val="auto"/>
              </w:rPr>
            </w:pPr>
          </w:p>
        </w:tc>
      </w:tr>
      <w:tr>
        <w:trPr>
          <w:trHeight w:val="167"/>
        </w:trPr>
        <w:tc>
          <w:tcPr>
            <w:tcW w:w="1180" w:type="dxa"/>
            <w:vAlign w:val="bottom"/>
            <w:vMerge w:val="restart"/>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WITH:</w:t>
            </w:r>
          </w:p>
        </w:tc>
        <w:tc>
          <w:tcPr>
            <w:tcW w:w="560" w:type="dxa"/>
            <w:vAlign w:val="bottom"/>
          </w:tcPr>
          <w:p>
            <w:pPr>
              <w:spacing w:after="0"/>
              <w:rPr>
                <w:sz w:val="14"/>
                <w:szCs w:val="14"/>
                <w:color w:val="auto"/>
              </w:rPr>
            </w:pPr>
          </w:p>
        </w:tc>
        <w:tc>
          <w:tcPr>
            <w:tcW w:w="8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118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8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2100" w:right="6380" w:hanging="619"/>
        <w:spacing w:after="0" w:line="418" w:lineRule="auto"/>
        <w:tabs>
          <w:tab w:leader="none" w:pos="2100" w:val="left"/>
        </w:tabs>
        <w:numPr>
          <w:ilvl w:val="2"/>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106,511,412 shares (See Item 5)</w:t>
      </w:r>
    </w:p>
    <w:p>
      <w:pPr>
        <w:spacing w:after="0" w:line="1" w:lineRule="exact"/>
        <w:rPr>
          <w:rFonts w:ascii="Times New Roman" w:cs="Times New Roman" w:eastAsia="Times New Roman" w:hAnsi="Times New Roman"/>
          <w:sz w:val="17"/>
          <w:szCs w:val="17"/>
          <w:color w:val="auto"/>
        </w:rPr>
      </w:pPr>
    </w:p>
    <w:p>
      <w:pPr>
        <w:ind w:left="740" w:right="3720" w:hanging="587"/>
        <w:spacing w:after="0" w:line="406" w:lineRule="auto"/>
        <w:tabs>
          <w:tab w:leader="none" w:pos="73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106,511,412 shares (See Item 5)</w:t>
      </w:r>
    </w:p>
    <w:p>
      <w:pPr>
        <w:spacing w:after="0" w:line="1" w:lineRule="exact"/>
        <w:rPr>
          <w:rFonts w:ascii="Times New Roman" w:cs="Times New Roman" w:eastAsia="Times New Roman" w:hAnsi="Times New Roman"/>
          <w:sz w:val="18"/>
          <w:szCs w:val="18"/>
          <w:color w:val="auto"/>
        </w:rPr>
      </w:pPr>
    </w:p>
    <w:p>
      <w:pPr>
        <w:ind w:left="740" w:hanging="587"/>
        <w:spacing w:after="0"/>
        <w:tabs>
          <w:tab w:leader="none" w:pos="7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211" w:lineRule="exact"/>
        <w:rPr>
          <w:rFonts w:ascii="Times New Roman" w:cs="Times New Roman" w:eastAsia="Times New Roman" w:hAnsi="Times New Roman"/>
          <w:sz w:val="18"/>
          <w:szCs w:val="18"/>
          <w:color w:val="auto"/>
        </w:rPr>
      </w:pPr>
    </w:p>
    <w:p>
      <w:pPr>
        <w:ind w:left="74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22" w:lineRule="exact"/>
        <w:rPr>
          <w:rFonts w:ascii="Times New Roman" w:cs="Times New Roman" w:eastAsia="Times New Roman" w:hAnsi="Times New Roman"/>
          <w:sz w:val="18"/>
          <w:szCs w:val="18"/>
          <w:color w:val="auto"/>
        </w:rPr>
      </w:pPr>
    </w:p>
    <w:p>
      <w:pPr>
        <w:ind w:left="740" w:hanging="587"/>
        <w:spacing w:after="0"/>
        <w:tabs>
          <w:tab w:leader="none" w:pos="7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32" w:lineRule="exact"/>
        <w:rPr>
          <w:rFonts w:ascii="Times New Roman" w:cs="Times New Roman" w:eastAsia="Times New Roman" w:hAnsi="Times New Roman"/>
          <w:sz w:val="18"/>
          <w:szCs w:val="18"/>
          <w:color w:val="auto"/>
        </w:rPr>
      </w:pPr>
    </w:p>
    <w:p>
      <w:pPr>
        <w:ind w:left="7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15.9% (See Item 5)*</w:t>
      </w:r>
    </w:p>
    <w:p>
      <w:pPr>
        <w:spacing w:after="0" w:line="36" w:lineRule="exact"/>
        <w:rPr>
          <w:rFonts w:ascii="Times New Roman" w:cs="Times New Roman" w:eastAsia="Times New Roman" w:hAnsi="Times New Roman"/>
          <w:sz w:val="18"/>
          <w:szCs w:val="18"/>
          <w:color w:val="auto"/>
        </w:rPr>
      </w:pPr>
    </w:p>
    <w:p>
      <w:pPr>
        <w:ind w:left="740" w:hanging="587"/>
        <w:spacing w:after="0"/>
        <w:tabs>
          <w:tab w:leader="none" w:pos="7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7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79" w:lineRule="exact"/>
        <w:rPr>
          <w:rFonts w:ascii="Times New Roman" w:cs="Times New Roman" w:eastAsia="Times New Roman" w:hAnsi="Times New Roman"/>
          <w:sz w:val="18"/>
          <w:szCs w:val="18"/>
          <w:color w:val="auto"/>
        </w:rPr>
      </w:pPr>
    </w:p>
    <w:p>
      <w:pPr>
        <w:ind w:left="420" w:hanging="432"/>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upon (x) the sum of (i) 7,976,159 shares of the Issuer’s Common Stock held by California Capital Equity, LLC (“California Capital”); (ii) 9,986,920 shares of the Issuer’s Common Stock held by NantWorks; (iii) 8,383,414 shares of the Issuer’s Common Stock held by NantBio, (iv) 47,557,934 shares of the Issuer’s Common Stock held by NantMobile; and (v) 32,606,985 shares of the Issuer’s Common Stock held by NantCancerStemCell divided by (y) 670,331,089 shares of the Issuer’s Common Stock issued and outstanding, as of December 29, 2023, as provided by the Issuer. NantWorks is a wholly-owned subsidiary of California Capital. NantBio, NantMobile, and NantCancerStemCell are majority-owned subsidiaries of NantWorks. California Capital shares voting and dispositive power over the shares beneficially owned by NantWorks, NantBio, NantMobile, and NantCancerStemCell. California Capital disclaims beneficial ownership of the shares of the Issuer’s Common Stock beneficially owned by NantWorks, NantBio, NantMobile, and NantCancerStemCell, except to the extent of their pecuniary interest.</w:t>
      </w:r>
    </w:p>
    <w:p>
      <w:pPr>
        <w:sectPr>
          <w:pgSz w:w="11900" w:h="16838" w:orient="portrait"/>
          <w:cols w:equalWidth="0" w:num="1">
            <w:col w:w="11000"/>
          </w:cols>
          <w:pgMar w:left="440" w:top="270" w:right="459" w:bottom="1440" w:gutter="0" w:footer="0" w:header="0"/>
        </w:sectPr>
      </w:pPr>
    </w:p>
    <w:bookmarkStart w:id="7" w:name="page8"/>
    <w:bookmarkEnd w:id="7"/>
    <w:p>
      <w:pPr>
        <w:jc w:val="center"/>
        <w:ind w:right="-7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13D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CUSIP No. 45256X103</w:t>
      </w:r>
    </w:p>
    <w:p>
      <w:pPr>
        <w:spacing w:after="0" w:line="171" w:lineRule="exact"/>
        <w:rPr>
          <w:sz w:val="20"/>
          <w:szCs w:val="20"/>
          <w:color w:val="auto"/>
        </w:rPr>
      </w:pPr>
    </w:p>
    <w:p>
      <w:pPr>
        <w:ind w:left="740" w:right="7400" w:hanging="497"/>
        <w:spacing w:after="0" w:line="406" w:lineRule="auto"/>
        <w:tabs>
          <w:tab w:leader="none" w:pos="7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 Patrick Soon-Shiong</w:t>
      </w:r>
    </w:p>
    <w:p>
      <w:pPr>
        <w:spacing w:after="0" w:line="1" w:lineRule="exact"/>
        <w:rPr>
          <w:rFonts w:ascii="Times New Roman" w:cs="Times New Roman" w:eastAsia="Times New Roman" w:hAnsi="Times New Roman"/>
          <w:sz w:val="18"/>
          <w:szCs w:val="18"/>
          <w:color w:val="auto"/>
        </w:rPr>
      </w:pPr>
    </w:p>
    <w:p>
      <w:pPr>
        <w:ind w:left="740" w:hanging="497"/>
        <w:spacing w:after="0"/>
        <w:tabs>
          <w:tab w:leader="none" w:pos="7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-573405</wp:posOffset>
            </wp:positionV>
            <wp:extent cx="6926580" cy="61118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 w:lineRule="exact"/>
        <w:rPr>
          <w:sz w:val="20"/>
          <w:szCs w:val="20"/>
          <w:color w:val="auto"/>
        </w:rPr>
      </w:pPr>
    </w:p>
    <w:p>
      <w:pPr>
        <w:ind w:left="740"/>
        <w:spacing w:after="0" w:line="207" w:lineRule="exact"/>
        <w:tabs>
          <w:tab w:leader="none" w:pos="152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740" w:hanging="497"/>
        <w:spacing w:after="0"/>
        <w:tabs>
          <w:tab w:leader="none" w:pos="7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rFonts w:ascii="Times New Roman" w:cs="Times New Roman" w:eastAsia="Times New Roman" w:hAnsi="Times New Roman"/>
          <w:sz w:val="18"/>
          <w:szCs w:val="18"/>
          <w:color w:val="auto"/>
        </w:rPr>
      </w:pPr>
    </w:p>
    <w:p>
      <w:pPr>
        <w:ind w:left="740" w:right="7280" w:hanging="497"/>
        <w:spacing w:after="0" w:line="406" w:lineRule="auto"/>
        <w:tabs>
          <w:tab w:leader="none" w:pos="7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 PF, AF, OO (See Item 3)</w:t>
      </w:r>
    </w:p>
    <w:p>
      <w:pPr>
        <w:spacing w:after="0" w:line="1" w:lineRule="exact"/>
        <w:rPr>
          <w:rFonts w:ascii="Times New Roman" w:cs="Times New Roman" w:eastAsia="Times New Roman" w:hAnsi="Times New Roman"/>
          <w:sz w:val="18"/>
          <w:szCs w:val="18"/>
          <w:color w:val="auto"/>
        </w:rPr>
      </w:pPr>
    </w:p>
    <w:p>
      <w:pPr>
        <w:ind w:left="740" w:hanging="497"/>
        <w:spacing w:after="0"/>
        <w:tabs>
          <w:tab w:leader="none" w:pos="7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 2(d) or 2(e)</w:t>
      </w:r>
    </w:p>
    <w:p>
      <w:pPr>
        <w:spacing w:after="0" w:line="211" w:lineRule="exact"/>
        <w:rPr>
          <w:rFonts w:ascii="Times New Roman" w:cs="Times New Roman" w:eastAsia="Times New Roman" w:hAnsi="Times New Roman"/>
          <w:sz w:val="18"/>
          <w:szCs w:val="18"/>
          <w:color w:val="auto"/>
        </w:rPr>
      </w:pPr>
    </w:p>
    <w:p>
      <w:pPr>
        <w:ind w:left="74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22" w:lineRule="exact"/>
        <w:rPr>
          <w:rFonts w:ascii="Times New Roman" w:cs="Times New Roman" w:eastAsia="Times New Roman" w:hAnsi="Times New Roman"/>
          <w:sz w:val="18"/>
          <w:szCs w:val="18"/>
          <w:color w:val="auto"/>
        </w:rPr>
      </w:pPr>
    </w:p>
    <w:p>
      <w:pPr>
        <w:ind w:left="740" w:right="6520" w:hanging="497"/>
        <w:spacing w:after="0" w:line="395" w:lineRule="auto"/>
        <w:tabs>
          <w:tab w:leader="none" w:pos="7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United States of America</w:t>
      </w:r>
    </w:p>
    <w:p>
      <w:pPr>
        <w:spacing w:after="0" w:line="1" w:lineRule="exact"/>
        <w:rPr>
          <w:rFonts w:ascii="Times New Roman" w:cs="Times New Roman" w:eastAsia="Times New Roman" w:hAnsi="Times New Roman"/>
          <w:sz w:val="18"/>
          <w:szCs w:val="18"/>
          <w:color w:val="auto"/>
        </w:rPr>
      </w:pPr>
    </w:p>
    <w:p>
      <w:pPr>
        <w:ind w:left="2100" w:hanging="529"/>
        <w:spacing w:after="0"/>
        <w:tabs>
          <w:tab w:leader="none" w:pos="21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221"/>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560" w:type="dxa"/>
            <w:vAlign w:val="bottom"/>
          </w:tcPr>
          <w:p>
            <w:pPr>
              <w:spacing w:after="0"/>
              <w:rPr>
                <w:sz w:val="19"/>
                <w:szCs w:val="19"/>
                <w:color w:val="auto"/>
              </w:rPr>
            </w:pPr>
          </w:p>
        </w:tc>
        <w:tc>
          <w:tcPr>
            <w:tcW w:w="8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30,633,330 (See Item 5)</w:t>
            </w:r>
          </w:p>
        </w:tc>
        <w:tc>
          <w:tcPr>
            <w:tcW w:w="0" w:type="dxa"/>
            <w:vAlign w:val="bottom"/>
          </w:tcPr>
          <w:p>
            <w:pPr>
              <w:spacing w:after="0"/>
              <w:rPr>
                <w:sz w:val="1"/>
                <w:szCs w:val="1"/>
                <w:color w:val="auto"/>
              </w:rPr>
            </w:pPr>
          </w:p>
        </w:tc>
      </w:tr>
      <w:tr>
        <w:trPr>
          <w:trHeight w:val="68"/>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560" w:type="dxa"/>
            <w:vAlign w:val="bottom"/>
            <w:tcBorders>
              <w:bottom w:val="single" w:sz="8" w:color="auto"/>
            </w:tcBorders>
          </w:tcPr>
          <w:p>
            <w:pPr>
              <w:spacing w:after="0"/>
              <w:rPr>
                <w:sz w:val="5"/>
                <w:szCs w:val="5"/>
                <w:color w:val="auto"/>
              </w:rPr>
            </w:pPr>
          </w:p>
        </w:tc>
        <w:tc>
          <w:tcPr>
            <w:tcW w:w="8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180" w:type="dxa"/>
            <w:vAlign w:val="bottom"/>
            <w:vMerge w:val="continue"/>
          </w:tcPr>
          <w:p>
            <w:pPr>
              <w:spacing w:after="0"/>
              <w:rPr>
                <w:sz w:val="10"/>
                <w:szCs w:val="10"/>
                <w:color w:val="auto"/>
              </w:rPr>
            </w:pPr>
          </w:p>
        </w:tc>
        <w:tc>
          <w:tcPr>
            <w:tcW w:w="5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89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BENFICIALLY</w:t>
            </w:r>
          </w:p>
        </w:tc>
        <w:tc>
          <w:tcPr>
            <w:tcW w:w="560" w:type="dxa"/>
            <w:vAlign w:val="bottom"/>
            <w:vMerge w:val="continue"/>
          </w:tcPr>
          <w:p>
            <w:pPr>
              <w:spacing w:after="0"/>
              <w:rPr>
                <w:sz w:val="9"/>
                <w:szCs w:val="9"/>
                <w:color w:val="auto"/>
              </w:rPr>
            </w:pPr>
          </w:p>
        </w:tc>
        <w:tc>
          <w:tcPr>
            <w:tcW w:w="8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18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8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560" w:type="dxa"/>
            <w:vAlign w:val="bottom"/>
          </w:tcPr>
          <w:p>
            <w:pPr>
              <w:spacing w:after="0"/>
              <w:rPr>
                <w:sz w:val="18"/>
                <w:szCs w:val="18"/>
                <w:color w:val="auto"/>
              </w:rPr>
            </w:pPr>
          </w:p>
        </w:tc>
        <w:tc>
          <w:tcPr>
            <w:tcW w:w="89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665,528,849 shares (See Item 5)</w:t>
            </w:r>
          </w:p>
        </w:tc>
        <w:tc>
          <w:tcPr>
            <w:tcW w:w="0" w:type="dxa"/>
            <w:vAlign w:val="bottom"/>
          </w:tcPr>
          <w:p>
            <w:pPr>
              <w:spacing w:after="0"/>
              <w:rPr>
                <w:sz w:val="1"/>
                <w:szCs w:val="1"/>
                <w:color w:val="auto"/>
              </w:rPr>
            </w:pPr>
          </w:p>
        </w:tc>
      </w:tr>
      <w:tr>
        <w:trPr>
          <w:trHeight w:val="120"/>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560" w:type="dxa"/>
            <w:vAlign w:val="bottom"/>
            <w:tcBorders>
              <w:bottom w:val="single" w:sz="8" w:color="auto"/>
            </w:tcBorders>
          </w:tcPr>
          <w:p>
            <w:pPr>
              <w:spacing w:after="0"/>
              <w:rPr>
                <w:sz w:val="10"/>
                <w:szCs w:val="10"/>
                <w:color w:val="auto"/>
              </w:rPr>
            </w:pPr>
          </w:p>
        </w:tc>
        <w:tc>
          <w:tcPr>
            <w:tcW w:w="89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180" w:type="dxa"/>
            <w:vAlign w:val="bottom"/>
            <w:vMerge w:val="continue"/>
          </w:tcPr>
          <w:p>
            <w:pPr>
              <w:spacing w:after="0"/>
              <w:rPr>
                <w:sz w:val="6"/>
                <w:szCs w:val="6"/>
                <w:color w:val="auto"/>
              </w:rPr>
            </w:pPr>
          </w:p>
        </w:tc>
        <w:tc>
          <w:tcPr>
            <w:tcW w:w="5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(9)</w:t>
            </w:r>
          </w:p>
        </w:tc>
        <w:tc>
          <w:tcPr>
            <w:tcW w:w="89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560" w:type="dxa"/>
            <w:vAlign w:val="bottom"/>
            <w:vMerge w:val="continue"/>
          </w:tcPr>
          <w:p>
            <w:pPr>
              <w:spacing w:after="0"/>
              <w:rPr>
                <w:sz w:val="13"/>
                <w:szCs w:val="13"/>
                <w:color w:val="auto"/>
              </w:rPr>
            </w:pPr>
          </w:p>
        </w:tc>
        <w:tc>
          <w:tcPr>
            <w:tcW w:w="8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1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560" w:type="dxa"/>
            <w:vAlign w:val="bottom"/>
          </w:tcPr>
          <w:p>
            <w:pPr>
              <w:spacing w:after="0"/>
              <w:rPr>
                <w:sz w:val="18"/>
                <w:szCs w:val="18"/>
                <w:color w:val="auto"/>
              </w:rPr>
            </w:pPr>
          </w:p>
        </w:tc>
        <w:tc>
          <w:tcPr>
            <w:tcW w:w="89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30,633,330 (See Item 5)</w:t>
            </w:r>
          </w:p>
        </w:tc>
        <w:tc>
          <w:tcPr>
            <w:tcW w:w="0" w:type="dxa"/>
            <w:vAlign w:val="bottom"/>
          </w:tcPr>
          <w:p>
            <w:pPr>
              <w:spacing w:after="0"/>
              <w:rPr>
                <w:sz w:val="1"/>
                <w:szCs w:val="1"/>
                <w:color w:val="auto"/>
              </w:rPr>
            </w:pPr>
          </w:p>
        </w:tc>
      </w:tr>
      <w:tr>
        <w:trPr>
          <w:trHeight w:val="167"/>
        </w:trPr>
        <w:tc>
          <w:tcPr>
            <w:tcW w:w="1180" w:type="dxa"/>
            <w:vAlign w:val="bottom"/>
            <w:vMerge w:val="restart"/>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WITH:</w:t>
            </w:r>
          </w:p>
        </w:tc>
        <w:tc>
          <w:tcPr>
            <w:tcW w:w="560" w:type="dxa"/>
            <w:vAlign w:val="bottom"/>
          </w:tcPr>
          <w:p>
            <w:pPr>
              <w:spacing w:after="0"/>
              <w:rPr>
                <w:sz w:val="14"/>
                <w:szCs w:val="14"/>
                <w:color w:val="auto"/>
              </w:rPr>
            </w:pPr>
          </w:p>
        </w:tc>
        <w:tc>
          <w:tcPr>
            <w:tcW w:w="8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118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8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2100" w:right="6300" w:hanging="619"/>
        <w:spacing w:after="0" w:line="418" w:lineRule="auto"/>
        <w:tabs>
          <w:tab w:leader="none" w:pos="2100" w:val="left"/>
        </w:tabs>
        <w:numPr>
          <w:ilvl w:val="2"/>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665,528,849 shares (See Item 5)</w:t>
      </w:r>
    </w:p>
    <w:p>
      <w:pPr>
        <w:spacing w:after="0" w:line="1" w:lineRule="exact"/>
        <w:rPr>
          <w:rFonts w:ascii="Times New Roman" w:cs="Times New Roman" w:eastAsia="Times New Roman" w:hAnsi="Times New Roman"/>
          <w:sz w:val="17"/>
          <w:szCs w:val="17"/>
          <w:color w:val="auto"/>
        </w:rPr>
      </w:pPr>
    </w:p>
    <w:p>
      <w:pPr>
        <w:ind w:left="740" w:right="3640" w:hanging="587"/>
        <w:spacing w:after="0" w:line="406" w:lineRule="auto"/>
        <w:tabs>
          <w:tab w:leader="none" w:pos="73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696,162,179 shares</w:t>
      </w:r>
    </w:p>
    <w:p>
      <w:pPr>
        <w:spacing w:after="0" w:line="1" w:lineRule="exact"/>
        <w:rPr>
          <w:rFonts w:ascii="Times New Roman" w:cs="Times New Roman" w:eastAsia="Times New Roman" w:hAnsi="Times New Roman"/>
          <w:sz w:val="18"/>
          <w:szCs w:val="18"/>
          <w:color w:val="auto"/>
        </w:rPr>
      </w:pPr>
    </w:p>
    <w:p>
      <w:pPr>
        <w:ind w:left="740" w:hanging="587"/>
        <w:spacing w:after="0"/>
        <w:tabs>
          <w:tab w:leader="none" w:pos="7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211" w:lineRule="exact"/>
        <w:rPr>
          <w:rFonts w:ascii="Times New Roman" w:cs="Times New Roman" w:eastAsia="Times New Roman" w:hAnsi="Times New Roman"/>
          <w:sz w:val="18"/>
          <w:szCs w:val="18"/>
          <w:color w:val="auto"/>
        </w:rPr>
      </w:pPr>
    </w:p>
    <w:p>
      <w:pPr>
        <w:ind w:left="74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22" w:lineRule="exact"/>
        <w:rPr>
          <w:rFonts w:ascii="Times New Roman" w:cs="Times New Roman" w:eastAsia="Times New Roman" w:hAnsi="Times New Roman"/>
          <w:sz w:val="18"/>
          <w:szCs w:val="18"/>
          <w:color w:val="auto"/>
        </w:rPr>
      </w:pPr>
    </w:p>
    <w:p>
      <w:pPr>
        <w:ind w:left="740" w:hanging="587"/>
        <w:spacing w:after="0"/>
        <w:tabs>
          <w:tab w:leader="none" w:pos="7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32" w:lineRule="exact"/>
        <w:rPr>
          <w:rFonts w:ascii="Times New Roman" w:cs="Times New Roman" w:eastAsia="Times New Roman" w:hAnsi="Times New Roman"/>
          <w:sz w:val="18"/>
          <w:szCs w:val="18"/>
          <w:color w:val="auto"/>
        </w:rPr>
      </w:pPr>
    </w:p>
    <w:p>
      <w:pPr>
        <w:ind w:left="7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83.5% (See Item 5)*</w:t>
      </w:r>
    </w:p>
    <w:p>
      <w:pPr>
        <w:spacing w:after="0" w:line="36" w:lineRule="exact"/>
        <w:rPr>
          <w:rFonts w:ascii="Times New Roman" w:cs="Times New Roman" w:eastAsia="Times New Roman" w:hAnsi="Times New Roman"/>
          <w:sz w:val="18"/>
          <w:szCs w:val="18"/>
          <w:color w:val="auto"/>
        </w:rPr>
      </w:pPr>
    </w:p>
    <w:p>
      <w:pPr>
        <w:ind w:left="740" w:hanging="587"/>
        <w:spacing w:after="0"/>
        <w:tabs>
          <w:tab w:leader="none" w:pos="7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7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pacing w:after="0" w:line="279" w:lineRule="exact"/>
        <w:rPr>
          <w:rFonts w:ascii="Times New Roman" w:cs="Times New Roman" w:eastAsia="Times New Roman" w:hAnsi="Times New Roman"/>
          <w:sz w:val="18"/>
          <w:szCs w:val="18"/>
          <w:color w:val="auto"/>
        </w:rPr>
      </w:pPr>
    </w:p>
    <w:p>
      <w:pPr>
        <w:ind w:left="420" w:hanging="432"/>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upon (x) the sum of (i) 29,473,932 shares of the Issuer’s Common Stock held by Dr. Patrick Soon-Shiong; (ii) 1,159,398 shares of the Issuer’s Common Stock that Dr. Soon-Shiong has the right to acquire from the Issuer within 60 days of December 29, 2023 pursuant to the exercise of vested options; (iii) 261,705,814 shares of the Issuer’s Common Stock held by Cambridge Equities; (iv) 7,976,159 shares of the Issuer’s Common Stock held by California Capital; (v) 9,986,920 shares of the Issuer’s Common Stock held by NantWorks; (vi) 129,227,017 shares of the Issuer’s Common Stock held by Nant Capital; (vii) 162,466,280 shares of the Issuer’s Common Stock that Nant Capital has the right to acquire from the Issuer within 60 days of December 29, 2023 pursuant to the conversion of certain promissory notes; (viii) 8,383,414 shares of the Issuer’s Common Stock held by NantBio; (ix) 47,557,934 shares of the Issuer’s Common Stock held by NantMobile; (x) 32,606,985 shares of the Issuer’s Common Stock held by NantCancerStemCell; and (xi) 5,618,326 shares of the Issuer’s Common Stock held by the Chan</w:t>
      </w:r>
    </w:p>
    <w:p>
      <w:pPr>
        <w:sectPr>
          <w:pgSz w:w="11900" w:h="16838" w:orient="portrait"/>
          <w:cols w:equalWidth="0" w:num="1">
            <w:col w:w="10920"/>
          </w:cols>
          <w:pgMar w:left="440" w:top="270" w:right="539" w:bottom="1440" w:gutter="0" w:footer="0" w:header="0"/>
        </w:sectPr>
      </w:pPr>
    </w:p>
    <w:bookmarkStart w:id="8" w:name="page9"/>
    <w:bookmarkEnd w:id="8"/>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Soon-Shiong Family Foundation divided by (y) the sum of (i) 670,331,089 shares of the Issuer’s Common Stock issued and outstanding, as of December 29, 2023, as provided by the Issuer; (ii) 1,159,398 shares of the Issuer’s Common Stock that Dr. Soon-Shiong has the right to acquire from the Issuer within 60 days of December 29, 2023 pursuant to the exercise of vested options; and (iii) 162,466,280 shares of the Issuer’s Common Stock that Nant Capital has the right to acquire from the Issuer within 60 days of December 29, 2023 pursuant to the conversion of certain promissory notes. Dr. Soon-Shiong may be deemed to beneficially own, and share voting power and investment power over, all shares of the Issuer’s Common Stock beneficially owned by Cambridge Equities, California Capital, NantWorks, NantBio, NantMobile, NantCancerStemCell, Nant Capital, and the Chan Soon-Shiong Family Foundation. Dr. Soon-Shiong disclaims beneficial ownership of the shares of the Issuer’s Common Stock beneficially owned by Cambridge Equities, California Capital, NantWorks, NantBio, NantMobile, NantCancerStemCell, Nant Capital, and the Chan Soon-Shiong Family Foundation except to the extent of his pecuniary interest.</w:t>
      </w:r>
    </w:p>
    <w:p>
      <w:pPr>
        <w:sectPr>
          <w:pgSz w:w="11900" w:h="16838" w:orient="portrait"/>
          <w:cols w:equalWidth="0" w:num="1">
            <w:col w:w="10520"/>
          </w:cols>
          <w:pgMar w:left="860" w:top="270" w:right="519" w:bottom="1440" w:gutter="0" w:footer="0" w:header="0"/>
        </w:sectPr>
      </w:pPr>
    </w:p>
    <w:bookmarkStart w:id="9" w:name="page10"/>
    <w:bookmarkEnd w:id="9"/>
    <w:p>
      <w:pPr>
        <w:ind w:right="80"/>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Explanatory Note: This Amendment No. 10 amends and supplements the Schedule 13D (as so amended, this “Schedule 13D”) filed with the Securities and Exchange Commission (the “SEC”) on August 31, 2015, by the Reporting Persons (as defined below), with respect to the common stock, par value $0.0001 per share (“Common Stock”), of ImmunityBio, Inc. (formerly known as NantKwest, Inc.), a Delaware corporation (the “Issuer”), as amended by Amendment No. 1 thereto filed with the SEC on October 23, 2015, Amendment No. 2 thereto filed with the SEC on July 11, 2016, Amendment No. 3 thereto filed with the SEC on April 1, 2019, Amendment No. 4 thereto filed with the SEC on June 29, 2020, Amendment No. 5 thereto filed with the SEC on December 21, 2020, Amendment No. 6 thereto filed with the SEC on March 12, 2021, Amendment No. 7 thereto filed with the SEC on December 7, 2022, Amendment No. 8 thereto filed with the SEC on May 23, 2023 and Amendment No. 9 thereto filed with the SEC on</w:t>
      </w:r>
    </w:p>
    <w:p>
      <w:pPr>
        <w:spacing w:after="0" w:line="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September 11, 2023. Capitalized terms used herein and not otherwise defined in this Amendment No. 10 have the meanings set forth in the Schedule 13D. Among other things, this Amendment No. 10 reflects changes in ownership of the Reporting Persons as a result of an Amended and Restated Promissory Note dated December 29, 2023 between the Issuer and Nant Capital to extend the maturity dates of certain existing promissory notes with an aggregate principal amount of approximately $505 million held by Nant Capital from December 31, 2024 to December 31, 2025, and to allow Nant Capital, in its sole discretion, to convert up to an aggregate of $380 million of principal, plus accrued and unpaid interest thereon, into shares of Common Stock at a price per share of $8.27.</w:t>
      </w:r>
    </w:p>
    <w:p>
      <w:pPr>
        <w:sectPr>
          <w:pgSz w:w="11900" w:h="16838" w:orient="portrait"/>
          <w:cols w:equalWidth="0" w:num="1">
            <w:col w:w="10980"/>
          </w:cols>
          <w:pgMar w:left="440" w:top="270" w:right="479" w:bottom="1440" w:gutter="0" w:footer="0" w:header="0"/>
        </w:sectPr>
      </w:pPr>
    </w:p>
    <w:bookmarkStart w:id="10" w:name="page11"/>
    <w:bookmarkEnd w:id="10"/>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2.</w:t>
      </w:r>
      <w:r>
        <w:rPr>
          <w:sz w:val="20"/>
          <w:szCs w:val="20"/>
          <w:color w:val="auto"/>
        </w:rPr>
        <w:tab/>
      </w:r>
      <w:r>
        <w:rPr>
          <w:rFonts w:ascii="Times New Roman" w:cs="Times New Roman" w:eastAsia="Times New Roman" w:hAnsi="Times New Roman"/>
          <w:sz w:val="18"/>
          <w:szCs w:val="18"/>
          <w:b w:val="1"/>
          <w:bCs w:val="1"/>
          <w:color w:val="auto"/>
        </w:rPr>
        <w:t>Identity and Background.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2 of this Schedule 13D is hereby amended and restated as follows: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(f) This Schedule 13D is being filed jointly by:</w:t>
      </w:r>
    </w:p>
    <w:p>
      <w:pPr>
        <w:spacing w:after="0" w:line="131" w:lineRule="exact"/>
        <w:rPr>
          <w:sz w:val="20"/>
          <w:szCs w:val="20"/>
          <w:color w:val="auto"/>
        </w:rPr>
      </w:pPr>
    </w:p>
    <w:p>
      <w:pPr>
        <w:ind w:left="1420" w:hanging="439"/>
        <w:spacing w:after="0"/>
        <w:tabs>
          <w:tab w:leader="none" w:pos="14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Patrick Soon-Shiong, a natural person and citizen of the United States;</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Cambridge Equities, LP, a limited partnership organized under the laws of the State of Delaware (“Cambridge Equities”);</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MP 13 Ventures, LLC, a limited liability company organized under the laws of the State of Delaware (“MP 13 Ventures”);</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NantWorks, LLC, a limited liability company organized under the laws of the State of Delaware (“NantWorks”);</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NantMobile, LLC, a limited liability company organized under the laws of the State of Delaware (“NantMobile”);</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Nant Capital, LLC, a limited liability company organized under the laws of the State of Delaware (“Nant Capital”); and</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California Capital Equity, LLC, a limited liability company organized under the laws of the State of Delaware (“California Capital”).</w:t>
      </w:r>
    </w:p>
    <w:p>
      <w:pPr>
        <w:spacing w:after="0" w:line="23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persons and entities listed in items (i) through (vii) above are collectively referred to herein as the “Reporting Persons.”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Reporting Persons have entered into a joint filing agreement, a copy of which is attached as Exhibit 99.1.</w:t>
      </w:r>
    </w:p>
    <w:p>
      <w:pPr>
        <w:spacing w:after="0" w:line="117" w:lineRule="exact"/>
        <w:rPr>
          <w:sz w:val="20"/>
          <w:szCs w:val="20"/>
          <w:color w:val="auto"/>
        </w:rPr>
      </w:pPr>
    </w:p>
    <w:p>
      <w:pPr>
        <w:ind w:right="120" w:firstLine="436"/>
        <w:spacing w:after="0" w:line="261" w:lineRule="auto"/>
        <w:tabs>
          <w:tab w:leader="none" w:pos="69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the principal business and principal office of Dr. Patrick Soon-Shiong is c/o ImmunityBio, Inc., 3530 John Hopkins Court, San Diego, California 92121. The address of the principal business and principal office, as applicable, of each of Cambridge Equities, MP 13 Ventures, and California Capital is 450 Duley Road, El Segundo, California 90245. The address of the principal business and principal office, as applicable, of each of NantWorks, Nant Capital, NantMobile and Messrs. Kenworthy and Morse is 450 Duley Road, El Segundo, California 90245.</w:t>
      </w:r>
    </w:p>
    <w:p>
      <w:pPr>
        <w:spacing w:after="0" w:line="71" w:lineRule="exact"/>
        <w:rPr>
          <w:rFonts w:ascii="Times New Roman" w:cs="Times New Roman" w:eastAsia="Times New Roman" w:hAnsi="Times New Roman"/>
          <w:sz w:val="18"/>
          <w:szCs w:val="18"/>
          <w:color w:val="auto"/>
        </w:rPr>
      </w:pPr>
    </w:p>
    <w:p>
      <w:pPr>
        <w:ind w:firstLine="436"/>
        <w:spacing w:after="0" w:line="255" w:lineRule="auto"/>
        <w:tabs>
          <w:tab w:leader="none" w:pos="68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business of Cambridge Equities is investment. MP 13 Ventures is the general partner of Cambridge Equities and thus may be deemed to control Cambridge Equities. The principal business of MP 13 Ventures is investment. Dr. Soon-Shiong is the sole member of MP 13 Ventures and thus may be deemed to control MP 13 Ventures and each entity directly or indirectly controlled by MP 13 Ventures (including Cambridge Equities). The principal business of Nant Capital is investment. The principal business of California Capital is investment. California Capital is the sole shareholder of NantWorks. Dr. Soon Shiong is the sole member of Nant Capital and thus may be deemed to control Nant Capital. Dr. Soon-Shiong is the sole member of California Capital and thus may be deemed to control California Capital. Dr. Soon-Shiong is the Executive Chairman and Global Chief Scientific and Medical Officer of the Issuer.</w:t>
      </w:r>
    </w:p>
    <w:p>
      <w:pPr>
        <w:spacing w:after="0" w:line="189" w:lineRule="exact"/>
        <w:rPr>
          <w:sz w:val="20"/>
          <w:szCs w:val="20"/>
          <w:color w:val="auto"/>
        </w:rPr>
      </w:pPr>
    </w:p>
    <w:p>
      <w:pPr>
        <w:ind w:right="580" w:firstLine="440"/>
        <w:spacing w:after="0" w:line="277" w:lineRule="auto"/>
        <w:rPr>
          <w:sz w:val="20"/>
          <w:szCs w:val="20"/>
          <w:color w:val="auto"/>
        </w:rPr>
      </w:pPr>
      <w:r>
        <w:rPr>
          <w:rFonts w:ascii="Times New Roman" w:cs="Times New Roman" w:eastAsia="Times New Roman" w:hAnsi="Times New Roman"/>
          <w:sz w:val="17"/>
          <w:szCs w:val="17"/>
          <w:color w:val="auto"/>
        </w:rPr>
        <w:t>NantWorks is principally engaged in the business of being a holding company for healthcare and technology companies. NantWorks is the majority stockholder of NantBio, NantCancerStemCell, and NantMobile and thus may be deemed to control NantBio, NantCancerStemCell, and NantMobile. NantBio is the sole shareholder of NantCancerStemCell. Dr. Soon-Shiong indirectly beneficially owns all of the equity interests in NantWorks and thus may be deemed to control NantWorks and each entity directly or indirectly controlled by NantWorks (including NantBio, NantCancerStemCell, and NantMobile). NantMobile is in the business of technology solutions utilizing image recognition technology.</w:t>
      </w:r>
    </w:p>
    <w:p>
      <w:pPr>
        <w:spacing w:after="0" w:line="60" w:lineRule="exact"/>
        <w:rPr>
          <w:sz w:val="20"/>
          <w:szCs w:val="20"/>
          <w:color w:val="auto"/>
        </w:rPr>
      </w:pPr>
    </w:p>
    <w:p>
      <w:pPr>
        <w:ind w:right="120" w:firstLine="436"/>
        <w:spacing w:after="0" w:line="282" w:lineRule="auto"/>
        <w:tabs>
          <w:tab w:leader="none" w:pos="69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past five years, none of the Reporting Persons, or to the best knowledge of the Reporting Persons, any of the other persons named in this Item 2, has been convicted in a criminal proceeding (excluding traffic violations or similar misdemeanors).</w:t>
      </w:r>
    </w:p>
    <w:p>
      <w:pPr>
        <w:spacing w:after="0" w:line="53" w:lineRule="exact"/>
        <w:rPr>
          <w:rFonts w:ascii="Times New Roman" w:cs="Times New Roman" w:eastAsia="Times New Roman" w:hAnsi="Times New Roman"/>
          <w:sz w:val="18"/>
          <w:szCs w:val="18"/>
          <w:color w:val="auto"/>
        </w:rPr>
      </w:pPr>
    </w:p>
    <w:p>
      <w:pPr>
        <w:ind w:right="40" w:firstLine="436"/>
        <w:spacing w:after="0" w:line="261" w:lineRule="auto"/>
        <w:tabs>
          <w:tab w:leader="none" w:pos="68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past five years, none of the Reporting Persons, or to the best knowledge of the Reporting Persons, any of the other persons named in this Item 2, has been a party to a civil proceeding of a judicial or administrative body of competent jurisdiction and as a result of such proceeding such person was or is subject to a judgment, decree or final order enjoining future violations of, or prohibiting or mandating activities subject to, federal or state securities laws or finding any violation with respect to such laws.</w:t>
      </w:r>
    </w:p>
    <w:p>
      <w:pPr>
        <w:sectPr>
          <w:pgSz w:w="11900" w:h="16838" w:orient="portrait"/>
          <w:cols w:equalWidth="0" w:num="1">
            <w:col w:w="10980"/>
          </w:cols>
          <w:pgMar w:left="440" w:top="266" w:right="479" w:bottom="1440" w:gutter="0" w:footer="0" w:header="0"/>
        </w:sectPr>
      </w:pPr>
    </w:p>
    <w:bookmarkStart w:id="11" w:name="page12"/>
    <w:bookmarkEnd w:id="11"/>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3.</w:t>
      </w:r>
      <w:r>
        <w:rPr>
          <w:sz w:val="20"/>
          <w:szCs w:val="20"/>
          <w:color w:val="auto"/>
        </w:rPr>
        <w:tab/>
      </w:r>
      <w:r>
        <w:rPr>
          <w:rFonts w:ascii="Times New Roman" w:cs="Times New Roman" w:eastAsia="Times New Roman" w:hAnsi="Times New Roman"/>
          <w:sz w:val="17"/>
          <w:szCs w:val="17"/>
          <w:b w:val="1"/>
          <w:bCs w:val="1"/>
          <w:color w:val="auto"/>
        </w:rPr>
        <w:t>Source and Amount of Funds or Other Consideration.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3 of this Schedule 13D is hereby amended by the addition of the following:</w:t>
      </w:r>
    </w:p>
    <w:p>
      <w:pPr>
        <w:spacing w:after="0" w:line="11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December 29, 2023, ImmunityBio, Inc. (the “Company”) and Nant Capital entered into an Amended and Restated Promissory Note pursuant to which the Company and Nant Capital agreed to extend the maturity dates of certain existing promissory notes with an aggregate principal amount of approximately $505 million held by Nant Capital from December 31, 2024 to December 31, 2025, and to allow Nant Capital, in its sole discretion, to convert up to an aggregate of $380 million of principal, plus accrued and unpaid interest thereon, into shares of Common Stock at a price per share of $8.27.</w:t>
      </w:r>
    </w:p>
    <w:p>
      <w:pPr>
        <w:sectPr>
          <w:pgSz w:w="11900" w:h="16838" w:orient="portrait"/>
          <w:cols w:equalWidth="0" w:num="1">
            <w:col w:w="10760"/>
          </w:cols>
          <w:pgMar w:left="440" w:top="266" w:right="699" w:bottom="1440" w:gutter="0" w:footer="0" w:header="0"/>
        </w:sectPr>
      </w:pPr>
    </w:p>
    <w:bookmarkStart w:id="12" w:name="page13"/>
    <w:bookmarkEnd w:id="12"/>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5.</w:t>
      </w:r>
      <w:r>
        <w:rPr>
          <w:sz w:val="20"/>
          <w:szCs w:val="20"/>
          <w:color w:val="auto"/>
        </w:rPr>
        <w:tab/>
      </w:r>
      <w:r>
        <w:rPr>
          <w:rFonts w:ascii="Times New Roman" w:cs="Times New Roman" w:eastAsia="Times New Roman" w:hAnsi="Times New Roman"/>
          <w:sz w:val="17"/>
          <w:szCs w:val="17"/>
          <w:b w:val="1"/>
          <w:bCs w:val="1"/>
          <w:color w:val="auto"/>
        </w:rPr>
        <w:t>Interest in Securities of the Issuer.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disclosure in Item 5 is hereby amended and restated as follows:</w:t>
      </w:r>
    </w:p>
    <w:p>
      <w:pPr>
        <w:spacing w:after="0" w:line="117" w:lineRule="exact"/>
        <w:rPr>
          <w:sz w:val="20"/>
          <w:szCs w:val="20"/>
          <w:color w:val="auto"/>
        </w:rPr>
      </w:pPr>
    </w:p>
    <w:p>
      <w:pPr>
        <w:ind w:firstLine="436"/>
        <w:spacing w:after="0" w:line="266" w:lineRule="auto"/>
        <w:tabs>
          <w:tab w:leader="none" w:pos="68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(b) Cambridge Equities beneficially owns 261,705,814 shares of the Issuer’s Common Stock, representing approximately 39.0% of the issued and outstanding Common Stock of the Issuer. MP 13 Ventures may be deemed to beneficially own, and share voting power and investment power with Cambridge Equities over, all shares of Common Stock beneficially owned by Cambridge Equities.</w:t>
      </w:r>
    </w:p>
    <w:p>
      <w:pPr>
        <w:spacing w:after="0" w:line="176" w:lineRule="exact"/>
        <w:rPr>
          <w:sz w:val="20"/>
          <w:szCs w:val="20"/>
          <w:color w:val="auto"/>
        </w:rPr>
      </w:pPr>
    </w:p>
    <w:p>
      <w:pPr>
        <w:ind w:right="260" w:firstLine="440"/>
        <w:spacing w:after="0" w:line="274" w:lineRule="auto"/>
        <w:rPr>
          <w:sz w:val="20"/>
          <w:szCs w:val="20"/>
          <w:color w:val="auto"/>
        </w:rPr>
      </w:pPr>
      <w:r>
        <w:rPr>
          <w:rFonts w:ascii="Times New Roman" w:cs="Times New Roman" w:eastAsia="Times New Roman" w:hAnsi="Times New Roman"/>
          <w:sz w:val="17"/>
          <w:szCs w:val="17"/>
          <w:color w:val="auto"/>
        </w:rPr>
        <w:t>NantWorks beneficially owns 9,986,920 shares of the Issuer’s Common Stock. NantWorks is the majority shareholder of NantBio, which beneficially owns 8,383,414 shares of the Issuer’s Common Stock, NantMobile, which beneficially owns 47,557,934 shares of the Issuer’s Common Stock, and NantCancerStemCell, which beneficially owns 32,606,985 shares of the Issuer’s Common Stock, and as a result may be deemed to beneficially own, and share voting power and investment power over, all of the shares of the Issuer’s Common Stock described above as being beneficially owned by NantBio, NantMobile and NantCancerStemCell. As a result, NantWorks may be deemed to beneficially own, in the aggregate, 98,535,253 shares of the Issuer’s Common Stock, representing approximately 14.7% of the issued and outstanding Common Stock of the Issuer.</w:t>
      </w:r>
    </w:p>
    <w:p>
      <w:pPr>
        <w:spacing w:after="0" w:line="173"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NantMobile beneficially owns 47,557,934 shares of the Issuer’s Common Stock, representing approximately 7.1% of the issued and outstanding Common Stock of the Issuer.</w:t>
      </w:r>
    </w:p>
    <w:p>
      <w:pPr>
        <w:spacing w:after="0" w:line="162" w:lineRule="exact"/>
        <w:rPr>
          <w:sz w:val="20"/>
          <w:szCs w:val="20"/>
          <w:color w:val="auto"/>
        </w:rPr>
      </w:pPr>
    </w:p>
    <w:p>
      <w:pPr>
        <w:ind w:right="260" w:firstLine="440"/>
        <w:spacing w:after="0" w:line="261" w:lineRule="auto"/>
        <w:rPr>
          <w:sz w:val="20"/>
          <w:szCs w:val="20"/>
          <w:color w:val="auto"/>
        </w:rPr>
      </w:pPr>
      <w:r>
        <w:rPr>
          <w:rFonts w:ascii="Times New Roman" w:cs="Times New Roman" w:eastAsia="Times New Roman" w:hAnsi="Times New Roman"/>
          <w:sz w:val="18"/>
          <w:szCs w:val="18"/>
          <w:color w:val="auto"/>
        </w:rPr>
        <w:t>Nant Capital beneficially owns, in the aggregate, 291,693,297 shares of the Issuer’s Common Stock, consisting of 129,227,017 shares of the Issuer’s Common Stock directly owned by Nant Capital and 162,466,280 shares of the Issuer’s Common Stock that may be acquired by Nant Capital within 60 days of December 29, 2023 pursuant to the conversion of certain promissory notes, representing approximately 35.0% of the issued and outstanding Common Stock of the Issuer.</w:t>
      </w:r>
    </w:p>
    <w:p>
      <w:pPr>
        <w:spacing w:after="0" w:line="180"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California Capital beneficially owns 7,976,159 shares of the Issuer’s Common Stock. California Capital is the sole shareholder of NantWorks and may be deemed to beneficially own, and share voting power and investment power over, all of the shares of the Issuer’s Common Stock described above as being beneficially owned by NantWorks, NantBio, NantMobile and NantCancerStemCell. As a result, California Capital may be deemed to beneficially own, in the aggregate, 106,511,412 shares of the Issuer’s Common Stock, representing approximately 15.9% of the issued and outstanding Common Stock of the Issuer.</w:t>
      </w:r>
    </w:p>
    <w:p>
      <w:pPr>
        <w:spacing w:after="0" w:line="183"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Dr. Soon-Shiong beneficially owns 30,633,330 shares of the Issuer’s Common Stock, which consists of 29,473,932 shares of the Issuer’s Common Stock directly owned by Dr. Soon-Shiong and options to purchase a total of 1,159,398 shares of the Issuer’s Common Stock held by Dr. Soon-Shiong that are fully-vested. Dr. Soon-Shiong has the sole power to vote or direct the vote, and the sole power to dispose or direct the disposition, of all such 30,633,330 shares of the Issuer’s Common Stock. In addition, Dr. Soon-Shiong may be deemed to beneficially own, and share voting power and investment power over, all shares of the Issuer’s Common Stock described above as being beneficially owned by Cambridge Equities, NantWorks, NantBio, NantMobile, NantCancerStemCell, Nant Capital and California Capital, as well as 5,618,326 shares of the Issuer’s Common Stock held by the Chan Soon-Shiong Family Foundation, an exempt corporation organized under the laws of the State of Delaware, of which Dr. Soon-Shiong is the Chairman. As a result, Dr. Soon-Shiong may be deemed to beneficially own, in the aggregate, 696,162,179 shares of the Issuer’s Common Stock, representing approximately 83.5% of the issued and outstanding Common Stock of the Issuer.</w:t>
      </w:r>
    </w:p>
    <w:p>
      <w:pPr>
        <w:spacing w:after="0" w:line="188"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For purposes of this Item 5(a) and (b), the percentages are calculated based upon (x) the shares of the Issuer’s Common Stock beneficially owned by the Reporting Person, divided by (y) the sum of (i) 670,331,089 shares of the Issuer’s Common Stock issued and outstanding as of</w:t>
      </w:r>
    </w:p>
    <w:p>
      <w:pPr>
        <w:ind w:right="120"/>
        <w:spacing w:after="0" w:line="253" w:lineRule="auto"/>
        <w:rPr>
          <w:sz w:val="20"/>
          <w:szCs w:val="20"/>
          <w:color w:val="auto"/>
        </w:rPr>
      </w:pPr>
      <w:r>
        <w:rPr>
          <w:rFonts w:ascii="Times New Roman" w:cs="Times New Roman" w:eastAsia="Times New Roman" w:hAnsi="Times New Roman"/>
          <w:sz w:val="18"/>
          <w:szCs w:val="18"/>
          <w:color w:val="auto"/>
        </w:rPr>
        <w:t>December 29, 2023 as provided by the Issuer, and (ii) in the case of (y) Nant Capital, 162,466,280 shares of the Issuer’s Common Stock issuable to Nant Capital upon the conversion of convertible promissory notes and (z) Dr. Soon-Shiong, 162,466,280 shares of the Issuer’s Common Stock issuable upon the conversion of certain promissory notes to Nant Capital and options to purchase a total of 1,159,398 shares of the Issuer’s Common Stock held by Dr. Soon-Shiong that are fully-vested.</w:t>
      </w:r>
    </w:p>
    <w:p>
      <w:pPr>
        <w:spacing w:after="0" w:line="81" w:lineRule="exact"/>
        <w:rPr>
          <w:sz w:val="20"/>
          <w:szCs w:val="20"/>
          <w:color w:val="auto"/>
        </w:rPr>
      </w:pPr>
    </w:p>
    <w:p>
      <w:pPr>
        <w:ind w:left="680" w:hanging="244"/>
        <w:spacing w:after="0"/>
        <w:tabs>
          <w:tab w:leader="none" w:pos="6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set forth in Item 3 of this Schedule 13D is incorporated herein by reference.</w:t>
      </w:r>
    </w:p>
    <w:p>
      <w:pPr>
        <w:spacing w:after="0" w:line="117" w:lineRule="exact"/>
        <w:rPr>
          <w:rFonts w:ascii="Times New Roman" w:cs="Times New Roman" w:eastAsia="Times New Roman" w:hAnsi="Times New Roman"/>
          <w:sz w:val="18"/>
          <w:szCs w:val="18"/>
          <w:color w:val="auto"/>
        </w:rPr>
      </w:pPr>
    </w:p>
    <w:p>
      <w:pPr>
        <w:ind w:right="20" w:firstLine="436"/>
        <w:spacing w:after="0" w:line="282" w:lineRule="auto"/>
        <w:tabs>
          <w:tab w:leader="none" w:pos="69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Reporting Persons, other than as described in this Schedule 13D, no other person is known to have the right to receive or the power to direct the receipt of dividends from, or the proceeds from the sale of the shares owned by it.</w:t>
      </w:r>
    </w:p>
    <w:p>
      <w:pPr>
        <w:spacing w:after="0" w:line="53"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000"/>
          </w:cols>
          <w:pgMar w:left="440" w:top="266" w:right="459" w:bottom="1440" w:gutter="0" w:footer="0" w:header="0"/>
        </w:sectPr>
      </w:pPr>
    </w:p>
    <w:bookmarkStart w:id="13" w:name="page14"/>
    <w:bookmarkEnd w:id="13"/>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7.</w:t>
      </w:r>
      <w:r>
        <w:rPr>
          <w:sz w:val="20"/>
          <w:szCs w:val="20"/>
          <w:color w:val="auto"/>
        </w:rPr>
        <w:tab/>
      </w:r>
      <w:r>
        <w:rPr>
          <w:rFonts w:ascii="Times New Roman" w:cs="Times New Roman" w:eastAsia="Times New Roman" w:hAnsi="Times New Roman"/>
          <w:sz w:val="17"/>
          <w:szCs w:val="17"/>
          <w:b w:val="1"/>
          <w:bCs w:val="1"/>
          <w:color w:val="auto"/>
        </w:rPr>
        <w:t>Material to be Filed as Exhibits.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documents are filed as exhibits: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72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60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72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4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9"/>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10480" w:type="dxa"/>
            <w:vAlign w:val="bottom"/>
            <w:gridSpan w:val="4"/>
          </w:tcPr>
          <w:p>
            <w:pPr>
              <w:ind w:left="540"/>
              <w:spacing w:after="0"/>
              <w:rPr>
                <w:sz w:val="20"/>
                <w:szCs w:val="20"/>
                <w:color w:val="auto"/>
              </w:rPr>
            </w:pPr>
            <w:r>
              <w:rPr>
                <w:rFonts w:ascii="Times New Roman" w:cs="Times New Roman" w:eastAsia="Times New Roman" w:hAnsi="Times New Roman"/>
                <w:sz w:val="18"/>
                <w:szCs w:val="18"/>
                <w:color w:val="auto"/>
                <w:w w:val="99"/>
              </w:rPr>
              <w:t>Joint Filing Agreement, dated as of September 21, 2023, by and among Cambridge Equities, LP, MP 13 Ventures, LLC, NantWorks, LLC,</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480" w:type="dxa"/>
            <w:vAlign w:val="bottom"/>
            <w:gridSpan w:val="4"/>
          </w:tcPr>
          <w:p>
            <w:pPr>
              <w:ind w:left="540"/>
              <w:spacing w:after="0"/>
              <w:rPr>
                <w:sz w:val="20"/>
                <w:szCs w:val="20"/>
                <w:color w:val="auto"/>
              </w:rPr>
            </w:pPr>
            <w:r>
              <w:rPr>
                <w:rFonts w:ascii="Times New Roman" w:cs="Times New Roman" w:eastAsia="Times New Roman" w:hAnsi="Times New Roman"/>
                <w:sz w:val="18"/>
                <w:szCs w:val="18"/>
                <w:color w:val="auto"/>
              </w:rPr>
              <w:t>NantMobile, LLC, Nant Capital, LLC, California Capital Equity, LLC, and Patrick Soon-Shiong (incorporated by reference to</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10480" w:type="dxa"/>
            <w:vAlign w:val="bottom"/>
            <w:gridSpan w:val="4"/>
          </w:tcPr>
          <w:p>
            <w:pPr>
              <w:ind w:left="540"/>
              <w:spacing w:after="0"/>
              <w:rPr>
                <w:sz w:val="20"/>
                <w:szCs w:val="20"/>
                <w:color w:val="auto"/>
              </w:rPr>
            </w:pPr>
            <w:r>
              <w:rPr>
                <w:rFonts w:ascii="Times New Roman" w:cs="Times New Roman" w:eastAsia="Times New Roman" w:hAnsi="Times New Roman"/>
                <w:sz w:val="18"/>
                <w:szCs w:val="18"/>
                <w:color w:val="auto"/>
              </w:rPr>
              <w:t>Exhibit 99.1 to the Sch 13D/A (Amendment No. 9) filed with the SEC by the Reporting Persons on September 21, 2023).</w:t>
            </w:r>
          </w:p>
        </w:tc>
        <w:tc>
          <w:tcPr>
            <w:tcW w:w="0" w:type="dxa"/>
            <w:vAlign w:val="bottom"/>
          </w:tcPr>
          <w:p>
            <w:pPr>
              <w:spacing w:after="0"/>
              <w:rPr>
                <w:sz w:val="1"/>
                <w:szCs w:val="1"/>
                <w:color w:val="auto"/>
              </w:rPr>
            </w:pPr>
          </w:p>
        </w:tc>
      </w:tr>
      <w:tr>
        <w:trPr>
          <w:trHeight w:val="30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99.2</w:t>
            </w:r>
          </w:p>
        </w:tc>
        <w:tc>
          <w:tcPr>
            <w:tcW w:w="10480" w:type="dxa"/>
            <w:vAlign w:val="bottom"/>
            <w:gridSpan w:val="4"/>
          </w:tcPr>
          <w:p>
            <w:pPr>
              <w:ind w:left="540"/>
              <w:spacing w:after="0"/>
              <w:rPr>
                <w:sz w:val="20"/>
                <w:szCs w:val="20"/>
                <w:color w:val="auto"/>
              </w:rPr>
            </w:pPr>
            <w:r>
              <w:rPr>
                <w:rFonts w:ascii="Times New Roman" w:cs="Times New Roman" w:eastAsia="Times New Roman" w:hAnsi="Times New Roman"/>
                <w:sz w:val="18"/>
                <w:szCs w:val="18"/>
                <w:color w:val="auto"/>
              </w:rPr>
              <w:t>Nominating Agreement by and between the Issuer and Cambridge Equities, LP, dated June 18, 2015 (incorporated by reference to</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10480" w:type="dxa"/>
            <w:vAlign w:val="bottom"/>
            <w:gridSpan w:val="4"/>
          </w:tcPr>
          <w:p>
            <w:pPr>
              <w:ind w:left="540"/>
              <w:spacing w:after="0"/>
              <w:rPr>
                <w:sz w:val="20"/>
                <w:szCs w:val="20"/>
                <w:color w:val="auto"/>
              </w:rPr>
            </w:pPr>
            <w:r>
              <w:rPr>
                <w:rFonts w:ascii="Times New Roman" w:cs="Times New Roman" w:eastAsia="Times New Roman" w:hAnsi="Times New Roman"/>
                <w:sz w:val="18"/>
                <w:szCs w:val="18"/>
                <w:color w:val="auto"/>
              </w:rPr>
              <w:t>Exhibit 4.1 to the Issuer’s Registration Statement on Form S-1 (File No. 333-205124) filed with the SEC on June 19, 2015).</w:t>
            </w:r>
          </w:p>
        </w:tc>
        <w:tc>
          <w:tcPr>
            <w:tcW w:w="0" w:type="dxa"/>
            <w:vAlign w:val="bottom"/>
          </w:tcPr>
          <w:p>
            <w:pPr>
              <w:spacing w:after="0"/>
              <w:rPr>
                <w:sz w:val="1"/>
                <w:szCs w:val="1"/>
                <w:color w:val="auto"/>
              </w:rPr>
            </w:pPr>
          </w:p>
        </w:tc>
      </w:tr>
      <w:tr>
        <w:trPr>
          <w:trHeight w:val="30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99.3</w:t>
            </w:r>
          </w:p>
        </w:tc>
        <w:tc>
          <w:tcPr>
            <w:tcW w:w="10480" w:type="dxa"/>
            <w:vAlign w:val="bottom"/>
            <w:gridSpan w:val="4"/>
          </w:tcPr>
          <w:p>
            <w:pPr>
              <w:ind w:left="540"/>
              <w:spacing w:after="0"/>
              <w:rPr>
                <w:sz w:val="20"/>
                <w:szCs w:val="20"/>
                <w:color w:val="auto"/>
              </w:rPr>
            </w:pPr>
            <w:r>
              <w:rPr>
                <w:rFonts w:ascii="Times New Roman" w:cs="Times New Roman" w:eastAsia="Times New Roman" w:hAnsi="Times New Roman"/>
                <w:sz w:val="18"/>
                <w:szCs w:val="18"/>
                <w:color w:val="auto"/>
              </w:rPr>
              <w:t>Registration Rights Agreement by and between the Issuer and Cambridge Equities, LP, dated December 23, 2014 (incorporated by</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10480" w:type="dxa"/>
            <w:vAlign w:val="bottom"/>
            <w:gridSpan w:val="4"/>
          </w:tcPr>
          <w:p>
            <w:pPr>
              <w:ind w:left="540"/>
              <w:spacing w:after="0"/>
              <w:rPr>
                <w:sz w:val="20"/>
                <w:szCs w:val="20"/>
                <w:color w:val="auto"/>
              </w:rPr>
            </w:pPr>
            <w:r>
              <w:rPr>
                <w:rFonts w:ascii="Times New Roman" w:cs="Times New Roman" w:eastAsia="Times New Roman" w:hAnsi="Times New Roman"/>
                <w:sz w:val="18"/>
                <w:szCs w:val="18"/>
                <w:color w:val="auto"/>
              </w:rPr>
              <w:t>reference to Exhibit 4.3 to the Issuer’s Registration Statement on Form S-1 (File No. 333-205124) filed with the SEC on June 19, 2015).</w:t>
            </w:r>
          </w:p>
        </w:tc>
        <w:tc>
          <w:tcPr>
            <w:tcW w:w="0" w:type="dxa"/>
            <w:vAlign w:val="bottom"/>
          </w:tcPr>
          <w:p>
            <w:pPr>
              <w:spacing w:after="0"/>
              <w:rPr>
                <w:sz w:val="1"/>
                <w:szCs w:val="1"/>
                <w:color w:val="auto"/>
              </w:rPr>
            </w:pPr>
          </w:p>
        </w:tc>
      </w:tr>
      <w:tr>
        <w:trPr>
          <w:trHeight w:val="392"/>
        </w:trPr>
        <w:tc>
          <w:tcPr>
            <w:tcW w:w="5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440" w:top="266" w:right="479" w:bottom="1440" w:gutter="0" w:footer="0" w:header="0"/>
        </w:sectPr>
      </w:pPr>
    </w:p>
    <w:bookmarkStart w:id="14" w:name="page15"/>
    <w:bookmarkEnd w:id="14"/>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the knowledge and belief of the undersigned,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January 3, 2024</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CAMBRIDGE EQUITIES, LP</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MP 13 Ventures, LLC, its General Partner</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Charles Kenworthy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Its:  Manager</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MP 13 VENTURES, LLC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Charles Kenworthy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Its:  Manager</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NANTWORKS, LLC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Robert Morse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Its:  CFO</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NANTMOBILE, LLC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Robert Morse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Its:  CFO</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NANT CAPITAL, LLC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Charles Kenworthy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Its:  Manager</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CALIFORNIA CAPITAL EQUITY, LLC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Charles Kenworthy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Its:  Manager</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PATRICK SOON-SHIONG</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Patrick Soon-Shiong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ectPr>
          <w:pgSz w:w="11900" w:h="16838" w:orient="portrait"/>
          <w:cols w:equalWidth="0" w:num="1">
            <w:col w:w="10320"/>
          </w:cols>
          <w:pgMar w:left="440" w:top="266" w:right="11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8"/>
        </w:trPr>
        <w:tc>
          <w:tcPr>
            <w:tcW w:w="500" w:type="dxa"/>
            <w:vAlign w:val="bottom"/>
          </w:tcPr>
          <w:p>
            <w:pPr>
              <w:spacing w:after="0"/>
              <w:rPr>
                <w:sz w:val="20"/>
                <w:szCs w:val="20"/>
                <w:color w:val="auto"/>
              </w:rPr>
            </w:pPr>
          </w:p>
        </w:tc>
        <w:tc>
          <w:tcPr>
            <w:tcW w:w="10480" w:type="dxa"/>
            <w:vAlign w:val="bottom"/>
            <w:gridSpan w:val="3"/>
          </w:tcPr>
          <w:p>
            <w:pPr>
              <w:ind w:left="448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67"/>
        </w:trPr>
        <w:tc>
          <w:tcPr>
            <w:tcW w:w="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160" w:type="dxa"/>
            <w:vAlign w:val="bottom"/>
          </w:tcPr>
          <w:p>
            <w:pPr>
              <w:spacing w:after="0"/>
              <w:rPr>
                <w:sz w:val="24"/>
                <w:szCs w:val="24"/>
                <w:color w:val="auto"/>
              </w:rPr>
            </w:pPr>
          </w:p>
        </w:tc>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60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5160" w:type="dxa"/>
            <w:vAlign w:val="bottom"/>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4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9"/>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1048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w w:val="99"/>
              </w:rPr>
              <w:t>Joint Filing Agreement, dated as of September 21, 2023, by and among Cambridge Equities, LP, MP 13 Ventures, LLC, NantWorks, LLC,</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48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NantMobile, LLC, Nant Capital, LLC, California Capital Equity, LLC, and Patrick Soon-Shiong (incorporated by reference to</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1048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Exhibit 99.1 to the Sch 13D/A (Amendment No. 9) filed with the SEC by the Reporting Persons on September 21, 2023).</w:t>
            </w:r>
          </w:p>
        </w:tc>
        <w:tc>
          <w:tcPr>
            <w:tcW w:w="0" w:type="dxa"/>
            <w:vAlign w:val="bottom"/>
          </w:tcPr>
          <w:p>
            <w:pPr>
              <w:spacing w:after="0"/>
              <w:rPr>
                <w:sz w:val="1"/>
                <w:szCs w:val="1"/>
                <w:color w:val="auto"/>
              </w:rPr>
            </w:pPr>
          </w:p>
        </w:tc>
      </w:tr>
      <w:tr>
        <w:trPr>
          <w:trHeight w:val="30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99.2</w:t>
            </w:r>
          </w:p>
        </w:tc>
        <w:tc>
          <w:tcPr>
            <w:tcW w:w="1048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Nominating Agreement by and between the Issuer and Cambridge Equities, LP, dated June 18, 2015 (incorporated by reference to</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1048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Exhibit 4.1 to the Issuer’s Registration Statement on Form S-1 (File No. 333-205124) filed with the SEC on June 19, 2015).</w:t>
            </w:r>
          </w:p>
        </w:tc>
        <w:tc>
          <w:tcPr>
            <w:tcW w:w="0" w:type="dxa"/>
            <w:vAlign w:val="bottom"/>
          </w:tcPr>
          <w:p>
            <w:pPr>
              <w:spacing w:after="0"/>
              <w:rPr>
                <w:sz w:val="1"/>
                <w:szCs w:val="1"/>
                <w:color w:val="auto"/>
              </w:rPr>
            </w:pPr>
          </w:p>
        </w:tc>
      </w:tr>
      <w:tr>
        <w:trPr>
          <w:trHeight w:val="30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99.3</w:t>
            </w:r>
          </w:p>
        </w:tc>
        <w:tc>
          <w:tcPr>
            <w:tcW w:w="1048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Registration Rights Agreement by and between the Issuer and Cambridge Equities, LP, dated December 23, 2014 (incorporated by</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1048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reference to Exhibit 4.3 to the Issuer’s Registration Statement on Form S-1 (File No. 333-205124) filed with the SEC on June 19, 2015).</w:t>
            </w:r>
          </w:p>
        </w:tc>
        <w:tc>
          <w:tcPr>
            <w:tcW w:w="0" w:type="dxa"/>
            <w:vAlign w:val="bottom"/>
          </w:tcPr>
          <w:p>
            <w:pPr>
              <w:spacing w:after="0"/>
              <w:rPr>
                <w:sz w:val="1"/>
                <w:szCs w:val="1"/>
                <w:color w:val="auto"/>
              </w:rPr>
            </w:pPr>
          </w:p>
        </w:tc>
      </w:tr>
    </w:tbl>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sectPr>
      <w:pgSz w:w="11900" w:h="16838" w:orient="portrait"/>
      <w:cols w:equalWidth="0" w:num="1">
        <w:col w:w="10980"/>
      </w:cols>
      <w:pgMar w:left="440" w:top="266"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1)"/>
      <w:numFmt w:val="decimal"/>
      <w:start w:val="1"/>
    </w:lvl>
  </w:abstractNum>
  <w:abstractNum w:abstractNumId="2">
    <w:nsid w:val="3F2DBA31"/>
    <w:multiLevelType w:val="hybridMultilevel"/>
    <w:lvl w:ilvl="0">
      <w:lvlJc w:val="left"/>
      <w:lvlText w:val="(%1)"/>
      <w:numFmt w:val="decimal"/>
      <w:start w:val="3"/>
    </w:lvl>
  </w:abstractNum>
  <w:abstractNum w:abstractNumId="3">
    <w:nsid w:val="7C83E458"/>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4">
    <w:nsid w:val="257130A3"/>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5">
    <w:nsid w:val="62BBD95A"/>
    <w:multiLevelType w:val="hybridMultilevel"/>
    <w:lvl w:ilvl="0">
      <w:lvlJc w:val="left"/>
      <w:lvlText w:val="(%1)"/>
      <w:numFmt w:val="decimal"/>
      <w:start w:val="1"/>
    </w:lvl>
  </w:abstractNum>
  <w:abstractNum w:abstractNumId="6">
    <w:nsid w:val="436C6125"/>
    <w:multiLevelType w:val="hybridMultilevel"/>
    <w:lvl w:ilvl="0">
      <w:lvlJc w:val="left"/>
      <w:lvlText w:val="(%1)"/>
      <w:numFmt w:val="decimal"/>
      <w:start w:val="3"/>
    </w:lvl>
  </w:abstractNum>
  <w:abstractNum w:abstractNumId="7">
    <w:nsid w:val="628C895D"/>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8">
    <w:nsid w:val="333AB105"/>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9">
    <w:nsid w:val="721DA317"/>
    <w:multiLevelType w:val="hybridMultilevel"/>
    <w:lvl w:ilvl="0">
      <w:lvlJc w:val="left"/>
      <w:lvlText w:val="(%1)"/>
      <w:numFmt w:val="decimal"/>
      <w:start w:val="1"/>
    </w:lvl>
  </w:abstractNum>
  <w:abstractNum w:abstractNumId="10">
    <w:nsid w:val="2443A858"/>
    <w:multiLevelType w:val="hybridMultilevel"/>
    <w:lvl w:ilvl="0">
      <w:lvlJc w:val="left"/>
      <w:lvlText w:val="(%1)"/>
      <w:numFmt w:val="decimal"/>
      <w:start w:val="3"/>
    </w:lvl>
  </w:abstractNum>
  <w:abstractNum w:abstractNumId="11">
    <w:nsid w:val="2D1D5AE9"/>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12">
    <w:nsid w:val="6763845E"/>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13">
    <w:nsid w:val="75A2A8D4"/>
    <w:multiLevelType w:val="hybridMultilevel"/>
    <w:lvl w:ilvl="0">
      <w:lvlJc w:val="left"/>
      <w:lvlText w:val="(%1)"/>
      <w:numFmt w:val="decimal"/>
      <w:start w:val="1"/>
    </w:lvl>
  </w:abstractNum>
  <w:abstractNum w:abstractNumId="14">
    <w:nsid w:val="8EDBDAB"/>
    <w:multiLevelType w:val="hybridMultilevel"/>
    <w:lvl w:ilvl="0">
      <w:lvlJc w:val="left"/>
      <w:lvlText w:val="(%1)"/>
      <w:numFmt w:val="decimal"/>
      <w:start w:val="3"/>
    </w:lvl>
  </w:abstractNum>
  <w:abstractNum w:abstractNumId="15">
    <w:nsid w:val="79838CB2"/>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16">
    <w:nsid w:val="4353D0CD"/>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17">
    <w:nsid w:val="B03E0C6"/>
    <w:multiLevelType w:val="hybridMultilevel"/>
    <w:lvl w:ilvl="0">
      <w:lvlJc w:val="left"/>
      <w:lvlText w:val="(%1)"/>
      <w:numFmt w:val="decimal"/>
      <w:start w:val="1"/>
    </w:lvl>
  </w:abstractNum>
  <w:abstractNum w:abstractNumId="18">
    <w:nsid w:val="189A769B"/>
    <w:multiLevelType w:val="hybridMultilevel"/>
    <w:lvl w:ilvl="0">
      <w:lvlJc w:val="left"/>
      <w:lvlText w:val="(%1)"/>
      <w:numFmt w:val="decimal"/>
      <w:start w:val="3"/>
    </w:lvl>
  </w:abstractNum>
  <w:abstractNum w:abstractNumId="19">
    <w:nsid w:val="54E49EB4"/>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20">
    <w:nsid w:val="71F32454"/>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21">
    <w:nsid w:val="2CA88611"/>
    <w:multiLevelType w:val="hybridMultilevel"/>
    <w:lvl w:ilvl="0">
      <w:lvlJc w:val="left"/>
      <w:lvlText w:val="(%1)"/>
      <w:numFmt w:val="decimal"/>
      <w:start w:val="1"/>
    </w:lvl>
  </w:abstractNum>
  <w:abstractNum w:abstractNumId="22">
    <w:nsid w:val="836C40E"/>
    <w:multiLevelType w:val="hybridMultilevel"/>
    <w:lvl w:ilvl="0">
      <w:lvlJc w:val="left"/>
      <w:lvlText w:val="(%1)"/>
      <w:numFmt w:val="decimal"/>
      <w:start w:val="3"/>
    </w:lvl>
  </w:abstractNum>
  <w:abstractNum w:abstractNumId="23">
    <w:nsid w:val="2901D82"/>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24">
    <w:nsid w:val="3A95F874"/>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25">
    <w:nsid w:val="8138641"/>
    <w:multiLevelType w:val="hybridMultilevel"/>
    <w:lvl w:ilvl="0">
      <w:lvlJc w:val="left"/>
      <w:lvlText w:val="(%1)"/>
      <w:numFmt w:val="decimal"/>
      <w:start w:val="1"/>
    </w:lvl>
  </w:abstractNum>
  <w:abstractNum w:abstractNumId="26">
    <w:nsid w:val="1E7FF521"/>
    <w:multiLevelType w:val="hybridMultilevel"/>
    <w:lvl w:ilvl="0">
      <w:lvlJc w:val="left"/>
      <w:lvlText w:val="(%1)"/>
      <w:numFmt w:val="decimal"/>
      <w:start w:val="3"/>
    </w:lvl>
    <w:lvl w:ilvl="1">
      <w:lvlJc w:val="left"/>
      <w:lvlText w:val="(%2)"/>
      <w:numFmt w:val="decimal"/>
      <w:start w:val="7"/>
    </w:lvl>
  </w:abstractNum>
  <w:abstractNum w:abstractNumId="27">
    <w:nsid w:val="7C3DBD3D"/>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28">
    <w:nsid w:val="737B8DDC"/>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29">
    <w:nsid w:val="6CEAF087"/>
    <w:multiLevelType w:val="hybridMultilevel"/>
    <w:lvl w:ilvl="0">
      <w:lvlJc w:val="left"/>
      <w:lvlText w:val="(%1)"/>
      <w:numFmt w:val="lowerRoman"/>
      <w:start w:val="1"/>
    </w:lvl>
  </w:abstractNum>
  <w:abstractNum w:abstractNumId="30">
    <w:nsid w:val="22221A70"/>
    <w:multiLevelType w:val="hybridMultilevel"/>
    <w:lvl w:ilvl="0">
      <w:lvlJc w:val="left"/>
      <w:lvlText w:val="(%1)"/>
      <w:numFmt w:val="lowerLetter"/>
      <w:start w:val="2"/>
    </w:lvl>
  </w:abstractNum>
  <w:abstractNum w:abstractNumId="31">
    <w:nsid w:val="4516DDE9"/>
    <w:multiLevelType w:val="hybridMultilevel"/>
    <w:lvl w:ilvl="0">
      <w:lvlJc w:val="left"/>
      <w:lvlText w:val="(%1)"/>
      <w:numFmt w:val="lowerLetter"/>
      <w:start w:val="4"/>
    </w:lvl>
  </w:abstractNum>
  <w:abstractNum w:abstractNumId="32">
    <w:nsid w:val="3006C83E"/>
    <w:multiLevelType w:val="hybridMultilevel"/>
    <w:lvl w:ilvl="0">
      <w:lvlJc w:val="left"/>
      <w:lvlText w:val="(%1)"/>
      <w:numFmt w:val="lowerLetter"/>
      <w:start w:val="1"/>
    </w:lvl>
  </w:abstractNum>
  <w:abstractNum w:abstractNumId="33">
    <w:nsid w:val="614FD4A1"/>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2024-01-04T05:16:00Z</dcterms:created>
  <dcterms:modified xsi:type="dcterms:W3CDTF">2024-01-04T05:16:00Z</dcterms:modified>
</cp:coreProperties>
</file>