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001-37507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43-1979754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3530 John Hopkins Court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696-5235</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IBRX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7, 2025, ImmunityBio, Inc. (the “Company”) entered into a securities purchase agreement (the “SPA”) with the purchaser named therein (the “Investor”) for the purchase and sale of 29,024,768 shares of the Company’s common stock, par value $0.0001 per share (the “Common Stock”), and warrants to purchase an additional 29,024,768 shares of Common Stock at an exercise price of $3.101 per share, for a purchase price of $2.584 per share and accompanying warrant, generating gross proceeds from the offering of approximately $75 million before deducting our estimated offering expenses. The warrants will become immediately exercisable after the issuance date and expire five years after the initial issuance date. The closing of the offering is expected to occur on or about April 9, 2025, subject to the satisfaction of customary closing conditions.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securities are being offered and sold by the Company pursuant to a prospectus supplement and an accompanying prospectus forming part of a “shelf” registration statement on Form S-3ASR (File No. 333-278770).</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SPA contains customary representations, warranties and agreements by the Company, customary conditions to closing, indemnification obligations of the Company and the Investor, other obligations of the parties and termination provisions. The representations, warranties and covenants contained in the SPA were made only for purposes of such agreement and as of specific dates, were solely for the benefit of the parties to such agreement, and may be subject to limitations agreed upon by the contracting parties.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is only a brief description of the material terms of the Form of Common Stock Purchase Warrant and the SPA, and does not purport to be a complete description of the rights and obligations of the parties thereunder, and is qualified in its entirety by reference to the Form of Common Stock Purchase Warrant and the SPA that are filed as Exhibits 4.1 and 10.1, respectively, to this Current Report on Form 8-K and incorporated herein by reference.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legal opinion of Wilson Sonsini Goodrich &amp; Rosati, P.C. relating to the legality of the issuance and sale of the securities in the offering is filed as Exhibit 5.1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April 8, 2025, the Company issued a press release announcing the offering described in Item 1.01 above. The press release is attached as Exhibit 99.1 to this Current Report on Form 8-K and incorporated into this Item 7.01 by reference.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Forward-looking statements are subject to known and unknown risks and uncertainties, many of which may be beyond our control. Investors should review the risks and uncertainties contained in our filings with the Securities and Exchange Commission (“SEC”), including our</w:t>
      </w:r>
    </w:p>
    <w:p>
      <w:pPr>
        <w:sectPr>
          <w:pgSz w:w="11900" w:h="16838" w:orient="portrait"/>
          <w:cols w:equalWidth="0" w:num="1">
            <w:col w:w="10980"/>
          </w:cols>
          <w:pgMar w:left="440" w:top="293" w:right="47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Annual Report on Form 10-K for the year ended December 31, 2024, filed with the SEC on March 3, 2025, as well as other risks set forth in our other filings with the SEC. We caution you that the forward-looking information presented in this Current Report on Form 8-K is not a guarantee of future events, and that actual events may differ materially from those described in or suggested by the forward-looking information contained in this Current Report on Form 8-K. In addition, forward-looking statements generally can be identified by the use of forward-looking terminology such as “may,” “will,” “should,” “could,” “would,” “expects,” “plans,” “intends,” “anticipates,” “believes,” “estimates,” “predicts,” “projects,” “potential,” or “continue” or the negative of such terms and other similar terminology. Any forward-looking information presented herein is made only as of the date of this Current Report on Form 8-K, and we do not undertake any obligation to update or revise any forward-looking information to reflect changes in assumptions, the occurrence of unanticipated events, or otherwise.</w:t>
      </w:r>
    </w:p>
    <w:p>
      <w:pPr>
        <w:sectPr>
          <w:pgSz w:w="11900" w:h="16838" w:orient="portrait"/>
          <w:cols w:equalWidth="0" w:num="1">
            <w:col w:w="10980"/>
          </w:cols>
          <w:pgMar w:left="440" w:top="297"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r>
              <w:rPr>
                <w:rFonts w:ascii="Times New Roman" w:cs="Times New Roman" w:eastAsia="Times New Roman" w:hAnsi="Times New Roman"/>
                <w:sz w:val="18"/>
                <w:szCs w:val="18"/>
                <w:color w:val="auto"/>
              </w:rPr>
              <w:t>.</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3"/>
        </w:trPr>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40" w:type="dxa"/>
            <w:vAlign w:val="bottom"/>
            <w:gridSpan w:val="7"/>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Form of Common Stock Purchase Warrant.</w:t>
            </w:r>
          </w:p>
        </w:tc>
      </w:tr>
      <w:tr>
        <w:trPr>
          <w:trHeight w:val="20"/>
        </w:trPr>
        <w:tc>
          <w:tcPr>
            <w:tcW w:w="1120" w:type="dxa"/>
            <w:vAlign w:val="bottom"/>
            <w:gridSpan w:val="2"/>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420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8"/>
              </w:rPr>
              <w:t>Legal Opinion of Wilson Sonsini Goodrich &amp; Rosati, P.C.</w:t>
            </w:r>
          </w:p>
        </w:tc>
        <w:tc>
          <w:tcPr>
            <w:tcW w:w="164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Securities Purchase Agreement, dated as of April 7, 2025.</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560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P.C. (included in Exhibit 5.1).</w:t>
            </w:r>
          </w:p>
        </w:tc>
        <w:tc>
          <w:tcPr>
            <w:tcW w:w="24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99.1**</w:t>
            </w:r>
          </w:p>
        </w:tc>
        <w:tc>
          <w:tcPr>
            <w:tcW w:w="620" w:type="dxa"/>
            <w:vAlign w:val="bottom"/>
          </w:tcPr>
          <w:p>
            <w:pPr>
              <w:spacing w:after="0"/>
              <w:rPr>
                <w:sz w:val="24"/>
                <w:szCs w:val="24"/>
                <w:color w:val="auto"/>
              </w:rPr>
            </w:pPr>
          </w:p>
        </w:tc>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Press Release dated April 8, 2025.</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4"/>
                <w:szCs w:val="24"/>
                <w:color w:val="auto"/>
              </w:rPr>
            </w:pPr>
          </w:p>
        </w:tc>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0023"/>
          </w:cols>
          <w:pgMar w:left="436" w:top="293" w:right="1440"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C. Sachs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IMMUNITYBIO,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April __, 2025</w:t>
      </w:r>
    </w:p>
    <w:p>
      <w:pPr>
        <w:spacing w:after="0" w:line="200" w:lineRule="exact"/>
        <w:rPr>
          <w:sz w:val="20"/>
          <w:szCs w:val="20"/>
          <w:color w:val="auto"/>
        </w:rPr>
      </w:pPr>
    </w:p>
    <w:p>
      <w:pPr>
        <w:sectPr>
          <w:pgSz w:w="11900" w:h="16838" w:orient="portrait"/>
          <w:cols w:equalWidth="0" w:num="2">
            <w:col w:w="8380" w:space="720"/>
            <w:col w:w="1920"/>
          </w:cols>
          <w:pgMar w:left="440" w:top="117" w:right="43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_______________________ or its</w:t>
      </w:r>
    </w:p>
    <w:p>
      <w:pPr>
        <w:spacing w:after="0" w:line="2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Issue Date and on or prior to 5:00 p.m. (New York City time) on April __, 2030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ImmunityBio,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________________ shares (as subject to adjustment hereunder, the</w:t>
      </w:r>
    </w:p>
    <w:p>
      <w:pPr>
        <w:ind w:right="4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“Purchase Agreement”), dated April 7, 2025,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68" w:lineRule="auto"/>
        <w:tabs>
          <w:tab w:leader="none" w:pos="104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Issue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6" w:name="page7"/>
    <w:bookmarkEnd w:id="6"/>
    <w:p>
      <w:pPr>
        <w:jc w:val="both"/>
        <w:ind w:right="2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49" w:lineRule="exact"/>
        <w:rPr>
          <w:sz w:val="20"/>
          <w:szCs w:val="20"/>
          <w:color w:val="auto"/>
        </w:rPr>
      </w:pPr>
    </w:p>
    <w:p>
      <w:pPr>
        <w:ind w:right="260" w:firstLine="419"/>
        <w:spacing w:after="0" w:line="282" w:lineRule="auto"/>
        <w:tabs>
          <w:tab w:leader="none" w:pos="6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$3.101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20" w:firstLine="419"/>
        <w:spacing w:after="0" w:line="261" w:lineRule="auto"/>
        <w:tabs>
          <w:tab w:leader="none" w:pos="6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71" w:lineRule="exact"/>
        <w:rPr>
          <w:rFonts w:ascii="Times New Roman" w:cs="Times New Roman" w:eastAsia="Times New Roman" w:hAnsi="Times New Roman"/>
          <w:sz w:val="18"/>
          <w:szCs w:val="18"/>
          <w:color w:val="auto"/>
        </w:rPr>
      </w:pPr>
    </w:p>
    <w:p>
      <w:pPr>
        <w:ind w:left="540" w:right="40" w:firstLine="7"/>
        <w:spacing w:after="0" w:line="253" w:lineRule="auto"/>
        <w:tabs>
          <w:tab w:leader="none" w:pos="8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which Bid Price shall be shown on supporting documents provided by the Holder to the Company within two Trading Days of delivery of the Notice of Exercise,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81"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17" w:lineRule="exact"/>
        <w:rPr>
          <w:sz w:val="20"/>
          <w:szCs w:val="20"/>
          <w:color w:val="auto"/>
        </w:rPr>
      </w:pPr>
    </w:p>
    <w:p>
      <w:pPr>
        <w:ind w:left="540" w:right="220" w:firstLine="7"/>
        <w:spacing w:after="0" w:line="282" w:lineRule="auto"/>
        <w:tabs>
          <w:tab w:leader="none" w:pos="8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7" w:name="page8"/>
    <w:bookmarkEnd w:id="7"/>
    <w:p>
      <w:pPr>
        <w:ind w:left="201" w:hanging="201"/>
        <w:spacing w:after="0"/>
        <w:tabs>
          <w:tab w:leader="none" w:pos="2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1" w:hanging="149"/>
        <w:spacing w:after="0"/>
        <w:tabs>
          <w:tab w:leader="none" w:pos="110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561"/>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w:t>
      </w:r>
    </w:p>
    <w:p>
      <w:pPr>
        <w:spacing w:after="0" w:line="1" w:lineRule="exact"/>
        <w:rPr>
          <w:rFonts w:ascii="Times New Roman" w:cs="Times New Roman" w:eastAsia="Times New Roman" w:hAnsi="Times New Roman"/>
          <w:sz w:val="18"/>
          <w:szCs w:val="18"/>
          <w:color w:val="auto"/>
        </w:rPr>
      </w:pPr>
    </w:p>
    <w:p>
      <w:pPr>
        <w:ind w:left="561" w:right="20" w:firstLine="8"/>
        <w:spacing w:after="0" w:line="251" w:lineRule="auto"/>
        <w:tabs>
          <w:tab w:leader="none" w:pos="7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applicable to such exercise, the Holder may upon written demand to the Company require the Company to pay (and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w:t>
      </w:r>
    </w:p>
    <w:p>
      <w:pPr>
        <w:spacing w:after="0" w:line="125"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01"/>
          </w:cols>
          <w:pgMar w:left="1299" w:top="270" w:right="499" w:bottom="1440" w:gutter="0" w:footer="0" w:header="0"/>
        </w:sectPr>
      </w:pPr>
    </w:p>
    <w:bookmarkStart w:id="8" w:name="page9"/>
    <w:bookmarkEnd w:id="8"/>
    <w:p>
      <w:pPr>
        <w:ind w:left="42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any Notice(s) of Exercise delivered on or prior to 9:30 a.m.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w:t>
      </w:r>
    </w:p>
    <w:p>
      <w:pPr>
        <w:spacing w:after="0" w:line="72"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w:t>
      </w:r>
    </w:p>
    <w:p>
      <w:pPr>
        <w:spacing w:after="0" w:line="3" w:lineRule="exact"/>
        <w:rPr>
          <w:sz w:val="20"/>
          <w:szCs w:val="20"/>
          <w:color w:val="auto"/>
        </w:rPr>
      </w:pPr>
    </w:p>
    <w:p>
      <w:pPr>
        <w:ind w:left="420" w:right="40" w:firstLine="8"/>
        <w:spacing w:after="0" w:line="271" w:lineRule="auto"/>
        <w:tabs>
          <w:tab w:leader="none" w:pos="66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66"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9" w:name="page10"/>
    <w:bookmarkEnd w:id="9"/>
    <w:p>
      <w:pPr>
        <w:ind w:left="420" w:firstLine="391"/>
        <w:spacing w:after="0" w:line="261" w:lineRule="auto"/>
        <w:tabs>
          <w:tab w:leader="none" w:pos="9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jc w:val="both"/>
        <w:ind w:left="420" w:firstLine="391"/>
        <w:spacing w:after="0" w:line="266" w:lineRule="auto"/>
        <w:tabs>
          <w:tab w:leader="none" w:pos="10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spacing w:after="0" w:line="67" w:lineRule="exact"/>
        <w:rPr>
          <w:rFonts w:ascii="Times New Roman" w:cs="Times New Roman" w:eastAsia="Times New Roman" w:hAnsi="Times New Roman"/>
          <w:sz w:val="18"/>
          <w:szCs w:val="18"/>
          <w:color w:val="auto"/>
        </w:rPr>
      </w:pPr>
    </w:p>
    <w:p>
      <w:pPr>
        <w:ind w:left="420" w:right="20" w:firstLine="391"/>
        <w:spacing w:after="0" w:line="252" w:lineRule="auto"/>
        <w:tabs>
          <w:tab w:leader="none" w:pos="10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failure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10" w:name="page11"/>
    <w:bookmarkEnd w:id="10"/>
    <w:p>
      <w:pPr>
        <w:ind w:left="984"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984" w:right="20" w:firstLine="391"/>
        <w:spacing w:after="0" w:line="254" w:lineRule="auto"/>
        <w:tabs>
          <w:tab w:leader="none" w:pos="159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84" w:right="200" w:firstLine="391"/>
        <w:spacing w:after="0" w:line="282" w:lineRule="auto"/>
        <w:tabs>
          <w:tab w:leader="none" w:pos="164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 w:right="40" w:firstLine="419"/>
        <w:spacing w:after="0" w:line="268" w:lineRule="auto"/>
        <w:tabs>
          <w:tab w:leader="none" w:pos="61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ind w:left="4" w:right="180" w:hanging="4"/>
        <w:spacing w:after="0" w:line="260"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11" w:name="page12"/>
    <w:bookmarkEnd w:id="1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 Shares,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ind w:right="12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20" w:firstLine="419"/>
        <w:spacing w:after="0" w:line="253" w:lineRule="auto"/>
        <w:tabs>
          <w:tab w:leader="none" w:pos="6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 w:name="page14"/>
    <w:bookmarkEnd w:id="13"/>
    <w:p>
      <w:pPr>
        <w:ind w:firstLine="419"/>
        <w:spacing w:after="0" w:line="251"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merger or consolidation in which the Company is the continuing corporation and that does not result in any reclassification or reorganization of the outstanding shares of Common Stock),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Trading Day of the Holder’s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Trading Day of the Holder’s request pursuant to this Section 3(d) and the Termination Date, (B) an expected volatility equal to the one-hundred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3(c) and D) a remaining option time equal to the time between the Trading Day of the Holder’s request pursuant to this Section 3(d) and the Termination Date and (E) a zero cost of borrow. The payment of the Black Scholes Value will be made by wire transfer of</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the avoidance of doubt, if, at any time while this Warrant is outstanding, a Fundamental Transaction occurs, pursuant to the terms of this Section 3(d), the Holder shall not be entitled to receive more than one of (i) the Black Scholes Value of the unexercised portion of this Warrant, (ii) the consideration receivable as a result of such Fundamental Transaction by a holder of the number of shares of Common Stock for which this Warrant is exercisable immediately prior to such Fundamental Transaction or</w:t>
      </w:r>
    </w:p>
    <w:p>
      <w:pPr>
        <w:spacing w:after="0" w:line="9" w:lineRule="exact"/>
        <w:rPr>
          <w:sz w:val="20"/>
          <w:szCs w:val="20"/>
          <w:color w:val="auto"/>
        </w:rPr>
      </w:pPr>
    </w:p>
    <w:p>
      <w:pPr>
        <w:ind w:left="4" w:right="80" w:hanging="4"/>
        <w:spacing w:after="0" w:line="255"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Successor Entity of all of the obligations of the Company under this Warrant and the other Transaction Documents and the option to receive a security of the Successor Entity evidenced by a written instrument substantially similar in form and substance to this Warrant.</w:t>
      </w:r>
    </w:p>
    <w:p>
      <w:pPr>
        <w:spacing w:after="0" w:line="7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16" w:name="page17"/>
    <w:bookmarkEnd w:id="16"/>
    <w:p>
      <w:pPr>
        <w:ind w:left="181" w:hanging="181"/>
        <w:spacing w:after="0"/>
        <w:tabs>
          <w:tab w:leader="none" w:pos="1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61" w:right="480" w:firstLine="391"/>
        <w:spacing w:after="0" w:line="289" w:lineRule="auto"/>
        <w:tabs>
          <w:tab w:leader="none" w:pos="108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561" w:firstLine="391"/>
        <w:spacing w:after="0" w:line="252" w:lineRule="auto"/>
        <w:tabs>
          <w:tab w:leader="none" w:pos="11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the Company’s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20"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61"/>
          </w:cols>
          <w:pgMar w:left="1299" w:top="270" w:right="439" w:bottom="1440" w:gutter="0" w:footer="0" w:header="0"/>
        </w:sectPr>
      </w:pPr>
    </w:p>
    <w:bookmarkStart w:id="17" w:name="page18"/>
    <w:bookmarkEnd w:id="17"/>
    <w:p>
      <w:pPr>
        <w:jc w:val="both"/>
        <w:ind w:right="60" w:firstLine="419"/>
        <w:spacing w:after="0" w:line="266" w:lineRule="auto"/>
        <w:tabs>
          <w:tab w:leader="none" w:pos="5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provided, however, that any such transfer for less than 1,000,000 shares issuable upon exercise of a portion of the Warrant shall be subject to the Company’s prior written consent.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ind w:right="40" w:firstLine="419"/>
        <w:spacing w:after="0" w:line="256"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20" w:firstLine="419"/>
        <w:spacing w:after="0" w:line="261"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basis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220" w:firstLine="419"/>
        <w:spacing w:after="0" w:line="312" w:lineRule="auto"/>
        <w:tabs>
          <w:tab w:leader="none" w:pos="60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firstLine="401"/>
        <w:spacing w:after="0" w:line="266"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9" w:name="page20"/>
    <w:bookmarkEnd w:id="19"/>
    <w:p>
      <w:pPr>
        <w:ind w:left="540"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1" w:lineRule="exact"/>
        <w:rPr>
          <w:sz w:val="20"/>
          <w:szCs w:val="20"/>
          <w:color w:val="auto"/>
        </w:rPr>
      </w:pPr>
    </w:p>
    <w:p>
      <w:pPr>
        <w:jc w:val="both"/>
        <w:ind w:left="540"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0" w:name="page21"/>
    <w:bookmarkEnd w:id="20"/>
    <w:p>
      <w:pPr>
        <w:ind w:firstLine="419"/>
        <w:spacing w:after="0" w:line="261" w:lineRule="auto"/>
        <w:tabs>
          <w:tab w:leader="none" w:pos="5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1" w:name="page22"/>
    <w:bookmarkEnd w:id="2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IMMUNITYBIO, INC.</w:t>
      </w:r>
    </w:p>
    <w:p>
      <w:pPr>
        <w:spacing w:after="0" w:line="117" w:lineRule="exact"/>
        <w:rPr>
          <w:sz w:val="20"/>
          <w:szCs w:val="20"/>
          <w:color w:val="auto"/>
        </w:rPr>
      </w:pPr>
    </w:p>
    <w:p>
      <w:pPr>
        <w:ind w:right="140" w:firstLine="987"/>
        <w:spacing w:after="0" w:line="282"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840"/>
          </w:cols>
          <w:pgMar w:left="440" w:top="266" w:right="61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w:t>
      </w:r>
    </w:p>
    <w:p>
      <w:pPr>
        <w:spacing w:after="0" w:line="129" w:lineRule="exact"/>
        <w:rPr>
          <w:sz w:val="20"/>
          <w:szCs w:val="20"/>
          <w:color w:val="auto"/>
        </w:rPr>
      </w:pPr>
    </w:p>
    <w:p>
      <w:pPr>
        <w:sectPr>
          <w:pgSz w:w="11900" w:h="16838" w:orient="portrait"/>
          <w:cols w:equalWidth="0" w:num="2">
            <w:col w:w="1540" w:space="120"/>
            <w:col w:w="9180"/>
          </w:cols>
          <w:pgMar w:left="440" w:top="266" w:right="61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the cancellation of such number of Warrant Shares as is necessary, in accordance with the formula set forth in subsection 2(c),</w:t>
      </w:r>
    </w:p>
    <w:p>
      <w:pPr>
        <w:sectPr>
          <w:pgSz w:w="11900" w:h="16838" w:orient="portrait"/>
          <w:cols w:equalWidth="0" w:num="1">
            <w:col w:w="10840"/>
          </w:cols>
          <w:pgMar w:left="440" w:top="266" w:right="619" w:bottom="1440" w:gutter="0" w:footer="0" w:header="0"/>
          <w:type w:val="continuous"/>
        </w:sectPr>
      </w:pPr>
    </w:p>
    <w:p>
      <w:pPr>
        <w:spacing w:after="0" w:line="39" w:lineRule="exact"/>
        <w:rPr>
          <w:sz w:val="20"/>
          <w:szCs w:val="20"/>
          <w:color w:val="auto"/>
        </w:rPr>
      </w:pPr>
    </w:p>
    <w:p>
      <w:pPr>
        <w:ind w:left="1420" w:right="340"/>
        <w:spacing w:after="0" w:line="260" w:lineRule="auto"/>
        <w:rPr>
          <w:sz w:val="20"/>
          <w:szCs w:val="20"/>
          <w:color w:val="auto"/>
        </w:rPr>
      </w:pPr>
      <w:r>
        <w:rPr>
          <w:rFonts w:ascii="Times New Roman" w:cs="Times New Roman" w:eastAsia="Times New Roman" w:hAnsi="Times New Roman"/>
          <w:sz w:val="18"/>
          <w:szCs w:val="18"/>
          <w:color w:val="auto"/>
        </w:rPr>
        <w:t>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Aggregate Beneficial Ownership of Common Stock of Holder and Attribution Parties: ____________________Shares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-413385</wp:posOffset>
            </wp:positionV>
            <wp:extent cx="2588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163195</wp:posOffset>
            </wp:positionV>
            <wp:extent cx="2588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420370</wp:posOffset>
            </wp:positionV>
            <wp:extent cx="2588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ectPr>
          <w:pgSz w:w="11900" w:h="16838" w:orient="portrait"/>
          <w:cols w:equalWidth="0" w:num="1">
            <w:col w:w="10840"/>
          </w:cols>
          <w:pgMar w:left="440" w:top="266" w:right="61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920" w:val="left"/>
        </w:tabs>
        <w:rPr>
          <w:sz w:val="20"/>
          <w:szCs w:val="20"/>
          <w:color w:val="auto"/>
        </w:rPr>
      </w:pPr>
      <w:r>
        <w:rPr>
          <w:rFonts w:ascii="Times New Roman" w:cs="Times New Roman" w:eastAsia="Times New Roman" w:hAnsi="Times New Roman"/>
          <w:sz w:val="18"/>
          <w:szCs w:val="18"/>
          <w:color w:val="auto"/>
        </w:rPr>
        <w:t xml:space="preserve">          </w:t>
        <w:tab/>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w:t>
      </w:r>
    </w:p>
    <w:p>
      <w:pPr>
        <w:sectPr>
          <w:pgSz w:w="11900" w:h="16838" w:orient="portrait"/>
          <w:cols w:equalWidth="0" w:num="1">
            <w:col w:w="11020"/>
          </w:cols>
          <w:pgMar w:left="440" w:top="266"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12235 El Camino Real</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Diego, California 92130-3002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 650.350-2300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650.493.6811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ImmunityBio,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3530 John Hopkins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We have acted as counsel to ImmunityBio,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of the offer and sale of (a) 29,024,768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 warrants to purchase 29,024,768 shares of Common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(c) the shares of Common Stock issuable upon exercise of the Warrants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together with the Shares and the Warrants,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pursuant to the Company’s Registration Statement on Form S-3ASR (File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333-278770), which was automatically declared effective by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April 17, 2024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The offering and sale of the Securities are being made pursuant to the Securities Purchase Agreement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 dated as of April 7, 2025, by and among the Company and the purchasers identified in the signature pages thereto.</w:t>
      </w:r>
    </w:p>
    <w:p>
      <w:pPr>
        <w:spacing w:after="0" w:line="15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have examined copies of the Securities Purchase Agreement, the form of Warrant, the Registration Statement, the base prospectus that forms a part thereof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prospectus supplement to be filed in connection with the offering, in the form filed with the Commission pursuant to Rule 424(b) of the Rules and Regulations, together with the documents or portions thereof incorporated by reference therein, as modified or superseded as described therein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We have also examined instruments, documents and records that we deemed relevant and necessary for the basis of our opinion hereinafter expressed.</w:t>
      </w:r>
    </w:p>
    <w:p>
      <w:pPr>
        <w:spacing w:after="0" w:line="183"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 duly incorporated or organized and are, and will continue to be, validly existing and in good standing, and have or will have the</w:t>
      </w:r>
    </w:p>
    <w:p>
      <w:pPr>
        <w:sectPr>
          <w:pgSz w:w="11900" w:h="16838" w:orient="portrait"/>
          <w:cols w:equalWidth="0" w:num="1">
            <w:col w:w="11020"/>
          </w:cols>
          <w:pgMar w:left="440" w:top="117"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ImmunityBio,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Based upon and subject to the foregoing qualifications, assumptions and limitations and the further limitations set out below, we are of the opinion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112" w:lineRule="exact"/>
        <w:rPr>
          <w:sz w:val="20"/>
          <w:szCs w:val="20"/>
          <w:color w:val="auto"/>
        </w:rPr>
      </w:pPr>
    </w:p>
    <w:p>
      <w:pPr>
        <w:ind w:left="960" w:right="8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by the Company and, when issued and delivered by the Company against payment therefor in accordance with the terms of and in the manner contemplated by the Securities Purchase Agreement, will be validly issued, fully paid and nonassessable.</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been duly authorized by the Company and, when issued and delivered by the Company against payment therefor in accordance with the terms of the Securities Purchase Agreement, will constitute valid and binding obligations of the Company, enforceable against the Company in accordance with their terms; and</w:t>
      </w:r>
    </w:p>
    <w:p>
      <w:pPr>
        <w:spacing w:after="0" w:line="81"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by the Company and, when issued and delivered by the Company against payment of the exercise price therefor in accordance with the terms of the Warrants, will have been validly issued, fully paid and nonassessable.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and the General Corporation Law of the State of Delaware and, solely as to the Warrants constituting valid and binding obligations of the Company, the laws of the State of New York.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opinion that any document is legal, valid, binding and enforceable is qualified as to:</w:t>
      </w:r>
    </w:p>
    <w:p>
      <w:pPr>
        <w:spacing w:after="0" w:line="131" w:lineRule="exact"/>
        <w:rPr>
          <w:sz w:val="20"/>
          <w:szCs w:val="20"/>
          <w:color w:val="auto"/>
        </w:rPr>
      </w:pPr>
    </w:p>
    <w:p>
      <w:pPr>
        <w:ind w:left="960" w:right="6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express no opinion as to whether a state court outside of the State of New York or a federal court of the United States would give effect to the choice of New York law provided for in the Warrants. For purposes of our opinion in paragraph 2, we have assumed the Exercise Price (as defined in the Warrants) will not be adjusted to an amount below the par value per share of the Common Stock.</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Company’s Current Report on Form 8-K filed on or about the date hereof, for incorporation by reference into the Registration Statement.</w:t>
      </w:r>
    </w:p>
    <w:p>
      <w:pPr>
        <w:sectPr>
          <w:pgSz w:w="11900" w:h="16838" w:orient="portrait"/>
          <w:cols w:equalWidth="0" w:num="1">
            <w:col w:w="10980"/>
          </w:cols>
          <w:pgMar w:left="440" w:top="27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ImmunityBio,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giving this consent, we do not admit that we are in the category of persons whose consent is required under Section 7 of the Securities Act.</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180"/>
          </w:cols>
          <w:pgMar w:left="440" w:top="270" w:right="12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April 7, 2025, by and among ImmunityBio,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contained in the Registration Statement at the Execution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28" w:name="page29"/>
    <w:bookmarkEnd w:id="28"/>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April 9, 2025.</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Wilson Sonsini Goodrich &amp; Rosati, P.C., with offices located at 12235 El Camino Real, San Diego, CA 92130.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the Base Prospectus, including documents incorporated by reference therein.</w:t>
      </w:r>
    </w:p>
    <w:p>
      <w:pPr>
        <w:spacing w:after="0" w:line="225"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Disclosure Time</w:t>
      </w:r>
      <w:r>
        <w:rPr>
          <w:rFonts w:ascii="Times New Roman" w:cs="Times New Roman" w:eastAsia="Times New Roman" w:hAnsi="Times New Roman"/>
          <w:sz w:val="17"/>
          <w:szCs w:val="17"/>
          <w:color w:val="auto"/>
        </w:rPr>
        <w:t>” means, (i) if this Agreement is signed on a day that is not a Trading Day or after 9:00 a.m. (New York City time) and before midnight (New York City time) on any Trading Day, 9:01 a.m. (New York City time) on the Trading Day immediately following the date hereof, and</w:t>
      </w:r>
    </w:p>
    <w:p>
      <w:pPr>
        <w:spacing w:after="0" w:line="1" w:lineRule="exact"/>
        <w:rPr>
          <w:sz w:val="20"/>
          <w:szCs w:val="20"/>
          <w:color w:val="auto"/>
        </w:rPr>
      </w:pPr>
    </w:p>
    <w:p>
      <w:pPr>
        <w:ind w:left="4" w:hanging="4"/>
        <w:spacing w:after="0" w:line="260"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signed between midnight (New York City time) and 9:00 a.m. (New York City time) on any Trading Day, no later than 9:01 a.m. (New York City time) on the date hereof.</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3.1(x).</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shall have the meaning assigned to such term in Section 3.1(o).</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$$2.584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arbitration, hearing,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supplement to the Prospectus complying with Rule 424(b) of the Securities Act that will be filed with the Commission and delivered by the Company to each Purchaser at or prior to the Closing.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filed with the Commission on April 17, 2024, as amended (File</w:t>
      </w:r>
    </w:p>
    <w:p>
      <w:pPr>
        <w:spacing w:after="0" w:line="27" w:lineRule="exact"/>
        <w:rPr>
          <w:sz w:val="20"/>
          <w:szCs w:val="20"/>
          <w:color w:val="auto"/>
        </w:rPr>
      </w:pPr>
    </w:p>
    <w:p>
      <w:pPr>
        <w:ind w:left="4" w:right="300"/>
        <w:spacing w:after="0" w:line="260" w:lineRule="auto"/>
        <w:rPr>
          <w:sz w:val="20"/>
          <w:szCs w:val="20"/>
          <w:color w:val="auto"/>
        </w:rPr>
      </w:pPr>
      <w:r>
        <w:rPr>
          <w:rFonts w:ascii="Times New Roman" w:cs="Times New Roman" w:eastAsia="Times New Roman" w:hAnsi="Times New Roman"/>
          <w:sz w:val="18"/>
          <w:szCs w:val="18"/>
          <w:color w:val="auto"/>
        </w:rPr>
        <w:t>No. 333-278770), and all exhibits filed with or incorporated by reference into such registration statement, and includes any Rule 462(b) Registration Statement which registered the sale of the Shares, the Warrants and the Warrant Shares to the Purchasers.</w:t>
      </w:r>
    </w:p>
    <w:p>
      <w:pPr>
        <w:sectPr>
          <w:pgSz w:w="11900" w:h="16838" w:orient="portrait"/>
          <w:cols w:equalWidth="0" w:num="1">
            <w:col w:w="10984"/>
          </w:cols>
          <w:pgMar w:left="436" w:top="270" w:right="479" w:bottom="1440" w:gutter="0" w:footer="0" w:header="0"/>
        </w:sectPr>
      </w:pPr>
    </w:p>
    <w:bookmarkStart w:id="29" w:name="page30"/>
    <w:bookmarkEnd w:id="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3.1(i).</w:t>
      </w:r>
    </w:p>
    <w:p>
      <w:pPr>
        <w:spacing w:after="0" w:line="225" w:lineRule="exact"/>
        <w:rPr>
          <w:sz w:val="20"/>
          <w:szCs w:val="20"/>
          <w:color w:val="auto"/>
        </w:rPr>
      </w:pPr>
    </w:p>
    <w:p>
      <w:pPr>
        <w:ind w:left="4"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0" w:lineRule="exact"/>
        <w:rPr>
          <w:sz w:val="20"/>
          <w:szCs w:val="20"/>
          <w:color w:val="auto"/>
        </w:rPr>
      </w:pPr>
    </w:p>
    <w:p>
      <w:pPr>
        <w:ind w:left="4"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424</w:t>
      </w:r>
      <w:r>
        <w:rPr>
          <w:rFonts w:ascii="Times New Roman" w:cs="Times New Roman" w:eastAsia="Times New Roman" w:hAnsi="Times New Roman"/>
          <w:sz w:val="17"/>
          <w:szCs w:val="17"/>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0"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collectively, the Shares, the Warrants and the Warrant Shares.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Shares and the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ascribed to such term in Section 3.1(o).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and any successor transfer agent of the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collectively, the Common Stock purchase warrants delivered to the Purchasers at the Closing in accordance with Section 2.2(a)</w:t>
      </w:r>
    </w:p>
    <w:p>
      <w:pPr>
        <w:spacing w:after="0" w:line="39" w:lineRule="exact"/>
        <w:rPr>
          <w:sz w:val="20"/>
          <w:szCs w:val="20"/>
          <w:color w:val="auto"/>
        </w:rPr>
      </w:pPr>
    </w:p>
    <w:p>
      <w:pPr>
        <w:ind w:left="4" w:right="240" w:hanging="4"/>
        <w:spacing w:after="0" w:line="260" w:lineRule="auto"/>
        <w:tabs>
          <w:tab w:leader="none" w:pos="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hereof, which Warrants shall be immediately exercisable and have a term of exercise equal to five (5) years from the Closing Date,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$75,000,001 of Shares and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agreed by the Company and the Purchasers, on the Closing Date, the Company shall issue the Shares registered in the Purchasers’ names and addresses and released by the Transfer Agent directly to the account(s) identified by each Purchaser. Notwithstanding anything</w:t>
      </w:r>
    </w:p>
    <w:p>
      <w:pPr>
        <w:sectPr>
          <w:pgSz w:w="11900" w:h="16838" w:orient="portrait"/>
          <w:cols w:equalWidth="0" w:num="1">
            <w:col w:w="11004"/>
          </w:cols>
          <w:pgMar w:left="436" w:top="270" w:right="459" w:bottom="1440" w:gutter="0" w:footer="0" w:header="0"/>
        </w:sectPr>
      </w:pPr>
    </w:p>
    <w:bookmarkStart w:id="30" w:name="page31"/>
    <w:bookmarkEnd w:id="30"/>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7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fifth sentence of Section 2.1, the Company shall have provided each Purchaser with the Company’s wire instructions, on Company letterhead and executed by an officer of the Company;</w:t>
      </w:r>
    </w:p>
    <w:p>
      <w:pPr>
        <w:spacing w:after="0" w:line="161" w:lineRule="exact"/>
        <w:rPr>
          <w:rFonts w:ascii="Times New Roman" w:cs="Times New Roman" w:eastAsia="Times New Roman" w:hAnsi="Times New Roman"/>
          <w:sz w:val="18"/>
          <w:szCs w:val="18"/>
          <w:color w:val="auto"/>
        </w:rPr>
      </w:pPr>
    </w:p>
    <w:p>
      <w:pPr>
        <w:ind w:left="4" w:right="440" w:firstLine="436"/>
        <w:spacing w:after="0" w:line="289" w:lineRule="auto"/>
        <w:tabs>
          <w:tab w:leader="none" w:pos="75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fifth sentence of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rounded down to the nearest whole share, registered in the name of such Purchaser;</w:t>
      </w:r>
    </w:p>
    <w:p>
      <w:pPr>
        <w:spacing w:after="0" w:line="157" w:lineRule="exact"/>
        <w:rPr>
          <w:rFonts w:ascii="Times New Roman" w:cs="Times New Roman" w:eastAsia="Times New Roman" w:hAnsi="Times New Roman"/>
          <w:sz w:val="17"/>
          <w:szCs w:val="17"/>
          <w:color w:val="auto"/>
        </w:rPr>
      </w:pPr>
    </w:p>
    <w:p>
      <w:pPr>
        <w:ind w:left="4" w:firstLine="436"/>
        <w:spacing w:after="0" w:line="266" w:lineRule="auto"/>
        <w:tabs>
          <w:tab w:leader="none" w:pos="7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registered in the name of such Purchaser to purchase up to a number of shares of Common Stock equal to 100% of such Purchaser’s Shares, with an exercise price equal to $3.101, subject to adjustment therein (for the avoidance of doubt, the original Warrant may be delivered within five (5) Trading Days of the Closing Date);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 and the Prospectus (which may be delivered in accordance with Rule 172 under the Securities Act); and</w:t>
      </w:r>
    </w:p>
    <w:p>
      <w:pPr>
        <w:spacing w:after="0" w:line="22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Wilson Sonsini Goodrich &amp; Rosati, P.C., counsel to the Company, dated as of the Closing Date in customary form and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w:t>
      </w:r>
    </w:p>
    <w:p>
      <w:pPr>
        <w:spacing w:after="0" w:line="20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117" w:lineRule="exact"/>
        <w:rPr>
          <w:sz w:val="20"/>
          <w:szCs w:val="20"/>
          <w:color w:val="auto"/>
        </w:rPr>
      </w:pPr>
    </w:p>
    <w:p>
      <w:pPr>
        <w:ind w:left="4" w:right="60" w:firstLine="436"/>
        <w:spacing w:after="0" w:line="266" w:lineRule="auto"/>
        <w:tabs>
          <w:tab w:leader="none" w:pos="6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5" w:lineRule="exact"/>
        <w:rPr>
          <w:rFonts w:ascii="Times New Roman" w:cs="Times New Roman" w:eastAsia="Times New Roman" w:hAnsi="Times New Roman"/>
          <w:sz w:val="18"/>
          <w:szCs w:val="18"/>
          <w:color w:val="auto"/>
        </w:rPr>
      </w:pPr>
    </w:p>
    <w:p>
      <w:pPr>
        <w:ind w:left="4" w:right="760" w:firstLine="436"/>
        <w:spacing w:after="0" w:line="282" w:lineRule="auto"/>
        <w:tabs>
          <w:tab w:leader="none" w:pos="7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ectPr>
          <w:pgSz w:w="11900" w:h="16838" w:orient="portrait"/>
          <w:cols w:equalWidth="0" w:num="1">
            <w:col w:w="10984"/>
          </w:cols>
          <w:pgMar w:left="436" w:top="270" w:right="479" w:bottom="1440" w:gutter="0" w:footer="0" w:header="0"/>
        </w:sectPr>
      </w:pPr>
    </w:p>
    <w:bookmarkStart w:id="31" w:name="page32"/>
    <w:bookmarkEnd w:id="31"/>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Change,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Change, in all respects) as of such date;</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22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Change with respect to the Company since the date hereof;</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freely tradable on the Nasdaq Global Select Market; and</w:t>
      </w:r>
    </w:p>
    <w:p>
      <w:pPr>
        <w:spacing w:after="0" w:line="225"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7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w:t>
      </w:r>
    </w:p>
    <w:p>
      <w:pPr>
        <w:spacing w:after="0" w:line="117" w:lineRule="exact"/>
        <w:rPr>
          <w:sz w:val="20"/>
          <w:szCs w:val="20"/>
          <w:color w:val="auto"/>
        </w:rPr>
      </w:pPr>
    </w:p>
    <w:p>
      <w:pPr>
        <w:ind w:left="4" w:firstLine="436"/>
        <w:spacing w:after="0" w:line="258"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The Disclosure Package as of the Execution Time did not, and as of the Closing Date, will not, contain any untrue statement of a material fact or omit to state a material fact necessary in order to make the statements therein, in the light of the circumstances under which they were made, not misleading. No statement of material fact included in the Disclosure Package that is required to be included in the Prospectus has been omitted therefrom. There are no contracts or other documents required to be described in the Prospectus or to be filed as exhibits to the Registration Statement which have not been described or filed as required.</w:t>
      </w:r>
    </w:p>
    <w:p>
      <w:pPr>
        <w:spacing w:after="0" w:line="183"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Other than the Registration Statement and the Prospectus, the Company (including its agents and representatives)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Times New Roman" w:cs="Times New Roman" w:eastAsia="Times New Roman" w:hAnsi="Times New Roman"/>
          <w:sz w:val="18"/>
          <w:szCs w:val="18"/>
          <w:u w:val="single" w:color="auto"/>
          <w:color w:val="auto"/>
        </w:rPr>
        <w:t>Issuer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Writing Prospectus</w:t>
      </w:r>
      <w:r>
        <w:rPr>
          <w:rFonts w:ascii="Times New Roman" w:cs="Times New Roman" w:eastAsia="Times New Roman" w:hAnsi="Times New Roman"/>
          <w:sz w:val="18"/>
          <w:szCs w:val="18"/>
          <w:color w:val="auto"/>
        </w:rPr>
        <w:t>”) other than any document not constituting a prospectus pursuant to Section 2(a)(10)(a) of the Securities Act or Rule 134 under the Securities Act.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Disclosure Package, and did not, and as of the Closing, will not, contain any untrue statement of a material fact or omit to state a material fact necessary in order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meets the requirements for use of Form S-3 under the Securities Act. Each of the Registration Statement and any post-effective amendment thereto has become effective under the Securities Act. The Company has complied with each request (if any) from the Commission for additional information. No stop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1004"/>
          </w:cols>
          <w:pgMar w:left="436" w:top="270" w:right="459" w:bottom="1440" w:gutter="0" w:footer="0" w:header="0"/>
        </w:sectPr>
      </w:pPr>
    </w:p>
    <w:bookmarkStart w:id="32" w:name="page33"/>
    <w:bookmarkEnd w:id="32"/>
    <w:p>
      <w:pPr>
        <w:jc w:val="both"/>
        <w:ind w:left="4" w:right="80" w:firstLine="436"/>
        <w:spacing w:after="0" w:line="261"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Incorporated Documents</w:t>
      </w:r>
      <w:r>
        <w:rPr>
          <w:rFonts w:ascii="Times New Roman" w:cs="Times New Roman" w:eastAsia="Times New Roman" w:hAnsi="Times New Roman"/>
          <w:sz w:val="18"/>
          <w:szCs w:val="18"/>
          <w:color w:val="auto"/>
        </w:rPr>
        <w:t>. The documents incorporated by reference in the Registration Statement, the Prospectus and the Disclosure Package, when they were filed with the Commission, conformed or will conform, as the case may be, in all material respects to the requirements of the Exchange Act and such documents did not and will not contain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the Subsidiaries has been (i) duly organized and is validly existing and in good standing under the laws of its jurisdiction of organization, with power and authority (corporate and other) to own its properties and conduct its business as described in the Registration Statement, Disclosure Package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Change, and each subsidiary of the Company required to be listed in the Registration Statement has been so listed in the Registration Statement.</w:t>
      </w:r>
    </w:p>
    <w:p>
      <w:pPr>
        <w:spacing w:after="0" w:line="188"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6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w:t>
      </w:r>
    </w:p>
    <w:p>
      <w:pPr>
        <w:ind w:left="4"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Change.</w:t>
      </w:r>
    </w:p>
    <w:p>
      <w:pPr>
        <w:spacing w:after="0" w:line="192"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the notice and/or application(s) to the principal Trading Market for the listing of the Shares and Warrant Shares for trading thereon in the time and manner required thereby, (iv) such filings as are required to be made under applicable state securities laws and (v) such consents, waivers and authorizations that shall be obtained prior to the Closing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33" w:name="page34"/>
    <w:bookmarkEnd w:id="33"/>
    <w:p>
      <w:pPr>
        <w:ind w:left="-436" w:firstLine="436"/>
        <w:spacing w:after="0" w:line="251"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Warrants are duly authorized and, when issued and paid for in accordance with the applicable Transaction Documents, will constitute valid and legally binding obligations of the Company, enforceable against the Company in accordance with their terms, except as may be limited by bankruptcy, insolvency, reorganization, fraudulent transfer, fraudulent conveyance, moratorium or other laws now or hereafter in effect relating to or affecting enforcement of creditors’ rights generally and by general principles of equity (including without limitation concepts of materiality, reasonableness, good faith and fair dealing), regardless of whether such enforcement is considered in a proceeding at law or in equity. The Warrant Shares are duly authorized and,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automatically on April 17,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pursuant to General Instruction I.B.1 of Form S-3.</w:t>
      </w:r>
    </w:p>
    <w:p>
      <w:pPr>
        <w:spacing w:after="0" w:line="205"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Securities pursuant to Rules 164, 405 and 433 under the Securities Act.</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Nothing has come to the attention of the Company that has caused the Company to believe that the statistical and market-related data included in the Registration Statement, Disclosure Package and the Prospectus is not based on or derived from sources that are reliable and accurate in all material respects.</w:t>
      </w:r>
    </w:p>
    <w:p>
      <w:pPr>
        <w:spacing w:after="0" w:line="175" w:lineRule="exact"/>
        <w:rPr>
          <w:rFonts w:ascii="Times New Roman" w:cs="Times New Roman" w:eastAsia="Times New Roman" w:hAnsi="Times New Roman"/>
          <w:sz w:val="18"/>
          <w:szCs w:val="18"/>
          <w:color w:val="auto"/>
        </w:rPr>
      </w:pPr>
    </w:p>
    <w:p>
      <w:pPr>
        <w:ind w:left="-436" w:right="40" w:firstLine="436"/>
        <w:spacing w:after="0" w:line="252"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comply with the requirements of the Exchange Act; (ii) have been designed to ensure that material information relating to the Company, including its consolidated subsidiaries, is made known to the Company’s principal executive officer and principal financial officer by others within those entities; and (iii) are effective in all material respects to perform the functions for which they were established. 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ectPr>
          <w:pgSz w:w="11900" w:h="16838" w:orient="portrait"/>
          <w:cols w:equalWidth="0" w:num="1">
            <w:col w:w="10584"/>
          </w:cols>
          <w:pgMar w:left="876" w:top="270" w:right="439" w:bottom="1440" w:gutter="0" w:footer="0" w:header="0"/>
        </w:sectPr>
      </w:pPr>
    </w:p>
    <w:bookmarkStart w:id="34" w:name="page35"/>
    <w:bookmarkEnd w:id="34"/>
    <w:p>
      <w:pPr>
        <w:ind w:left="4" w:right="40" w:firstLine="436"/>
        <w:spacing w:after="0" w:line="266" w:lineRule="auto"/>
        <w:tabs>
          <w:tab w:leader="none" w:pos="74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Disclosure Package and the Prospectus, subsequent to the respective dates as of which information is given in the Registration Statement, Disclosure Package and the Prospectus: (i) there has been no material adverse change, or any development that could be expected to result in a material adverse change, in (A) the condition, financial or otherwise, or in the earnings, business, properties, operations, operating results, assets or liabilities, whether or not arising from transactions in the ordinary course of business, of the Company and its subsidiaries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(ii) the Company and the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the Subsidiaries and there has been no dividend or distribution of any kind declared, paid or made by the Company or, except for dividends paid to the Company or other subsidiaries, by any of the Subsidiaries on any class of capital stock, or any repurchase or redemption by the Company or any of the Subsidiaries of any class of capital stock.</w:t>
      </w:r>
    </w:p>
    <w:p>
      <w:pPr>
        <w:spacing w:after="0" w:line="19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which has expressed its opinion with respect to the financial statements (which term as used in this Agreement includes the related notes thereto) filed with the Commission as a part of the Registration Statement, Disclosure Package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69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filed with the Commission as a part of the Registration Statement, Disclosure Package and the Prospectus present fairly the consolidated financial position of the Company and the Subsidiaries (including NantCell, Inc.) as of the dates indicated and the results of their operations, changes in stockholders’ equity and cash flows for the periods specified. Such financial statements have been prepared in conformity GAAP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Disclosure Package or the Prospectus. The combined consolidated financial statements of the Company and the Subsidiaries and the related notes thereto included in the Registration Statement, Disclosure Package or the Prospectus present fairly the information contained therein, have been prepared in all material respects in accordance with the Commission’s rules and guidelines and have been properly presented on the bases described therein, and the assumptions used in the preparation thereof are reasonable and the adjustments used therein are appropriate to give effect to the transactions and circumstances referred to therein.</w:t>
      </w:r>
    </w:p>
    <w:p>
      <w:pPr>
        <w:spacing w:after="0" w:line="181" w:lineRule="exact"/>
        <w:rPr>
          <w:rFonts w:ascii="Times New Roman" w:cs="Times New Roman" w:eastAsia="Times New Roman" w:hAnsi="Times New Roman"/>
          <w:sz w:val="17"/>
          <w:szCs w:val="17"/>
          <w:color w:val="auto"/>
        </w:rPr>
      </w:pPr>
    </w:p>
    <w:p>
      <w:pPr>
        <w:ind w:left="4" w:right="20" w:firstLine="436"/>
        <w:spacing w:after="0" w:line="269" w:lineRule="auto"/>
        <w:tabs>
          <w:tab w:leader="none" w:pos="69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Accounting System</w:t>
      </w:r>
      <w:r>
        <w:rPr>
          <w:rFonts w:ascii="Times New Roman" w:cs="Times New Roman" w:eastAsia="Times New Roman" w:hAnsi="Times New Roman"/>
          <w:sz w:val="17"/>
          <w:szCs w:val="17"/>
          <w:color w:val="auto"/>
        </w:rPr>
        <w:t>. The Company and each of the Subsidiaries make and keep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Disclosure</w:t>
      </w:r>
    </w:p>
    <w:p>
      <w:pPr>
        <w:spacing w:after="0" w:line="9" w:lineRule="exact"/>
        <w:rPr>
          <w:rFonts w:ascii="Times New Roman" w:cs="Times New Roman" w:eastAsia="Times New Roman" w:hAnsi="Times New Roman"/>
          <w:sz w:val="18"/>
          <w:szCs w:val="18"/>
          <w:color w:val="auto"/>
        </w:rPr>
      </w:pPr>
    </w:p>
    <w:p>
      <w:pPr>
        <w:ind w:left="4"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and the Prospectus fairly presents the information called for in all material respects and is prepared in all material respects in accordance with the Commission’s rules and guidelines applicable thereto.</w:t>
      </w:r>
    </w:p>
    <w:p>
      <w:pPr>
        <w:sectPr>
          <w:pgSz w:w="11900" w:h="16838" w:orient="portrait"/>
          <w:cols w:equalWidth="0" w:num="1">
            <w:col w:w="11004"/>
          </w:cols>
          <w:pgMar w:left="436" w:top="270" w:right="459" w:bottom="1440" w:gutter="0" w:footer="0" w:header="0"/>
        </w:sectPr>
      </w:pPr>
    </w:p>
    <w:bookmarkStart w:id="35" w:name="page36"/>
    <w:bookmarkEnd w:id="35"/>
    <w:p>
      <w:pPr>
        <w:ind w:left="-436" w:firstLine="436"/>
        <w:spacing w:after="0" w:line="252" w:lineRule="auto"/>
        <w:tabs>
          <w:tab w:leader="none" w:pos="2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Disclosure Package and the Prospectus (other than for subsequent issuances, if any, pursuant to employee benefit plans described in the Base Prospectus or the Prospectus or upon the exercise of outstanding options or warrants, in each case described in the Registration Statement, Disclosure Package and the Prospectus). The Common Stock (including the Shares) conform in all material respects to the description thereof contained in the Base Prospectus and the Prospectus. All of the issued and outstanding Common Stock have been duly authorized and validly issued, are fully paid and nonassessable and have been issued in compliance with all federal and state securities laws. None of the outstanding Common Stock was issued in violation of any preemptive rights, rights of first refusal or other similar rights to subscribe for or purchase securities of the Company, except for such rights as have been duly waived.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Disclosure Package and the Prospectus and except for such rights as have been duly waived. The descriptions of the Company’s stock option, stock bonus, stock purchase and other stock or equity incentive plans or arrangements, and the options or other rights granted thereunder, set forth in the Registration Statement, Disclosure Package and the Prospectus accurately and fairly presents the information required to be shown with respect to such plans, arrangements, options and rights. Except as described in the Registration Statement, Disclosure Package and the Prospectus, all of the issued and outstanding capital stock of, or other equity interests in, each Subsidiary has been duly authorized and validly issued, is fully paid and non-assessable and is owned by the Company, directly or through other subsidiaries of the Company, free and clear of any security interest, mortgage, pledge, lien, encumbrance, claim or equity.</w:t>
      </w:r>
    </w:p>
    <w:p>
      <w:pPr>
        <w:spacing w:after="0" w:line="194"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2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is registered pursuant to Section 12(b) or 12(g) of the Exchange Act and are listed on the Nasdaq Global Select Market (“Nasdaq”),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in all material respects with all applicable listing requirements of Nasdaq.</w:t>
      </w:r>
    </w:p>
    <w:p>
      <w:pPr>
        <w:spacing w:after="0" w:line="183"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w:t>
      </w:r>
      <w:r>
        <w:rPr>
          <w:rFonts w:ascii="Times New Roman" w:cs="Times New Roman" w:eastAsia="Times New Roman" w:hAnsi="Times New Roman"/>
          <w:sz w:val="18"/>
          <w:szCs w:val="18"/>
          <w:color w:val="auto"/>
        </w:rPr>
        <w:t>. Neither the Company nor any of the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the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Change.</w:t>
      </w:r>
    </w:p>
    <w:p>
      <w:pPr>
        <w:spacing w:after="0" w:line="187"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Authorizations or Approvals Required</w:t>
      </w:r>
      <w:r>
        <w:rPr>
          <w:rFonts w:ascii="Times New Roman" w:cs="Times New Roman" w:eastAsia="Times New Roman" w:hAnsi="Times New Roman"/>
          <w:sz w:val="18"/>
          <w:szCs w:val="18"/>
          <w:color w:val="auto"/>
        </w:rPr>
        <w:t>. The Company’s execution, delivery and performance of this Agreement and the Warrants, and the consummation of the transactions contemplated hereby, by the Warrants, and by the Registration Statement, Disclosure Package and the Prospectus and the issuance and sale of the Securities (including the use of proceeds from the sale of the Securities as described in the Registration Statement, Disclosure Package and the Prospectus under the caption “Use of Proceeds”) will not conflict with or result in a breach or violation of any of the terms or provisions of, or constitute a default under, (A) any indenture, mortgage, deed of trust, loan agreement or other agreement or instrument to which the Company or any of the Subsidiaries is a party or by which the Company or any of the Subsidiaries is bound or to which any of the property or assets of the Company or any of the Subsidiaries is subject, (B) the certificate of incorporation or bylaws (or other applicable organizational document) of the Company or any of the Subsidiaries, or (C) any statute or any judgment, order, rule or regulation of any court or governmental agency or body having jurisdiction over the Company or any of the Subsidiaries or any of their properties, except, in the case of clauses (A) and (C), for such defaults, breaches, or violations that would not, individually or in the aggregate, reasonably be expected to have a Material Adverse Change.</w:t>
      </w:r>
    </w:p>
    <w:p>
      <w:pPr>
        <w:sectPr>
          <w:pgSz w:w="11900" w:h="16838" w:orient="portrait"/>
          <w:cols w:equalWidth="0" w:num="1">
            <w:col w:w="10564"/>
          </w:cols>
          <w:pgMar w:left="876" w:top="270" w:right="459" w:bottom="1440" w:gutter="0" w:footer="0" w:header="0"/>
        </w:sectPr>
      </w:pPr>
    </w:p>
    <w:bookmarkStart w:id="36" w:name="page37"/>
    <w:bookmarkEnd w:id="36"/>
    <w:p>
      <w:pPr>
        <w:ind w:left="4" w:right="20" w:firstLine="436"/>
        <w:spacing w:after="0" w:line="256"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Actions or Proceedings</w:t>
      </w:r>
      <w:r>
        <w:rPr>
          <w:rFonts w:ascii="Times New Roman" w:cs="Times New Roman" w:eastAsia="Times New Roman" w:hAnsi="Times New Roman"/>
          <w:sz w:val="18"/>
          <w:szCs w:val="18"/>
          <w:color w:val="auto"/>
        </w:rPr>
        <w:t>. Other than as set forth in the Registration Statement, Disclosure Package and the Prospectus, there are no legal or governmental proceedings pending to which the Company or any of the Subsidiaries or, to the Company’s knowledge, any officer or director of the Company, is a party or of which any property or assets of the Company or any of the Subsidiaries or, to the Company’s knowledge, any officer or director of the Company, is the subject which, if determined adversely to the Company or any of the Subsidiaries (or such officer or director), would individually or in the aggregate have a Material Adverse Change; and, to the Company’s knowledge, no such proceedings are threatened by governmental authorities or others.</w:t>
      </w:r>
    </w:p>
    <w:p>
      <w:pPr>
        <w:spacing w:after="0" w:line="187" w:lineRule="exact"/>
        <w:rPr>
          <w:rFonts w:ascii="Times New Roman" w:cs="Times New Roman" w:eastAsia="Times New Roman" w:hAnsi="Times New Roman"/>
          <w:sz w:val="18"/>
          <w:szCs w:val="18"/>
          <w:color w:val="auto"/>
        </w:rPr>
      </w:pPr>
    </w:p>
    <w:p>
      <w:pPr>
        <w:ind w:left="4" w:firstLine="436"/>
        <w:spacing w:after="0" w:line="268" w:lineRule="auto"/>
        <w:tabs>
          <w:tab w:leader="none" w:pos="73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The Company and the Subsidiaries own, possess or license adequate rights to use all material trademarks, service marks, trade names, domain names and other source identifiers, and all goodwill associated with the foregoing, inventions, patents, copyrights and copyrightable works, licenses, approvals, technology, know-how, trade secrets and other unpatented and/or unpatentable proprietary or confidential information, systems or procedures, and other intellectual property rights (including all registrations and applications for registration of the foregoing, as applicable) (collectively,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used in, held for use in or necessary for the conduct of their respective businesses as currently conducted and as proposed in the Registration Statement, Disclosure Package or the Prospectus to be conducted. To the knowledge of the Company:</w:t>
      </w:r>
    </w:p>
    <w:p>
      <w:pPr>
        <w:spacing w:after="0" w:line="4" w:lineRule="exact"/>
        <w:rPr>
          <w:rFonts w:ascii="Times New Roman" w:cs="Times New Roman" w:eastAsia="Times New Roman" w:hAnsi="Times New Roman"/>
          <w:sz w:val="17"/>
          <w:szCs w:val="17"/>
          <w:color w:val="auto"/>
        </w:rPr>
      </w:pPr>
    </w:p>
    <w:p>
      <w:pPr>
        <w:ind w:left="4" w:right="20" w:hanging="4"/>
        <w:spacing w:after="0" w:line="250"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has materially infringed, misappropriated or otherwise violated the Intellectual Property Rights of any third party, and (2) neither the manufacture of, nor the use or sale of, any of the Company’s or the Subsidiaries’ product candidates described in the Registration Statement, Disclosure Package or the Prospectus materially infringe, misappropriate or otherwise violate the Intellectual Property Rights of any third party. Except as disclosed in the Registration Statement, Disclosure Package and the Prospectus, to the knowledge of the Company, there are no rights of third parties (including any Liens or encumbrances) to any of the Intellectual Property Rights owned or purported to be owned by the Company or any of the Subsidiaries. Except as disclosed in the Registration Statement, Disclosure Package and the Prospectus, there is no pending or threatened in writing action, suit, proceeding or claim by any third party (i) challenging the Company’s or any of the Subsidiaries’ rights in or to, or alleging a violation of any of the terms of, any of their owned or licensed Intellectual Property Rights; (ii) alleging that the Company or any of the Subsidiaries has infringed, misappropriated or otherwise violated any Intellectual Property Rights of any third party; or (iii) challenging the validity, scope or enforceability of any Intellectual Property Rights owned by or exclusively licensed to the Company or any of the Subsidiaries, and in the case of each of (i), (ii) and (iii), the Company is unaware of any facts that would form a reasonable basis for any such action, suit, proceeding or claim. Except as disclosed in the Registration Statement, Disclosure Package and the Prospectus to the Company’s knowledge, there is no material infringement, misappropriation, breach or default, or other violation by others of any Intellectual Property Rights owned by or exclusively licensed to the Company or any of the Subsidiaries. The Company and the Subsidiaries have at all times taken reasonable steps in accordance with normal industry practice to maintain the confidentiality of all Intellectual Property Rights, the value of which to the Company or any of the Subsidiaries is contingent upon maintaining the confidentiality thereof, except as would not, individually or in the aggregate, reasonably be expected to have a Material Adverse Change. All founders, current and former employees, consultants, and other parties involved in the development of Intellectual Property Rights for the Company and the Subsidiaries have signed confidentiality and invention assignment agreements with the Company or a Subsidiary pursuant to which the Company or any of the Subsidiaries either (x) has obtained ownership of and is the exclusive owner of such Intellectual Property Rights, or (y) has obtained a valid and unrestricted right to exploit such Intellectual Property Rights, sufficient for the conduct of the business as currently conducted and as proposed in the Registration Statement, Disclosure Package and the Prospectus to be conducted, except where the failure to do so would not, individually or in the aggregate, reasonably be expected to have a Material Adverse Change.</w:t>
      </w:r>
    </w:p>
    <w:p>
      <w:pPr>
        <w:spacing w:after="0" w:line="206" w:lineRule="exact"/>
        <w:rPr>
          <w:rFonts w:ascii="Times New Roman" w:cs="Times New Roman" w:eastAsia="Times New Roman" w:hAnsi="Times New Roman"/>
          <w:sz w:val="18"/>
          <w:szCs w:val="18"/>
          <w:color w:val="auto"/>
        </w:rPr>
      </w:pPr>
    </w:p>
    <w:p>
      <w:pPr>
        <w:ind w:left="4" w:right="160" w:firstLine="436"/>
        <w:spacing w:after="0" w:line="256"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Except as otherwise disclosed in the Registration Statement, the Disclosure Package and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Disclosure Package or the Prospectus (“Permits”). Neither the Company nor any of the Subsidiaries is in violation of, or in default under, any of the Permits, or has received any notice of violation of or default under or proceedings relating to the revocation or modification of, or non-compliance with, any such certificate, authorization or permit.</w:t>
      </w:r>
    </w:p>
    <w:p>
      <w:pPr>
        <w:spacing w:after="0" w:line="187" w:lineRule="exact"/>
        <w:rPr>
          <w:rFonts w:ascii="Times New Roman" w:cs="Times New Roman" w:eastAsia="Times New Roman" w:hAnsi="Times New Roman"/>
          <w:sz w:val="18"/>
          <w:szCs w:val="18"/>
          <w:color w:val="auto"/>
        </w:rPr>
      </w:pPr>
    </w:p>
    <w:p>
      <w:pPr>
        <w:ind w:left="4" w:right="300" w:firstLine="436"/>
        <w:spacing w:after="0" w:line="258"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and the Subsidiaries have good and marketable title in fee simple to all real property and good and marketable title to all personal property owned by them (other than with respect to Intellectual Property Rights (as defined above), which for the avoidance of doubt is addressed exclusively in Section 3.1(x)), in each case free and clear of all Liens, encumbrances and defects except such as are described in the Registration Statement, Disclosure Package and Prospectus or such as do not materially affect the value of such property and do not materially interfere with the use made and proposed to be made of such property by the Company</w:t>
      </w:r>
    </w:p>
    <w:p>
      <w:pPr>
        <w:sectPr>
          <w:pgSz w:w="11900" w:h="16838" w:orient="portrait"/>
          <w:cols w:equalWidth="0" w:num="1">
            <w:col w:w="10984"/>
          </w:cols>
          <w:pgMar w:left="436" w:top="270" w:right="47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Subsidiaries; any real property and buildings held under lease by the Company and the Subsidiaries are held by them under valid, subsisting and enforceable leases with such exceptions as are not material and do not materially interfere with the use made and proposed to be made of such property and buildings by the Company and the Subsidiaries.</w:t>
      </w:r>
    </w:p>
    <w:p>
      <w:pPr>
        <w:spacing w:after="0" w:line="176" w:lineRule="exact"/>
        <w:rPr>
          <w:sz w:val="20"/>
          <w:szCs w:val="20"/>
          <w:color w:val="auto"/>
        </w:rPr>
      </w:pPr>
    </w:p>
    <w:p>
      <w:pPr>
        <w:ind w:right="60" w:firstLine="436"/>
        <w:spacing w:after="0" w:line="254"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(i) The Company and each of the Subsidiaries have filed all federal, state, local and foreign tax returns required to be filed or have requested extensions thereof and have paid all taxes required to be paid thereon (except for cases in which the failure to file such tax returns or pay such taxes would not reasonably be expected to have a Material Adverse Change), (ii) the Company and each of the Subsidiaries have no liability for unpaid taxes, except as currently being contested in good faith and for which reserves required by GAAP have been created in the financial statements of the Company or where such liability would not reasonably be expected to have a Material Adverse Change and (iii) no tax deficiency has been determined adversely to the Company or any of the Subsidiaries, and neither the Company nor any of the Subsidiaries has received written notice of, or has knowledge of, any tax deficiency that could reasonably be expected to be determined adversely to the Company or the Subsidiaries, in each case which could reasonably be expected to have a Material Adverse Change.</w:t>
      </w:r>
    </w:p>
    <w:p>
      <w:pPr>
        <w:spacing w:after="0" w:line="192" w:lineRule="exact"/>
        <w:rPr>
          <w:sz w:val="20"/>
          <w:szCs w:val="20"/>
          <w:color w:val="auto"/>
        </w:rPr>
      </w:pPr>
    </w:p>
    <w:p>
      <w:pPr>
        <w:ind w:right="120" w:firstLine="436"/>
        <w:spacing w:after="0" w:line="266" w:lineRule="auto"/>
        <w:tabs>
          <w:tab w:leader="none" w:pos="7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Securities or after the application of the proceeds therefrom as described under “Use of Proceeds” in the Registration Statement, Disclosure Package or the Prospectus, required to register as an “investment company” under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ind w:right="40" w:firstLine="436"/>
        <w:spacing w:after="0" w:line="253" w:lineRule="auto"/>
        <w:tabs>
          <w:tab w:leader="none" w:pos="7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Registration Statement, Disclosure Package or Prospectus, each of the Company and the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the Subsidiaries against theft, damage, destruction, acts of vandalism and earthquakes and policies covering the Company and the Subsidiaries for product liability claims and clinical trial liability claims. The Company has no reason to believe that it or any of the Subsidiaries will not be able (i) to renew its existing insurance coverage as and when such policies expire or (ii) to obtain comparable coverage from similar institutions as may be necessary or appropriate to conduct its business as now conducted and at a cost that would not be expected to result, individually or in the aggregate, in a Material Adverse Change. Neither the Company nor any of the Subsidiaries has been denied any insurance coverage which it has sought or for which it has applied except as would not be expected to result, individually or in the aggregate, in a Material Adverse Change.</w:t>
      </w:r>
    </w:p>
    <w:p>
      <w:pPr>
        <w:spacing w:after="0" w:line="194" w:lineRule="exact"/>
        <w:rPr>
          <w:rFonts w:ascii="Times New Roman" w:cs="Times New Roman" w:eastAsia="Times New Roman" w:hAnsi="Times New Roman"/>
          <w:sz w:val="18"/>
          <w:szCs w:val="18"/>
          <w:color w:val="auto"/>
        </w:rPr>
      </w:pPr>
    </w:p>
    <w:p>
      <w:pPr>
        <w:ind w:right="120" w:firstLine="436"/>
        <w:spacing w:after="0" w:line="258" w:lineRule="auto"/>
        <w:tabs>
          <w:tab w:leader="none" w:pos="7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the Company, on the one hand, and the directors, officers, or stockholders of the Company, on the other, that is required by the Act to be described in the Registration Statement, Disclosure Package and the Prospectus and that is not so described in such documents. There are no related-party transactions involving the Company or any of the Subsidiaries or any other person required to be described in the Registration Statement, Disclosure Package or the Prospectus which have not been described as required.</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7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Any letters, filings or other supplemental information provided to Financial Industry Regulatory Authority, Inc. (“FINRA”) pursuant to FINRA Rules or NASD Conduct Rules is true, complete and correct. The Company meets the requirements for use of Form S-3 under the Securities Act specified in FINRA Rule 5110(h)(1)(C).</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7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Neither the Company nor any of the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Disclosure Package and the Prospectus.</w:t>
      </w:r>
    </w:p>
    <w:p>
      <w:pPr>
        <w:spacing w:after="0" w:line="179" w:lineRule="exact"/>
        <w:rPr>
          <w:rFonts w:ascii="Times New Roman" w:cs="Times New Roman" w:eastAsia="Times New Roman" w:hAnsi="Times New Roman"/>
          <w:sz w:val="18"/>
          <w:szCs w:val="18"/>
          <w:color w:val="auto"/>
        </w:rPr>
      </w:pPr>
    </w:p>
    <w:p>
      <w:pPr>
        <w:ind w:right="120" w:firstLine="436"/>
        <w:spacing w:after="0" w:line="256" w:lineRule="auto"/>
        <w:tabs>
          <w:tab w:leader="none" w:pos="7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The Company and the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w:t>
      </w:r>
    </w:p>
    <w:p>
      <w:pPr>
        <w:sectPr>
          <w:pgSz w:w="11900" w:h="16838" w:orient="portrait"/>
          <w:cols w:equalWidth="0" w:num="1">
            <w:col w:w="10960"/>
          </w:cols>
          <w:pgMar w:left="440" w:top="270" w:right="49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approvals would not, singly or in the aggregate, reasonably be expected to have a Material Adverse Change.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Change.</w:t>
      </w:r>
    </w:p>
    <w:p>
      <w:pPr>
        <w:spacing w:after="0" w:line="180" w:lineRule="exact"/>
        <w:rPr>
          <w:sz w:val="20"/>
          <w:szCs w:val="20"/>
          <w:color w:val="auto"/>
        </w:rPr>
      </w:pPr>
    </w:p>
    <w:p>
      <w:pPr>
        <w:ind w:right="100" w:firstLine="436"/>
        <w:spacing w:after="0" w:line="258"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Each employee benefit plan, within the meaning of Section 3(3) of the Employee Retirement Income Security Act of 1974, as amended (“ERISA”) that the Company or any member of its “Controlled Group” (defined as any organization which is under common control with the Company within the meaning of Section 414 of the Internal Revenue Code of 1986, as amended (the “Code”)) sponsors or maintains (each, a “Plan”) has been maintained, in all material respects, in compliance with its terms and the requirements of any applicable statutes, orders, rules and regulations, including but not limited to ERISA and the Code.</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described in the Registration Statement, Disclosure Package and Prospectus, the Company is not a party to any contract, agreement or understanding with any person that would give rise to a valid claim against the Company or any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7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5" w:lineRule="exact"/>
        <w:rPr>
          <w:rFonts w:ascii="Times New Roman" w:cs="Times New Roman" w:eastAsia="Times New Roman" w:hAnsi="Times New Roman"/>
          <w:sz w:val="18"/>
          <w:szCs w:val="18"/>
          <w:color w:val="auto"/>
        </w:rPr>
      </w:pPr>
    </w:p>
    <w:p>
      <w:pPr>
        <w:ind w:right="240" w:firstLine="436"/>
        <w:spacing w:after="0" w:line="312" w:lineRule="auto"/>
        <w:tabs>
          <w:tab w:leader="none" w:pos="70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the Subsidiaries have been and are in compliance with all applicable laws, rules and regulations, except where failure to be so in compliance could not be expected, individually or in the aggregate, to result in a Material Adverse Change.</w:t>
      </w:r>
    </w:p>
    <w:p>
      <w:pPr>
        <w:spacing w:after="0" w:line="139" w:lineRule="exact"/>
        <w:rPr>
          <w:rFonts w:ascii="Times New Roman" w:cs="Times New Roman" w:eastAsia="Times New Roman" w:hAnsi="Times New Roman"/>
          <w:sz w:val="17"/>
          <w:szCs w:val="17"/>
          <w:color w:val="auto"/>
        </w:rPr>
      </w:pPr>
    </w:p>
    <w:p>
      <w:pPr>
        <w:ind w:right="20" w:firstLine="436"/>
        <w:spacing w:after="0" w:line="258"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Registration Statement, Disclosure Package and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3" w:lineRule="exact"/>
        <w:rPr>
          <w:rFonts w:ascii="Times New Roman" w:cs="Times New Roman" w:eastAsia="Times New Roman" w:hAnsi="Times New Roman"/>
          <w:sz w:val="18"/>
          <w:szCs w:val="18"/>
          <w:color w:val="auto"/>
        </w:rPr>
      </w:pPr>
    </w:p>
    <w:p>
      <w:pPr>
        <w:ind w:right="60" w:firstLine="436"/>
        <w:spacing w:after="0" w:line="254" w:lineRule="auto"/>
        <w:tabs>
          <w:tab w:leader="none" w:pos="7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None of the Company or any of the Subsidiaries nor, to the knowledge of the Company, any director, officer, agent, employee, affiliate or other person associated with or acting on behalf of the Company or any of the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Bribery Act 2010 of the United Kingdom or any other applicable anti-bribery or anti-corruption law. The Company and the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91" w:lineRule="exact"/>
        <w:rPr>
          <w:rFonts w:ascii="Times New Roman" w:cs="Times New Roman" w:eastAsia="Times New Roman" w:hAnsi="Times New Roman"/>
          <w:sz w:val="18"/>
          <w:szCs w:val="18"/>
          <w:color w:val="auto"/>
        </w:rPr>
      </w:pPr>
    </w:p>
    <w:p>
      <w:pPr>
        <w:ind w:right="60" w:firstLine="436"/>
        <w:spacing w:after="0" w:line="256" w:lineRule="auto"/>
        <w:tabs>
          <w:tab w:leader="none" w:pos="8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the Subsidiaries conduct business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the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ind w:right="20" w:firstLine="436"/>
        <w:spacing w:after="0" w:line="258"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Except as disclosed in the Registration Statement, Disclosure Package and Prospectus, the Company and each of the Subsidiaries possess all licenses, sub-licenses, certificates, permits and other authorizations (collectively,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issued by, and have made all declarations and filings with, the appropriate federal, state, local or foreign governmental or regulatory authorities that are required for the ownership or lease of its property or the conduct of their respective businesses as currently conducted and described in the Registration Statement, Base Prospectus, Disclosure Package or Prospectus, including, without limitation, from the</w:t>
      </w:r>
    </w:p>
    <w:p>
      <w:pPr>
        <w:sectPr>
          <w:pgSz w:w="11900" w:h="16838" w:orient="portrait"/>
          <w:cols w:equalWidth="0" w:num="1">
            <w:col w:w="11000"/>
          </w:cols>
          <w:pgMar w:left="440" w:top="270" w:right="45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European Medicines Agency (the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or similar foreign, state, and local governmental or regulatory authorities, including any government medical device regulatory agency or institutional review board (collectively, the “</w:t>
      </w: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Authorities</w:t>
      </w:r>
      <w:r>
        <w:rPr>
          <w:rFonts w:ascii="Times New Roman" w:cs="Times New Roman" w:eastAsia="Times New Roman" w:hAnsi="Times New Roman"/>
          <w:sz w:val="18"/>
          <w:szCs w:val="18"/>
          <w:color w:val="auto"/>
        </w:rPr>
        <w:t>”), such Authorizations are valid and in full force and effect, and the Company is not in violation of any such Authorizations, except, in each case, as would not, individually or in the aggregate, have a Material Adverse Change; and the Company has not received notice of any revocation of any such license, sub-license, certificate, permit or authorization.</w:t>
      </w:r>
    </w:p>
    <w:p>
      <w:pPr>
        <w:spacing w:after="0" w:line="183" w:lineRule="exact"/>
        <w:rPr>
          <w:sz w:val="20"/>
          <w:szCs w:val="20"/>
          <w:color w:val="auto"/>
        </w:rPr>
      </w:pPr>
    </w:p>
    <w:p>
      <w:pPr>
        <w:ind w:firstLine="436"/>
        <w:spacing w:after="0" w:line="266" w:lineRule="auto"/>
        <w:tabs>
          <w:tab w:leader="none" w:pos="7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xml:space="preserve">. Except as disclosed in the Registration Statement, Disclosure Package and Prospectus, the Company and each of the Subsidiaries (i) have operated and currently operate their respective businesses in compliance with all statutes, rules and regulations applicable to them and their respective businesses, including, without limitation, (A) requirements governing investigational drugs and biologics under the U.S. Federal Food, Drug and Cosmetic Act and rules and regulations thereunder, including regulations relating to Good Clinical Practices and Good Laboratory Practices for studies and tests that are submitted to regulatory authorities to support regulatory approvals, (B) the U.S. Animal Welfare Act and rules and regulations thereunder, (C)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(“HIPAA”) (42 U.S.C. Section 1320d et seq.), the exclusion laws, the statutes, regulations and directives of applicable government funded or sponsored healthcare programs, and the regulations promulgated pursuant to such statutes; (D) 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 (E) the Patient Protection and Affordable Care Act of 2010, as amended by the Health Care and Education Reconciliation Act of 2010, the regulations promulgated thereunder; (F) the U.S. Controlled Substances Act (21 U.S.C. Section 801 et seq.); and (G) all other local, state, federal, national, supranational and foreign laws, relating to the regulation of the Company and the ownership, testing, development, registration, licensure, manufacture, packaging, processing, use, recordkeeping, filing of reports, distribution, marketing, labeling, promotion, sale, offer for sale, storage, import, export or disposal of any product or product candidate under development, manufactured or distributed by or on behalf of the Company or such subsidiary (collectively, </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except where the failure to so operate or be in compliance would not reasonably be expected to have a Material Adverse Change; (ii) have not received any FDA Form 483, written notice of adverse finding, warning letter, untitled letter or other correspondence or written notice alleging or asserting material noncompliance with any Applicable Laws or Authorizations or otherwise providing notice of any claim, action, suit, proceeding, hearing, enforcement, investigation, arbitration or other action from any Regulatory Authority, any court or arbitrator or other governmental authority or agency; (iii) have not received any recalls, field notifications, field corrections, market withdrawals, “dear doctor” letters, investigator notices, safety alerts or other notice of action relating to an alleged lack of safety, efficacy, or regulatory compliance of the Company’s products or product candidates; (iv) have filed, obtained, maintained or submitted all material reports, documents, forms, notices, applications, records, claims, submissions and supplements or amendments as required by any Applicable Laws, that all such reports, documents, forms, notices, applications, records, claims, submissions and supplements or amendments were complete and accurate on the date filed in all material respects (or were corrected or supplemented by a subsequent submission) and no material deficiencies regarding compliance with applicable law have been asserted by any applicable Regulatory Authority with respect to any such reports, documents, forms, notices, applications, records, claims, submissions and supplements or amendments; and (v) are not a party to any corporate integrity agreements, monitoring agreements, consent decrees, settlement orders or similar agreements with or imposed by any governmental or regulatory authority.</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right="20" w:firstLine="436"/>
        <w:spacing w:after="0" w:line="256" w:lineRule="auto"/>
        <w:tabs>
          <w:tab w:leader="none" w:pos="7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(i) Except as disclosed in the Registration Statement, Disclosure Package and Prospectus, any preclinical studies and clinical trials conducted by the Company or any of the Subsidiaries and, to the knowledge of the Company, any preclinical studies and clinical trials conducted on behalf of the Company or the Subsidiaries or in which the Company or the Subsidiaries have participated for the purposes of supporting a regulatory filing or application submitted to a Regulatory Authority, were, and if still pending, are, being conducted in all material respects in accordance with approved study protocols and Applicable Laws, including those of the FDA and other regulatory authorities, to which the Company and the Subsidiaries are subject; (ii) the descriptions of the results of such studies,</w:t>
      </w:r>
    </w:p>
    <w:p>
      <w:pPr>
        <w:sectPr>
          <w:pgSz w:w="11900" w:h="16838" w:orient="portrait"/>
          <w:cols w:equalWidth="0" w:num="1">
            <w:col w:w="11000"/>
          </w:cols>
          <w:pgMar w:left="440" w:top="270" w:right="459" w:bottom="1440" w:gutter="0" w:footer="0" w:header="0"/>
        </w:sectPr>
      </w:pPr>
    </w:p>
    <w:bookmarkStart w:id="40" w:name="page41"/>
    <w:bookmarkEnd w:id="40"/>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tests and trials contained in the Registration Statement, Disclosure Package and Prospectus are accurate and complete in all material respects and fairly present the data derived from such studies, tests and trial; (iii) neither the Company nor any of the Subsidiaries have received any notices or correspondence from the FDA, any other Regulatory Authority or any other governmental agency, institutional review board, ethics committee or other similar entity requiring, or would reasonably be expected to result in a requirement for, the termination, suspension or material modification of any studies, tests or preclinical or clinical trials conducted by or on behalf of the Company or any of the Subsidiaries, nor is the Company aware of any facts that would form a reasonable basis for any such termination, suspension or modification; and (iv) except to the extent disclosed in the Registration Statement, Disclosure Package or Prospectus, the Company is not aware of any studies, tests or trials, the results of which the Company believes reasonably call into question the study, test or trial results described or referred to in the Registration Statement, Disclosure Package and the Prospectus.</w:t>
      </w:r>
    </w:p>
    <w:p>
      <w:pPr>
        <w:spacing w:after="0" w:line="172" w:lineRule="exact"/>
        <w:rPr>
          <w:sz w:val="20"/>
          <w:szCs w:val="20"/>
          <w:color w:val="auto"/>
        </w:rPr>
      </w:pPr>
    </w:p>
    <w:p>
      <w:pPr>
        <w:ind w:right="140" w:firstLine="436"/>
        <w:spacing w:after="0" w:line="258" w:lineRule="auto"/>
        <w:tabs>
          <w:tab w:leader="none" w:pos="7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FDA Matters</w:t>
      </w:r>
      <w:r>
        <w:rPr>
          <w:rFonts w:ascii="Times New Roman" w:cs="Times New Roman" w:eastAsia="Times New Roman" w:hAnsi="Times New Roman"/>
          <w:sz w:val="18"/>
          <w:szCs w:val="18"/>
          <w:color w:val="auto"/>
        </w:rPr>
        <w:t>. Neither the Company nor any of the Subsidiaries, nor, to the knowledge of the Company, any of its or any of the Subsidiaries’ officers, directors or managing employees (as defined in 42 U.S.C. § 1320a-5(b)), is or has been excluded, suspended or debarred from participation in any Federal Health Care Program, (as defined at 42 U.S.C. §1320a-7(b)(f)), debarred by FDA or comparable authorities pursuant to 21 U.S.C. § 335a or similar laws, or made subject to any pending or, to the knowledge of the Company, threatened action which could reasonably be expected to result in such exclusion, suspension or debarment.</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7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The Company’s manufacturing facilities and operations and, to the Company’s knowledge, the manufacturing facilities and operations of its suppliers, are operated in compliance in all material respects with all Applicable Laws.</w:t>
      </w:r>
    </w:p>
    <w:p>
      <w:pPr>
        <w:spacing w:after="0" w:line="161" w:lineRule="exact"/>
        <w:rPr>
          <w:rFonts w:ascii="Times New Roman" w:cs="Times New Roman" w:eastAsia="Times New Roman" w:hAnsi="Times New Roman"/>
          <w:sz w:val="18"/>
          <w:szCs w:val="18"/>
          <w:color w:val="auto"/>
        </w:rPr>
      </w:pPr>
    </w:p>
    <w:p>
      <w:pPr>
        <w:ind w:right="80" w:firstLine="436"/>
        <w:spacing w:after="0" w:line="268" w:lineRule="auto"/>
        <w:tabs>
          <w:tab w:leader="none" w:pos="74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None of the Company or any of the Subsidiaries nor, to the knowledge of the Company, any director, officer, agent, employee or affiliate of the Company or any of the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nor is the Company or any of the Subsidiaries located, organized or resident in a country or territory that is the subject or target of Sanctions (including, without limitation, the so-called Donetsk People’s Republic and so-called Luhansk People’s Republic or any other regions of Ukraine as may be identified by the Secretary of the Treasury, in consultation with the Secretary of State, pursuant to Executive Order 14065, Crimea, Cuba, Iran, North Korea and Syria),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and for the past five years, the Company and the Subsidiaries have not knowingly engaged in and are not now knowingly engaged in any dealings or transactions with any person that at the time of the dealing or transaction is or was the subject or target of Sanctions or with any sanctioned country.</w:t>
      </w:r>
    </w:p>
    <w:p>
      <w:pPr>
        <w:spacing w:after="0" w:line="183" w:lineRule="exact"/>
        <w:rPr>
          <w:rFonts w:ascii="Times New Roman" w:cs="Times New Roman" w:eastAsia="Times New Roman" w:hAnsi="Times New Roman"/>
          <w:sz w:val="17"/>
          <w:szCs w:val="17"/>
          <w:color w:val="auto"/>
        </w:rPr>
      </w:pPr>
    </w:p>
    <w:p>
      <w:pPr>
        <w:ind w:firstLine="436"/>
        <w:spacing w:after="0" w:line="282"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in all material respects, with all applicable provisions of the Sarbanes-Oxley Act of 2002 and the rules and regulations promulgated thereunder.</w:t>
      </w:r>
    </w:p>
    <w:p>
      <w:pPr>
        <w:spacing w:after="0" w:line="161" w:lineRule="exact"/>
        <w:rPr>
          <w:rFonts w:ascii="Times New Roman" w:cs="Times New Roman" w:eastAsia="Times New Roman" w:hAnsi="Times New Roman"/>
          <w:sz w:val="18"/>
          <w:szCs w:val="18"/>
          <w:color w:val="auto"/>
        </w:rPr>
      </w:pPr>
    </w:p>
    <w:p>
      <w:pPr>
        <w:ind w:right="180" w:firstLine="436"/>
        <w:spacing w:after="0" w:line="254" w:lineRule="auto"/>
        <w:tabs>
          <w:tab w:leader="none" w:pos="7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 Except as disclosed in the Registration Statement, Disclosure Package and the Prospectus, (x) to the Company’s knowledge, there has been no material security breach or other material compromise of any of the Company’s or the Subsidiaries’ information technology and computer systems, networks, hardware, software, or confidential, personally identifiable, or personal data (including any such data of their respective customers, employees, suppliers, vendors or other third parties collected, processed, stored, maintained or otherwise used by or on behalf of the Company or the Subsidiaries) (collectively, “IT Systems and Data”) and (y) the Company and the Subsidiaries have not been notified of, and have no knowledge of any event or condition that would reasonably be expected to result in, any material security breach or other material compromise to their IT Systems and Data; and (ii) the Company and the Subsidiaries have implemented backup and disaster recovery technology consistent with industry standards and practices, except as would not, in the case of clauses (i) or (ii), individually or in the aggregate, have a Material Adverse Change.</w:t>
      </w:r>
    </w:p>
    <w:p>
      <w:pPr>
        <w:sectPr>
          <w:pgSz w:w="11900" w:h="16838" w:orient="portrait"/>
          <w:cols w:equalWidth="0" w:num="1">
            <w:col w:w="10980"/>
          </w:cols>
          <w:pgMar w:left="440" w:top="270" w:right="479" w:bottom="1440" w:gutter="0" w:footer="0" w:header="0"/>
        </w:sectPr>
      </w:pPr>
    </w:p>
    <w:bookmarkStart w:id="41" w:name="page42"/>
    <w:bookmarkEnd w:id="41"/>
    <w:p>
      <w:pPr>
        <w:ind w:right="60" w:firstLine="436"/>
        <w:spacing w:after="0" w:line="253" w:lineRule="auto"/>
        <w:tabs>
          <w:tab w:leader="none" w:pos="7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Data Privacy Laws</w:t>
      </w:r>
      <w:r>
        <w:rPr>
          <w:rFonts w:ascii="Times New Roman" w:cs="Times New Roman" w:eastAsia="Times New Roman" w:hAnsi="Times New Roman"/>
          <w:sz w:val="18"/>
          <w:szCs w:val="18"/>
          <w:color w:val="auto"/>
        </w:rPr>
        <w:t>. The Company and the Subsidiaries are, and at all prior times were, in material compliance with all applicable laws or statutes and all judgments, orders, rules and regulations of any court or arbitrator or governmental or regulatory authority, relating to the use, processing, privacy and security of IT Systems and Data and to the protection of such IT Systems and Data from unauthorized use, access, misappropriation or modification, including without limitation HIPAA, and the Company and the Subsidiaries have taken commercially reasonable actions to prepare to comply with, and since May 25, 2018, have been and currently are in compliance with,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To ensure compliance with the Privacy Laws, the Company and the Subsidiaries have in place, comply with, and take appropriate steps reasonably designed to ensure compliance in all material respects with their policies and procedures relating to data privacy and security and the collection, storage, use, disclosure, handling, processing, and analysis of its IT Systems and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The Company further certifies that neither it nor any subsidiary: (i) has received notice of any actual or potential liability under or relating to, or actual or potential violation of, any of the Privacy Laws;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9" w:lineRule="exact"/>
        <w:rPr>
          <w:rFonts w:ascii="Times New Roman" w:cs="Times New Roman" w:eastAsia="Times New Roman" w:hAnsi="Times New Roman"/>
          <w:sz w:val="18"/>
          <w:szCs w:val="18"/>
          <w:color w:val="auto"/>
        </w:rPr>
      </w:pPr>
    </w:p>
    <w:p>
      <w:pPr>
        <w:ind w:right="120" w:firstLine="436"/>
        <w:spacing w:after="0" w:line="256" w:lineRule="auto"/>
        <w:tabs>
          <w:tab w:leader="none" w:pos="8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statements set forth, or incorporated by reference, in the Registration Statement, Disclosure Package and the Prospectus under the caption “Description of our Capital Stock,” insofar as they purport to constitute a summary of the terms of the Common Stock, and under the captions “Risk Factors—Risks Related to Government Regulation,” “Risk Factors—Risks Related to Intellectual Property,” “Business of ImmunityBio —Intellectual Property,” “Business of ImmunityBio—Government Regulation,” “Business of ImmunityBio—Intellectual Property” and “Plan of Distribution,” insofar as they purport to describe the provisions of the laws and documents referred to therein, are accurate, complete and fair in all material respects.</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Representations and Warranties of the Purchasers</w:t>
      </w:r>
      <w:r>
        <w:rPr>
          <w:rFonts w:ascii="Times New Roman" w:cs="Times New Roman" w:eastAsia="Times New Roman" w:hAnsi="Times New Roman"/>
          <w:sz w:val="17"/>
          <w:szCs w:val="17"/>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32" w:lineRule="exact"/>
        <w:rPr>
          <w:sz w:val="20"/>
          <w:szCs w:val="20"/>
          <w:color w:val="auto"/>
        </w:rPr>
      </w:pPr>
    </w:p>
    <w:p>
      <w:pPr>
        <w:ind w:right="20" w:firstLine="436"/>
        <w:spacing w:after="0" w:line="253"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ectPr>
          <w:pgSz w:w="11900" w:h="16838" w:orient="portrait"/>
          <w:cols w:equalWidth="0" w:num="1">
            <w:col w:w="11000"/>
          </w:cols>
          <w:pgMar w:left="440" w:top="270" w:right="459" w:bottom="1440" w:gutter="0" w:footer="0" w:header="0"/>
        </w:sectPr>
      </w:pPr>
    </w:p>
    <w:bookmarkStart w:id="42" w:name="page43"/>
    <w:bookmarkEnd w:id="42"/>
    <w:p>
      <w:pPr>
        <w:ind w:left="4" w:right="160" w:firstLine="436"/>
        <w:spacing w:after="0" w:line="268" w:lineRule="auto"/>
        <w:tabs>
          <w:tab w:leader="none" w:pos="68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to Information</w:t>
      </w:r>
      <w:r>
        <w:rPr>
          <w:rFonts w:ascii="Times New Roman" w:cs="Times New Roman" w:eastAsia="Times New Roman" w:hAnsi="Times New Roman"/>
          <w:sz w:val="17"/>
          <w:szCs w:val="17"/>
          <w:color w:val="auto"/>
        </w:rPr>
        <w:t>. Such Purchaser acknowledges that it has had the opportunity to review the Transaction Documents (including all exhibits and schedules thereto) and the Company’s public filings with the Commission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Company and such Purchaser acknowledges that the Company and its officers, employees and agents have not disclosed any non-public information to such Purchaser and such Purchaser has not requested such information be disclosed to it.</w:t>
      </w:r>
    </w:p>
    <w:p>
      <w:pPr>
        <w:ind w:left="4" w:hanging="4"/>
        <w:spacing w:after="0" w:line="251" w:lineRule="auto"/>
        <w:tabs>
          <w:tab w:leader="none" w:pos="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2"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4.1 Shares and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Shares shall be issued free of legends.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promptly notify the holders of the Warrants in writing that such registration statement is not then effective and thereafter shall immediately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commercially reasonable efforts to keep a registration statement (including the Registration Statement) registering the issuance or resale of the Warrant Shares effective for as long as any Warrants remain outstanding.</w:t>
      </w:r>
    </w:p>
    <w:p>
      <w:pPr>
        <w:sectPr>
          <w:pgSz w:w="11900" w:h="16838" w:orient="portrait"/>
          <w:cols w:equalWidth="0" w:num="1">
            <w:col w:w="11004"/>
          </w:cols>
          <w:pgMar w:left="436" w:top="270" w:right="459" w:bottom="1440" w:gutter="0" w:footer="0" w:header="0"/>
        </w:sectPr>
      </w:pPr>
    </w:p>
    <w:bookmarkStart w:id="43" w:name="page44"/>
    <w:bookmarkEnd w:id="43"/>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 subject to the reporting requirements thereof.</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applicable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required to be filed as exhibits thereto, with the Commission within the time required by the Exchange Act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any of the Purchasers or any of their Affiliates,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or if such disclosure is consistent with the Form 8-K.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ectPr>
          <w:pgSz w:w="11900" w:h="16838" w:orient="portrait"/>
          <w:cols w:equalWidth="0" w:num="1">
            <w:col w:w="11020"/>
          </w:cols>
          <w:pgMar w:left="440" w:top="270" w:right="439" w:bottom="1440" w:gutter="0" w:footer="0" w:header="0"/>
        </w:sectPr>
      </w:pPr>
    </w:p>
    <w:bookmarkStart w:id="44" w:name="page45"/>
    <w:bookmarkEnd w:id="44"/>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and other liabilities arising in the ordinary course of the Company’s business and prior practices), (b) for the redemption of any Common Stock or Common Stock Equivalents, (c) for the settlement of any outstanding litigation that is inconsistent with the pending proposed settlement of litigation described in the Registration Statement, Disclosure Package and the Prospectus or (d) in violation of FCPA or OFAC regulations.</w:t>
      </w:r>
    </w:p>
    <w:p>
      <w:pPr>
        <w:spacing w:after="0" w:line="183"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Indemnification of Purchasers</w:t>
      </w:r>
      <w:r>
        <w:rPr>
          <w:rFonts w:ascii="Times New Roman" w:cs="Times New Roman" w:eastAsia="Times New Roman" w:hAnsi="Times New Roman"/>
          <w:sz w:val="17"/>
          <w:szCs w:val="17"/>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7"/>
          <w:szCs w:val="17"/>
          <w:u w:val="single" w:color="auto"/>
          <w:color w:val="auto"/>
        </w:rPr>
        <w:t>Purchaser Party</w:t>
      </w:r>
      <w:r>
        <w:rPr>
          <w:rFonts w:ascii="Times New Roman" w:cs="Times New Roman" w:eastAsia="Times New Roman" w:hAnsi="Times New Roman"/>
          <w:sz w:val="17"/>
          <w:szCs w:val="17"/>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w:t>
      </w:r>
    </w:p>
    <w:p>
      <w:pPr>
        <w:spacing w:after="0" w:line="195" w:lineRule="exact"/>
        <w:rPr>
          <w:sz w:val="20"/>
          <w:szCs w:val="20"/>
          <w:color w:val="auto"/>
        </w:rPr>
      </w:pPr>
    </w:p>
    <w:p>
      <w:pPr>
        <w:ind w:left="4" w:right="80" w:hanging="4"/>
        <w:spacing w:after="0" w:line="251"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Company shall not, without the prior written consent of the Purchaser Party, consent to entry of any judgment or enter into any settlement or other compromise which does not include as an unconditional term thereof the giving by the claimant or plaintiff to such Purchaser Party of a release from all liability in respect to such Covered action, and such settlement shall not include any admission as to fault on the part of the Purchaser Party. The indemnification required by this Section 4.8 shall be made by periodic payments of the amount thereof during the course of the investigation or defense, as and when bills are received or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it is subsequently determined by a final, non-appealable judgment of a court of competent jurisdiction that a Purchaser was not entitled to receive such periodic payments, such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19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ectPr>
          <w:pgSz w:w="11900" w:h="16838" w:orient="portrait"/>
          <w:cols w:equalWidth="0" w:num="1">
            <w:col w:w="11004"/>
          </w:cols>
          <w:pgMar w:left="436" w:top="270" w:right="459" w:bottom="1440" w:gutter="0" w:footer="0" w:header="0"/>
        </w:sectPr>
      </w:pPr>
    </w:p>
    <w:bookmarkStart w:id="45" w:name="page46"/>
    <w:bookmarkEnd w:id="4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reasonable best efforts to maintain the listing or quotation of the Common Stock on the principal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ectPr>
          <w:pgSz w:w="11900" w:h="16838" w:orient="portrait"/>
          <w:cols w:equalWidth="0" w:num="1">
            <w:col w:w="11000"/>
          </w:cols>
          <w:pgMar w:left="440" w:top="270" w:right="45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(i) any Purchaser, as to such Purchaser’s obligations hereunder only and without any effect whatsoever on the obligations between the Company and the other Purchasers, by written notice to the other parties or (ii) by the Company by written notice to the Purchasers, in either case if the Closing has not been consummated on or before the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Subsidiary, the Company shall simultaneously file such notice with the Commission pursuant to a Current Report on Form 8-K.</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except to the extent expressly stated in such waiver, nor shall any delay or omission of any party to exercise any right hereunder in any manner impair the exercise of any such right. Any proposed amendment or waiver that disproportionately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ectPr>
          <w:pgSz w:w="11900" w:h="16838" w:orient="portrait"/>
          <w:cols w:equalWidth="0" w:num="1">
            <w:col w:w="10980"/>
          </w:cols>
          <w:pgMar w:left="440" w:top="266" w:right="479" w:bottom="1440" w:gutter="0" w:footer="0" w:header="0"/>
        </w:sectPr>
      </w:pPr>
    </w:p>
    <w:bookmarkStart w:id="47" w:name="page48"/>
    <w:bookmarkEnd w:id="47"/>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electronic mail, or otherwise by electronic transmission (including any electronic signature complying with the U.S. federal ESIGN Act of 2000, e.g.,www.docusign.com) evidencing an intent to sign this Agreement, such facsimile transmission, electronic mail or other electronic transmission shall create a valid and binding obligation of the party executing (or on whose behalf such signature is executed) with the same force and effect as if such “.pdf” signature page were an original thereof. Execution and delivery of this Agreement by facsimile transmission, electronic mail or other electronic transmission is legal, valid and binding for all purposes.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w:t>
      </w:r>
    </w:p>
    <w:p>
      <w:pPr>
        <w:sectPr>
          <w:pgSz w:w="11900" w:h="16838" w:orient="portrait"/>
          <w:cols w:equalWidth="0" w:num="1">
            <w:col w:w="11000"/>
          </w:cols>
          <w:pgMar w:left="440" w:top="270" w:right="45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ectPr>
          <w:pgSz w:w="11900" w:h="16838" w:orient="portrait"/>
          <w:cols w:equalWidth="0" w:num="1">
            <w:col w:w="10960"/>
          </w:cols>
          <w:pgMar w:left="440" w:top="270" w:right="49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760"/>
          </w:cols>
          <w:pgMar w:left="440" w:top="270" w:right="699" w:bottom="1440" w:gutter="0" w:footer="0" w:header="0"/>
        </w:sectPr>
      </w:pPr>
    </w:p>
    <w:bookmarkStart w:id="50" w:name="page51"/>
    <w:bookmarkEnd w:id="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IMMUNITYBIO, INC.</w:t>
            </w:r>
          </w:p>
        </w:tc>
        <w:tc>
          <w:tcPr>
            <w:tcW w:w="6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3530 John Hopkins Court</w:t>
            </w:r>
          </w:p>
        </w:tc>
      </w:tr>
      <w:tr>
        <w:trPr>
          <w:trHeight w:val="234"/>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Diego, CA 92121</w:t>
            </w:r>
          </w:p>
        </w:tc>
      </w:tr>
      <w:tr>
        <w:trPr>
          <w:trHeight w:val="44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Richard Adcock</w:t>
            </w: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91"/>
        </w:trPr>
        <w:tc>
          <w:tcPr>
            <w:tcW w:w="300" w:type="dxa"/>
            <w:vAlign w:val="bottom"/>
          </w:tcPr>
          <w:p>
            <w:pPr>
              <w:spacing w:after="0"/>
              <w:rPr>
                <w:sz w:val="16"/>
                <w:szCs w:val="16"/>
                <w:color w:val="auto"/>
              </w:rPr>
            </w:pPr>
          </w:p>
        </w:tc>
        <w:tc>
          <w:tcPr>
            <w:tcW w:w="5520" w:type="dxa"/>
            <w:vAlign w:val="bottom"/>
            <w:tcBorders>
              <w:top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Richard Adcock</w:t>
            </w:r>
          </w:p>
        </w:tc>
        <w:tc>
          <w:tcPr>
            <w:tcW w:w="660" w:type="dxa"/>
            <w:vAlign w:val="bottom"/>
          </w:tcPr>
          <w:p>
            <w:pPr>
              <w:spacing w:after="0"/>
              <w:rPr>
                <w:sz w:val="16"/>
                <w:szCs w:val="16"/>
                <w:color w:val="auto"/>
              </w:rPr>
            </w:pPr>
          </w:p>
        </w:tc>
        <w:tc>
          <w:tcPr>
            <w:tcW w:w="2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30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6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Richard.Adcock@immunitybio.com</w:t>
            </w: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Wilson Sonsini Goodrich &amp; Rosati, P.C.</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12235 El Camino Real</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San Diego, CA 92130</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5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E-mail: mwaters@wsgr.com; bcapps@wsgr.com</w:t>
            </w: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Martin J. Waters and Benjamin Capps</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0820"/>
          </w:cols>
          <w:pgMar w:left="440" w:top="270" w:right="639" w:bottom="1440" w:gutter="0" w:footer="0" w:header="0"/>
        </w:sectPr>
      </w:pPr>
    </w:p>
    <w:bookmarkStart w:id="51" w:name="page52"/>
    <w:bookmarkEnd w:id="51"/>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 Armistice Capital Master Fund Ltd.</w:t>
      </w:r>
    </w:p>
    <w:p>
      <w:pPr>
        <w:spacing w:after="0" w:line="223" w:lineRule="exact"/>
        <w:rPr>
          <w:sz w:val="20"/>
          <w:szCs w:val="20"/>
          <w:color w:val="auto"/>
        </w:rPr>
      </w:pPr>
    </w:p>
    <w:p>
      <w:pPr>
        <w:ind w:left="4"/>
        <w:spacing w:after="0"/>
        <w:tabs>
          <w:tab w:leader="none" w:pos="4824" w:val="left"/>
        </w:tabs>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/s/ Steven Boyd </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-6350</wp:posOffset>
            </wp:positionV>
            <wp:extent cx="10661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 Steven Boyd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 CIO of Armistice Capital, LLC, the Investment Manager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$75,000,000.51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29,024,768 @ $2.584/unit</w:t>
      </w:r>
    </w:p>
    <w:p>
      <w:pPr>
        <w:spacing w:after="0" w:line="76"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Warrant Shares: 29,024,768 @ $3.101 strike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 Number: 98-1058273</w:t>
      </w:r>
    </w:p>
    <w:p>
      <w:pPr>
        <w:spacing w:after="0" w:line="117" w:lineRule="exact"/>
        <w:rPr>
          <w:sz w:val="20"/>
          <w:szCs w:val="20"/>
          <w:color w:val="auto"/>
        </w:rPr>
      </w:pPr>
    </w:p>
    <w:p>
      <w:pPr>
        <w:ind w:left="4" w:hanging="4"/>
        <w:spacing w:after="0" w:line="270" w:lineRule="auto"/>
        <w:tabs>
          <w:tab w:leader="none" w:pos="211"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(2nd) Trading Day following the date of this Agreement and (iii) any condition to Closing contemplated by this Agreement (but prior to being disregarded by clause</w:t>
      </w:r>
    </w:p>
    <w:p>
      <w:pPr>
        <w:spacing w:after="0" w:line="2" w:lineRule="exact"/>
        <w:rPr>
          <w:rFonts w:ascii="MS PGothic" w:cs="MS PGothic" w:eastAsia="MS PGothic" w:hAnsi="MS PGothic"/>
          <w:sz w:val="17"/>
          <w:szCs w:val="17"/>
          <w:color w:val="auto"/>
        </w:rPr>
      </w:pPr>
    </w:p>
    <w:p>
      <w:pPr>
        <w:ind w:left="4"/>
        <w:spacing w:after="0" w:line="255"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ectPr>
          <w:pgSz w:w="11900" w:h="16838" w:orient="portrait"/>
          <w:cols w:equalWidth="0" w:num="1">
            <w:col w:w="10964"/>
          </w:cols>
          <w:pgMar w:left="436" w:top="270" w:right="4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u w:val="single" w:color="auto"/>
          <w:color w:val="auto"/>
        </w:rPr>
        <w:t>Form of Warrant</w:t>
      </w:r>
    </w:p>
    <w:p>
      <w:pPr>
        <w:spacing w:after="0" w:line="10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Announces Execution of $75 Million Equity Financing with an Institutional Investor</w:t>
      </w:r>
    </w:p>
    <w:p>
      <w:pPr>
        <w:spacing w:after="0" w:line="22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CULVER CITY, Calif., April 8, 2025 </w:t>
      </w:r>
      <w:r>
        <w:rPr>
          <w:rFonts w:ascii="Times New Roman" w:cs="Times New Roman" w:eastAsia="Times New Roman" w:hAnsi="Times New Roman"/>
          <w:sz w:val="18"/>
          <w:szCs w:val="18"/>
          <w:color w:val="auto"/>
        </w:rPr>
        <w:t>— ImmunityBio, Inc. (NASDAQ: IBRX), a leading immunotherapy company,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financing to provide further working capital and support its ongoing business operations. The Company entered into a securities purchase agreement for a registered direct offering with a single institutional investor, providing for the issuance of common stock of ImmunityBio as well as warrants for the purchase of additional shares of common stock of ImmunityBio that is expected to result in gross proceeds at closing of approximately $75 million before deducting any offering-related expenses, subject to customary closing conditions. If fully exercised, the warrants could result in additional gross proceeds of up to approximately $90 million.</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securities to be sold by the Company are offered under its automatic shelf registration statement on Form S-3 (Registration No. 333-278770). A final prospectus supplement, which contains additional information relating to the offering, will be filed with the SEC and will be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ImmunityBio</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and sustain an immune response with the goal of creating durable and safe protection against disease. Designated an FDA Breakthrough Therapy, ANKTIVA is the first FDA-approved immunotherapy for non-muscle invasive bladder cancer CIS that activates natural killer cells, T cells, and memory T cells for a long-duration response. The Company is applying its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 For more information, visit ImmunityBio.com (Founder’s Vision) and connect with us on X (Twitter), Facebook, LinkedIn, and Instagram.</w:t>
      </w:r>
    </w:p>
    <w:p>
      <w:pPr>
        <w:sectPr>
          <w:pgSz w:w="11900" w:h="16838" w:orient="portrait"/>
          <w:cols w:equalWidth="0" w:num="1">
            <w:col w:w="11020"/>
          </w:cols>
          <w:pgMar w:left="440" w:top="117" w:right="43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as statements regarding the timing and size of the proposed offering, the potential exercise of the warrants being offered and resulting additional proceeds to the Company, the anticipated closing of the equity financing described herein and use of proceeds to be received from such financing, the application of the Company’s science and platforms to treat cancers or develop cancer vaccines, immunotherapies and cell therapies that reduce or eliminate the need for standard high-dose chemotherapy. Statements in this press release that are not statements of historical fact are considered forward-looking statements, which are usually identified by the use of words such as “anticipates,” “believes,” “continues,” “goal,” “could,” “estimates,” “scheduled,” “expects,” “intends,” “may,” “plans,” “potential,” “predicts,” “indicate,” “projects,” “seeks,” “should,” “will,” “strategy,” and variations of such words or similar expressions. Statements of past performance, efforts, or results of our preclinical and clinical trials, about which inferences or assumptions may be made, can also be forward-looking statements and are not indicative of future performance or results. Forward-looking statements are neither forecasts, promises nor guarantees, and are based on the current beliefs of ImmunityBio’s management as well as assumptions made by and information currently available to ImmunityBio. Such information may be limited or incomplete, and ImmunityBio’s statements should not be read to indicate that it has conducted a thorough inquiry into, or review of, all potentially available relevant information. Such statements reflect the current views of ImmunityBio with respect to future events and are subject to known and unknown risks, including business, regulatory, economic and competitive risks, uncertainties, contingencies and assumptions about ImmunityBio, including, without limitation, (i) whether the equity financing transaction described herein will close on the timeline anticipated, if at all, (ii) those related to the regulatory submission, filing and review process and the timing thereof, (iii) the ability</w:t>
      </w:r>
    </w:p>
    <w:p>
      <w:pPr>
        <w:spacing w:after="0" w:line="11" w:lineRule="exact"/>
        <w:rPr>
          <w:sz w:val="20"/>
          <w:szCs w:val="20"/>
          <w:color w:val="auto"/>
        </w:rPr>
      </w:pPr>
    </w:p>
    <w:p>
      <w:pPr>
        <w:ind w:left="4" w:right="60"/>
        <w:spacing w:after="0" w:line="265" w:lineRule="auto"/>
        <w:rPr>
          <w:sz w:val="20"/>
          <w:szCs w:val="20"/>
          <w:color w:val="auto"/>
        </w:rPr>
      </w:pPr>
      <w:r>
        <w:rPr>
          <w:rFonts w:ascii="Times New Roman" w:cs="Times New Roman" w:eastAsia="Times New Roman" w:hAnsi="Times New Roman"/>
          <w:sz w:val="17"/>
          <w:szCs w:val="17"/>
          <w:color w:val="auto"/>
        </w:rPr>
        <w:t>of ImmunityBio to fund its ongoing and anticipated clinical trials, (iv) whether clinical trials will result in registrational pathways, (v) whether clinical trial data will be accepted by regulatory agencies, (vi) the ability of ImmunityBio to continue its planned preclinical and clinical development of its development programs through itself and/or its investigators, and the timing and success of any such continued preclinical and clinical development, patient enrollment and planned regulatory submissions, (vii) potential delays in product availability, regulatory approvals, and reimbursement decisions,</w:t>
      </w:r>
    </w:p>
    <w:p>
      <w:pPr>
        <w:spacing w:after="0" w:line="1" w:lineRule="exact"/>
        <w:rPr>
          <w:sz w:val="20"/>
          <w:szCs w:val="20"/>
          <w:color w:val="auto"/>
        </w:rPr>
      </w:pPr>
    </w:p>
    <w:p>
      <w:pPr>
        <w:ind w:left="4" w:right="300" w:hanging="4"/>
        <w:spacing w:after="0" w:line="253" w:lineRule="auto"/>
        <w:tabs>
          <w:tab w:leader="none" w:pos="4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ImmunityBio’s ability to retain and hire key personnel, (ix) ImmunityBio’s ability to obtain additional financing to fund its operations and complete the development and commercialization of its various product candidates, (x) potential product shortages or manufacturing disruptions that may impact the availability and timing of product, (xi) ImmunityBio’s ability to successfully commercialize its approved product and product candidates, (xii) ImmunityBio’s ability to scale its manufacturing and commercial supply operations for its approved product and future approved products, and (xiii) ImmunityBio’s ability to obtain, maintain,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55" w:name="page56"/>
    <w:bookmarkEnd w:id="5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 and enforce patent protection and other proprietary rights for its product candidates and technologies. More details about these and other risks that may impact ImmunityBio’s business are described under the heading “Risk Factors” in the Company’s Form 10-K filed with the U.S. Securities and Exchange Commission (SEC) on March 3, 2025, and in subsequent filings made by ImmunityBio with the SEC, which are available on the SEC’s website at www.sec.gov. ImmunityBio cautions you not to place undue reliance on any forward looking statements, which speak only as of the date hereof. ImmunityBio does not undertake any duty to update any forward-looking statement or other information in this press release, except to the extent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Hemanth Ramaprakash, PhD,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+1-858-746-9289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Hemanth.Ramaprakash@ImmunityBio.com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Singleton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+1-415-290-8045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Sarah.Singleton@ImmunityBio.com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2"/>
    </w:lvl>
    <w:lvl w:ilvl="1">
      <w:lvlJc w:val="left"/>
      <w:lvlText w:val="(%2)"/>
      <w:numFmt w:val="upperLetter"/>
      <w:start w:val="1"/>
    </w:lvl>
  </w:abstractNum>
  <w:abstractNum w:abstractNumId="5">
    <w:nsid w:val="836C40E"/>
    <w:multiLevelType w:val="hybridMultilevel"/>
    <w:lvl w:ilvl="0">
      <w:lvlJc w:val="left"/>
      <w:lvlText w:val="(%1)"/>
      <w:numFmt w:val="upperLetter"/>
      <w:start w:val="24"/>
    </w:lvl>
  </w:abstractNum>
  <w:abstractNum w:abstractNumId="6">
    <w:nsid w:val="2901D82"/>
    <w:multiLevelType w:val="hybridMultilevel"/>
    <w:lvl w:ilvl="0">
      <w:lvlJc w:val="left"/>
      <w:lvlText w:val="%1)"/>
      <w:numFmt w:val="lowerLetter"/>
      <w:start w:val="4"/>
    </w:lvl>
    <w:lvl w:ilvl="1">
      <w:lvlJc w:val="left"/>
      <w:lvlText w:val="(%2)"/>
      <w:numFmt w:val="lowerRoman"/>
    </w:lvl>
    <w:lvl w:ilvl="2">
      <w:lvlJc w:val="left"/>
      <w:lvlText w:val="%3."/>
      <w:numFmt w:val="lowerRoman"/>
      <w:start w:val="1"/>
    </w:lvl>
  </w:abstractNum>
  <w:abstractNum w:abstractNumId="7">
    <w:nsid w:val="3A95F874"/>
    <w:multiLevelType w:val="hybridMultilevel"/>
    <w:lvl w:ilvl="0">
      <w:lvlJc w:val="left"/>
      <w:lvlText w:val="(%1)"/>
      <w:numFmt w:val="lowerLetter"/>
      <w:start w:val="3"/>
    </w:lvl>
  </w:abstractNum>
  <w:abstractNum w:abstractNumId="8">
    <w:nsid w:val="8138641"/>
    <w:multiLevelType w:val="hybridMultilevel"/>
    <w:lvl w:ilvl="0">
      <w:lvlJc w:val="left"/>
      <w:lvlText w:val="%1."/>
      <w:numFmt w:val="lowerRoman"/>
      <w:start w:val="2"/>
    </w:lvl>
  </w:abstractNum>
  <w:abstractNum w:abstractNumId="9">
    <w:nsid w:val="1E7FF5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0">
    <w:nsid w:val="7C3DBD3D"/>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1">
    <w:nsid w:val="737B8DD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3"/>
    </w:lvl>
  </w:abstractNum>
  <w:abstractNum w:abstractNumId="14">
    <w:nsid w:val="4516DDE9"/>
    <w:multiLevelType w:val="hybridMultilevel"/>
    <w:lvl w:ilvl="0">
      <w:lvlJc w:val="left"/>
      <w:lvlText w:val="(%1)"/>
      <w:numFmt w:val="lowerRoman"/>
      <w:start w:val="3"/>
    </w:lvl>
    <w:lvl w:ilvl="1">
      <w:lvlJc w:val="left"/>
      <w:lvlText w:val="%2)"/>
      <w:numFmt w:val="lowerLetter"/>
      <w:start w:val="4"/>
    </w:lvl>
  </w:abstractNum>
  <w:abstractNum w:abstractNumId="15">
    <w:nsid w:val="3006C83E"/>
    <w:multiLevelType w:val="hybridMultilevel"/>
    <w:lvl w:ilvl="0">
      <w:lvlJc w:val="left"/>
      <w:lvlText w:val="%1)"/>
      <w:numFmt w:val="lowerLetter"/>
      <w:start w:val="5"/>
    </w:lvl>
    <w:lvl w:ilvl="1">
      <w:lvlJc w:val="left"/>
      <w:lvlText w:val="%2."/>
      <w:numFmt w:val="lowerRoman"/>
      <w:start w:val="1"/>
    </w:lvl>
  </w:abstractNum>
  <w:abstractNum w:abstractNumId="16">
    <w:nsid w:val="614FD4A1"/>
    <w:multiLevelType w:val="hybridMultilevel"/>
    <w:lvl w:ilvl="0">
      <w:lvlJc w:val="left"/>
      <w:lvlText w:val="%1)"/>
      <w:numFmt w:val="lowerLetter"/>
      <w:start w:val="6"/>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5"/>
    </w:lvl>
  </w:abstractNum>
  <w:abstractNum w:abstractNumId="20">
    <w:nsid w:val="5072367"/>
    <w:multiLevelType w:val="hybridMultilevel"/>
    <w:lvl w:ilvl="0">
      <w:lvlJc w:val="left"/>
      <w:lvlText w:val="%1)"/>
      <w:numFmt w:val="lowerLetter"/>
      <w:start w:val="10"/>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3"/>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Roman"/>
      <w:start w:val="2"/>
    </w:lvl>
  </w:abstractNum>
  <w:abstractNum w:abstractNumId="26">
    <w:nsid w:val="5E884ADC"/>
    <w:multiLevelType w:val="hybridMultilevel"/>
    <w:lvl w:ilvl="0">
      <w:lvlJc w:val="left"/>
      <w:lvlText w:val="(%1)"/>
      <w:numFmt w:val="lowerRoman"/>
      <w:start w:val="4"/>
    </w:lvl>
  </w:abstractNum>
  <w:abstractNum w:abstractNumId="27">
    <w:nsid w:val="51EAD36B"/>
    <w:multiLevelType w:val="hybridMultilevel"/>
    <w:lvl w:ilvl="0">
      <w:lvlJc w:val="left"/>
      <w:lvlText w:val="(%1)"/>
      <w:numFmt w:val="lowerLetter"/>
      <w:start w:val="1"/>
    </w:lvl>
    <w:lvl w:ilvl="1">
      <w:lvlJc w:val="left"/>
      <w:lvlText w:val="(%2)"/>
      <w:numFmt w:val="lowerRoman"/>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Letter"/>
      <w:start w:val="2"/>
    </w:lvl>
    <w:lvl w:ilvl="1">
      <w:lvlJc w:val="left"/>
      <w:lvlText w:val="(%2)"/>
      <w:numFmt w:val="lowerRoman"/>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lvl w:ilvl="1">
      <w:lvlJc w:val="left"/>
      <w:lvlText w:val="(%2)"/>
      <w:numFmt w:val="lowerLetter"/>
      <w:start w:val="4"/>
    </w:lvl>
  </w:abstractNum>
  <w:abstractNum w:abstractNumId="32">
    <w:nsid w:val="70A64E2A"/>
    <w:multiLevelType w:val="hybridMultilevel"/>
    <w:lvl w:ilvl="0">
      <w:lvlJc w:val="left"/>
      <w:lvlText w:val="(%1)"/>
      <w:numFmt w:val="lowerLetter"/>
      <w:start w:val="9"/>
    </w:lvl>
    <w:lvl w:ilvl="1">
      <w:lvlJc w:val="left"/>
      <w:lvlText w:val="(%2)"/>
      <w:numFmt w:val="lowerLetter"/>
      <w:start w:val="8"/>
    </w:lvl>
  </w:abstractNum>
  <w:abstractNum w:abstractNumId="33">
    <w:nsid w:val="6A2342EC"/>
    <w:multiLevelType w:val="hybridMultilevel"/>
    <w:lvl w:ilvl="0">
      <w:lvlJc w:val="left"/>
      <w:lvlText w:val="(%1)"/>
      <w:numFmt w:val="lowerLetter"/>
      <w:start w:val="9"/>
    </w:lvl>
  </w:abstractNum>
  <w:abstractNum w:abstractNumId="34">
    <w:nsid w:val="2A487CB0"/>
    <w:multiLevelType w:val="hybridMultilevel"/>
    <w:lvl w:ilvl="0">
      <w:lvlJc w:val="left"/>
      <w:lvlText w:val="%1"/>
      <w:numFmt w:val="lowerLetter"/>
      <w:start w:val="1"/>
    </w:lvl>
    <w:lvl w:ilvl="1">
      <w:lvlJc w:val="left"/>
      <w:lvlText w:val="(%2)"/>
      <w:numFmt w:val="lowerLetter"/>
      <w:start w:val="13"/>
    </w:lvl>
  </w:abstractNum>
  <w:abstractNum w:abstractNumId="35">
    <w:nsid w:val="1D4ED43B"/>
    <w:multiLevelType w:val="hybridMultilevel"/>
    <w:lvl w:ilvl="0">
      <w:lvlJc w:val="left"/>
      <w:lvlText w:val="(%1)"/>
      <w:numFmt w:val="lowerLetter"/>
      <w:start w:val="22"/>
    </w:lvl>
    <w:lvl w:ilvl="1">
      <w:lvlJc w:val="left"/>
      <w:lvlText w:val="%2"/>
      <w:numFmt w:val="lowerLetter"/>
      <w:start w:val="1"/>
    </w:lvl>
  </w:abstractNum>
  <w:abstractNum w:abstractNumId="36">
    <w:nsid w:val="725A06FB"/>
    <w:multiLevelType w:val="hybridMultilevel"/>
    <w:lvl w:ilvl="0">
      <w:lvlJc w:val="left"/>
      <w:lvlText w:val="(%1)"/>
      <w:numFmt w:val="lowerLetter"/>
      <w:start w:val="18"/>
    </w:lvl>
  </w:abstractNum>
  <w:abstractNum w:abstractNumId="37">
    <w:nsid w:val="2CD89A32"/>
    <w:multiLevelType w:val="hybridMultilevel"/>
    <w:lvl w:ilvl="0">
      <w:lvlJc w:val="left"/>
      <w:lvlText w:val="%1"/>
      <w:numFmt w:val="decimal"/>
      <w:start w:val="1"/>
    </w:lvl>
    <w:lvl w:ilvl="1">
      <w:lvlJc w:val="left"/>
      <w:lvlText w:val="(%2)"/>
      <w:numFmt w:val="lowerLetter"/>
      <w:start w:val="22"/>
    </w:lvl>
  </w:abstractNum>
  <w:abstractNum w:abstractNumId="38">
    <w:nsid w:val="57E4CCAF"/>
    <w:multiLevelType w:val="hybridMultilevel"/>
    <w:lvl w:ilvl="0">
      <w:lvlJc w:val="left"/>
      <w:lvlText w:val="(%1)"/>
      <w:numFmt w:val="decimal"/>
      <w:start w:val="1"/>
    </w:lvl>
    <w:lvl w:ilvl="1">
      <w:lvlJc w:val="left"/>
      <w:lvlText w:val="(%2)"/>
      <w:numFmt w:val="lowerLetter"/>
      <w:start w:val="24"/>
    </w:lvl>
  </w:abstractNum>
  <w:abstractNum w:abstractNumId="39">
    <w:nsid w:val="7A6D8D3C"/>
    <w:multiLevelType w:val="hybridMultilevel"/>
    <w:lvl w:ilvl="0">
      <w:lvlJc w:val="left"/>
      <w:lvlText w:val="(%1)"/>
      <w:numFmt w:val="lowerLetter"/>
      <w:start w:val="26"/>
    </w:lvl>
  </w:abstractNum>
  <w:abstractNum w:abstractNumId="40">
    <w:nsid w:val="4B588F54"/>
    <w:multiLevelType w:val="hybridMultilevel"/>
    <w:lvl w:ilvl="0">
      <w:lvlJc w:val="left"/>
      <w:lvlText w:val="(%1)"/>
      <w:numFmt w:val="lowerLetter"/>
      <w:start w:val="27"/>
    </w:lvl>
  </w:abstractNum>
  <w:abstractNum w:abstractNumId="41">
    <w:nsid w:val="542289EC"/>
    <w:multiLevelType w:val="hybridMultilevel"/>
    <w:lvl w:ilvl="0">
      <w:lvlJc w:val="left"/>
      <w:lvlText w:val="(%1)"/>
      <w:numFmt w:val="lowerLetter"/>
      <w:start w:val="33"/>
    </w:lvl>
  </w:abstractNum>
  <w:abstractNum w:abstractNumId="42">
    <w:nsid w:val="6DE91B18"/>
    <w:multiLevelType w:val="hybridMultilevel"/>
    <w:lvl w:ilvl="0">
      <w:lvlJc w:val="left"/>
      <w:lvlText w:val="(%1)"/>
      <w:numFmt w:val="lowerLetter"/>
      <w:start w:val="41"/>
    </w:lvl>
  </w:abstractNum>
  <w:abstractNum w:abstractNumId="43">
    <w:nsid w:val="38437FDB"/>
    <w:multiLevelType w:val="hybridMultilevel"/>
    <w:lvl w:ilvl="0">
      <w:lvlJc w:val="left"/>
      <w:lvlText w:val="(%1)"/>
      <w:numFmt w:val="lowerLetter"/>
      <w:start w:val="43"/>
    </w:lvl>
  </w:abstractNum>
  <w:abstractNum w:abstractNumId="44">
    <w:nsid w:val="7644A45C"/>
    <w:multiLevelType w:val="hybridMultilevel"/>
    <w:lvl w:ilvl="0">
      <w:lvlJc w:val="left"/>
      <w:lvlText w:val="(%1)"/>
      <w:numFmt w:val="lowerLetter"/>
      <w:start w:val="48"/>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lvl w:ilvl="1">
      <w:lvlJc w:val="left"/>
      <w:lvlText w:val="(%2)"/>
      <w:numFmt w:val="lowerLetter"/>
      <w:start w:val="5"/>
    </w:lvl>
  </w:abstractNum>
  <w:abstractNum w:abstractNumId="47">
    <w:nsid w:val="579478FE"/>
    <w:multiLevelType w:val="hybridMultilevel"/>
    <w:lvl w:ilvl="0">
      <w:lvlJc w:val="left"/>
      <w:lvlText w:val="(%1)"/>
      <w:numFmt w:val="lowerLetter"/>
      <w:start w:val="6"/>
    </w:lvl>
    <w:lvl w:ilvl="1">
      <w:lvlJc w:val="left"/>
      <w:lvlText w:val="%2"/>
      <w:numFmt w:val="lowerLetter"/>
      <w:start w:val="1"/>
    </w:lvl>
  </w:abstractNum>
  <w:abstractNum w:abstractNumId="48">
    <w:nsid w:val="749ABB43"/>
    <w:multiLevelType w:val="hybridMultilevel"/>
    <w:lvl w:ilvl="0">
      <w:lvlJc w:val="left"/>
      <w:lvlText w:val="(%1)"/>
      <w:numFmt w:val="lowerRoman"/>
      <w:start w:val="2"/>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2025-04-08T06:50:57Z</dcterms:created>
  <dcterms:modified xsi:type="dcterms:W3CDTF">2025-04-08T06:50:57Z</dcterms:modified>
</cp:coreProperties>
</file>