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49f82bc2aa33405eae1e0b45f37d1ae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60"/>
        <w:jc w:val="center"/>
        <w:rPr>
          <w:rFonts w:ascii="Times New Roman;serif" w:hAnsi="Times New Roman;serif"/>
          <w:b/>
          <w:color w:val="000000"/>
          <w:sz w:val="30"/>
        </w:rPr>
      </w:pPr>
      <w:r>
        <w:rPr>
          <w:rFonts w:ascii="Times New Roman;serif" w:hAnsi="Times New Roman;serif"/>
          <w:b/>
          <w:color w:val="000000"/>
          <w:sz w:val="30"/>
        </w:rPr>
        <w:t>FORM 10-K</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Commission file number: 001-37507</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1B4486"/>
          <w:sz w:val="44"/>
        </w:rPr>
      </w:pPr>
      <w:r>
        <w:rPr>
          <w:rFonts w:ascii="Times New Roman;serif" w:hAnsi="Times New Roman;serif"/>
          <w:b/>
          <w:color w:val="1B4486"/>
          <w:sz w:val="44"/>
        </w:rPr>
        <w:t>IMMUNITYBIO, INC.</w:t>
      </w:r>
    </w:p>
    <w:p>
      <w:pPr>
        <w:pStyle w:val="TextBody"/>
        <w:bidi w:val="0"/>
        <w:spacing w:lineRule="auto" w:line="288" w:before="120" w:after="6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409" w:type="dxa"/>
        <w:jc w:val="center"/>
        <w:tblInd w:w="0" w:type="dxa"/>
        <w:tblLayout w:type="fixed"/>
        <w:tblCellMar>
          <w:top w:w="28" w:type="dxa"/>
          <w:left w:w="28" w:type="dxa"/>
          <w:bottom w:w="28" w:type="dxa"/>
          <w:right w:w="28" w:type="dxa"/>
        </w:tblCellMar>
      </w:tblPr>
      <w:tblGrid>
        <w:gridCol w:w="1058"/>
        <w:gridCol w:w="929"/>
        <w:gridCol w:w="938"/>
        <w:gridCol w:w="432"/>
        <w:gridCol w:w="432"/>
        <w:gridCol w:w="62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43-1979754</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3530 John Hopkins Court</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San Diego, California</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92121</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(844) 696-5235</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782" w:type="dxa"/>
        <w:jc w:val="left"/>
        <w:tblInd w:w="0" w:type="dxa"/>
        <w:tblLayout w:type="fixed"/>
        <w:tblCellMar>
          <w:top w:w="28" w:type="dxa"/>
          <w:left w:w="28" w:type="dxa"/>
          <w:bottom w:w="28" w:type="dxa"/>
          <w:right w:w="28" w:type="dxa"/>
        </w:tblCellMar>
      </w:tblPr>
      <w:tblGrid>
        <w:gridCol w:w="1214"/>
        <w:gridCol w:w="1065"/>
        <w:gridCol w:w="1081"/>
        <w:gridCol w:w="109"/>
        <w:gridCol w:w="109"/>
        <w:gridCol w:w="109"/>
        <w:gridCol w:w="484"/>
        <w:gridCol w:w="484"/>
        <w:gridCol w:w="486"/>
        <w:gridCol w:w="109"/>
        <w:gridCol w:w="109"/>
        <w:gridCol w:w="109"/>
        <w:gridCol w:w="970"/>
        <w:gridCol w:w="970"/>
        <w:gridCol w:w="1374"/>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IBRX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None</w:t>
      </w:r>
    </w:p>
    <w:p>
      <w:pPr>
        <w:pStyle w:val="TextBody"/>
        <w:bidi w:val="0"/>
        <w:spacing w:lineRule="auto" w:line="288" w:before="100" w:after="283"/>
        <w:jc w:val="left"/>
        <w:rPr/>
      </w:pP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r>
    </w:tbl>
    <w:p>
      <w:pPr>
        <w:pStyle w:val="TextBody"/>
        <w:bidi w:val="0"/>
        <w:spacing w:lineRule="auto" w:line="288" w:before="10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00" w:after="283"/>
        <w:jc w:val="left"/>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is a shell company (as defined in Rule 12b-2 of the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aggregate market value of the registrant’s voting and non-voting common equity held by non-affiliates, computed based on the closing price of shares of common stock on the Nasdaq Global Select Market on June 30, 2025 was approximately $690.2 million.</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as of February 19, 2026 was 1,028,111,456 (excluding 163,800 shares held by a majority-owned subsidiary of ours that are treated as treasury shares for accounting purposes).</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As noted herein, the information called for by Part III of this Annual Report is incorporated by reference to specified portions of the registrant’s definitive proxy statement to be filed in conjunction with the registrant’s 2026 Annual Meeting of Stockholders, which is expected to be filed not later than 120 days after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IMMUNITYBIO,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74" w:type="dxa"/>
        <w:jc w:val="center"/>
        <w:tblInd w:w="0" w:type="dxa"/>
        <w:tblLayout w:type="fixed"/>
        <w:tblCellMar>
          <w:top w:w="28" w:type="dxa"/>
          <w:left w:w="28" w:type="dxa"/>
          <w:bottom w:w="28" w:type="dxa"/>
          <w:right w:w="28" w:type="dxa"/>
        </w:tblCellMar>
      </w:tblPr>
      <w:tblGrid>
        <w:gridCol w:w="304"/>
        <w:gridCol w:w="266"/>
        <w:gridCol w:w="269"/>
        <w:gridCol w:w="2470"/>
        <w:gridCol w:w="2470"/>
        <w:gridCol w:w="2484"/>
        <w:gridCol w:w="149"/>
        <w:gridCol w:w="149"/>
        <w:gridCol w:w="213"/>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774" w:type="dxa"/>
            <w:gridSpan w:val="9"/>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49f82bc2aa33405eae1e0b45f37d1ae6_13">
              <w:r>
                <w:rPr>
                  <w:rStyle w:val="InternetLink"/>
                  <w:rFonts w:ascii="Times New Roman;serif" w:hAnsi="Times New Roman;serif"/>
                  <w:b/>
                  <w:color w:val="0000FF"/>
                  <w:sz w:val="20"/>
                  <w:u w:val="single"/>
                </w:rPr>
                <w:t>PART I</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6">
              <w:r>
                <w:rPr>
                  <w:rStyle w:val="InternetLink"/>
                  <w:rFonts w:ascii="Times New Roman;serif" w:hAnsi="Times New Roman;serif"/>
                  <w:b/>
                  <w:strike w:val="false"/>
                  <w:dstrike w:val="false"/>
                  <w:color w:val="000000"/>
                  <w:sz w:val="20"/>
                  <w:u w:val="none"/>
                  <w:effect w:val="none"/>
                </w:rPr>
                <w:t>Item 1.</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6">
              <w:r>
                <w:rPr>
                  <w:rStyle w:val="InternetLink"/>
                  <w:rFonts w:ascii="Times New Roman;serif" w:hAnsi="Times New Roman;serif"/>
                  <w:b w:val="false"/>
                  <w:color w:val="0000FF"/>
                  <w:sz w:val="20"/>
                  <w:u w:val="single"/>
                </w:rPr>
                <w:t>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6">
              <w:r>
                <w:rPr>
                  <w:rStyle w:val="InternetLink"/>
                  <w:rFonts w:ascii="Times New Roman;serif" w:hAnsi="Times New Roman;serif"/>
                  <w:b w:val="false"/>
                  <w:strike w:val="false"/>
                  <w:dstrike w:val="false"/>
                  <w:color w:val="000000"/>
                  <w:sz w:val="20"/>
                  <w:u w:val="none"/>
                  <w:effect w:val="none"/>
                </w:rPr>
                <w:t>1</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70">
              <w:r>
                <w:rPr>
                  <w:rStyle w:val="InternetLink"/>
                  <w:rFonts w:ascii="Times New Roman;serif" w:hAnsi="Times New Roman;serif"/>
                  <w:b/>
                  <w:strike w:val="false"/>
                  <w:dstrike w:val="false"/>
                  <w:color w:val="000000"/>
                  <w:sz w:val="20"/>
                  <w:u w:val="none"/>
                  <w:effect w:val="none"/>
                </w:rPr>
                <w:t>Item 1A.</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70">
              <w:r>
                <w:rPr>
                  <w:rStyle w:val="InternetLink"/>
                  <w:rFonts w:ascii="Times New Roman;serif" w:hAnsi="Times New Roman;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70">
              <w:r>
                <w:rPr>
                  <w:rStyle w:val="InternetLink"/>
                  <w:rFonts w:ascii="Times New Roman;serif" w:hAnsi="Times New Roman;serif"/>
                  <w:b w:val="false"/>
                  <w:strike w:val="false"/>
                  <w:dstrike w:val="false"/>
                  <w:color w:val="000000"/>
                  <w:sz w:val="20"/>
                  <w:u w:val="none"/>
                  <w:effect w:val="none"/>
                </w:rPr>
                <w:t>55</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76">
              <w:r>
                <w:rPr>
                  <w:rStyle w:val="InternetLink"/>
                  <w:rFonts w:ascii="Times New Roman;serif" w:hAnsi="Times New Roman;serif"/>
                  <w:b/>
                  <w:strike w:val="false"/>
                  <w:dstrike w:val="false"/>
                  <w:color w:val="000000"/>
                  <w:sz w:val="20"/>
                  <w:u w:val="none"/>
                  <w:effect w:val="none"/>
                </w:rPr>
                <w:t>Item 1B.</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76">
              <w:r>
                <w:rPr>
                  <w:rStyle w:val="InternetLink"/>
                  <w:rFonts w:ascii="Times New Roman;serif" w:hAnsi="Times New Roman;serif"/>
                  <w:b w:val="false"/>
                  <w:color w:val="0000FF"/>
                  <w:sz w:val="20"/>
                  <w:u w:val="single"/>
                </w:rPr>
                <w:t>Unresolved Staff Comments.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76">
              <w:r>
                <w:rPr>
                  <w:rStyle w:val="InternetLink"/>
                  <w:rFonts w:ascii="Times New Roman;serif" w:hAnsi="Times New Roman;serif"/>
                  <w:b w:val="false"/>
                  <w:strike w:val="false"/>
                  <w:dstrike w:val="false"/>
                  <w:color w:val="000000"/>
                  <w:sz w:val="20"/>
                  <w:u w:val="none"/>
                  <w:effect w:val="none"/>
                </w:rPr>
                <w:t>128</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79">
              <w:r>
                <w:rPr>
                  <w:rStyle w:val="InternetLink"/>
                  <w:rFonts w:ascii="Times New Roman;serif" w:hAnsi="Times New Roman;serif"/>
                  <w:b/>
                  <w:strike w:val="false"/>
                  <w:dstrike w:val="false"/>
                  <w:color w:val="000000"/>
                  <w:sz w:val="20"/>
                  <w:u w:val="none"/>
                  <w:effect w:val="none"/>
                </w:rPr>
                <w:t>Item 1C.</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79">
              <w:r>
                <w:rPr>
                  <w:rStyle w:val="InternetLink"/>
                  <w:rFonts w:ascii="Times New Roman;serif" w:hAnsi="Times New Roman;serif"/>
                  <w:b w:val="false"/>
                  <w:color w:val="0000FF"/>
                  <w:sz w:val="20"/>
                  <w:u w:val="single"/>
                </w:rPr>
                <w:t>Cybersecurity.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79">
              <w:r>
                <w:rPr>
                  <w:rStyle w:val="InternetLink"/>
                  <w:rFonts w:ascii="Times New Roman;serif" w:hAnsi="Times New Roman;serif"/>
                  <w:b w:val="false"/>
                  <w:strike w:val="false"/>
                  <w:dstrike w:val="false"/>
                  <w:color w:val="000000"/>
                  <w:sz w:val="20"/>
                  <w:u w:val="none"/>
                  <w:effect w:val="none"/>
                </w:rPr>
                <w:t>129</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82">
              <w:r>
                <w:rPr>
                  <w:rStyle w:val="InternetLink"/>
                  <w:rFonts w:ascii="Times New Roman;serif" w:hAnsi="Times New Roman;serif"/>
                  <w:b/>
                  <w:strike w:val="false"/>
                  <w:dstrike w:val="false"/>
                  <w:color w:val="000000"/>
                  <w:sz w:val="20"/>
                  <w:u w:val="none"/>
                  <w:effect w:val="none"/>
                </w:rPr>
                <w:t>Item 2.</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82">
              <w:r>
                <w:rPr>
                  <w:rStyle w:val="InternetLink"/>
                  <w:rFonts w:ascii="Times New Roman;serif" w:hAnsi="Times New Roman;serif"/>
                  <w:b w:val="false"/>
                  <w:color w:val="0000FF"/>
                  <w:sz w:val="20"/>
                  <w:u w:val="single"/>
                </w:rPr>
                <w:t>Properties.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82">
              <w:r>
                <w:rPr>
                  <w:rStyle w:val="InternetLink"/>
                  <w:rFonts w:ascii="Times New Roman;serif" w:hAnsi="Times New Roman;serif"/>
                  <w:b w:val="false"/>
                  <w:strike w:val="false"/>
                  <w:dstrike w:val="false"/>
                  <w:color w:val="000000"/>
                  <w:sz w:val="20"/>
                  <w:u w:val="none"/>
                  <w:effect w:val="none"/>
                </w:rPr>
                <w:t>131</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85">
              <w:r>
                <w:rPr>
                  <w:rStyle w:val="InternetLink"/>
                  <w:rFonts w:ascii="Times New Roman;serif" w:hAnsi="Times New Roman;serif"/>
                  <w:b/>
                  <w:strike w:val="false"/>
                  <w:dstrike w:val="false"/>
                  <w:color w:val="000000"/>
                  <w:sz w:val="20"/>
                  <w:u w:val="none"/>
                  <w:effect w:val="none"/>
                </w:rPr>
                <w:t>Item 3.</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85">
              <w:r>
                <w:rPr>
                  <w:rStyle w:val="InternetLink"/>
                  <w:rFonts w:ascii="Times New Roman;serif" w:hAnsi="Times New Roman;serif"/>
                  <w:b w:val="false"/>
                  <w:color w:val="0000FF"/>
                  <w:sz w:val="20"/>
                  <w:u w:val="single"/>
                </w:rPr>
                <w:t>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85">
              <w:r>
                <w:rPr>
                  <w:rStyle w:val="InternetLink"/>
                  <w:rFonts w:ascii="Times New Roman;serif" w:hAnsi="Times New Roman;serif"/>
                  <w:b w:val="false"/>
                  <w:strike w:val="false"/>
                  <w:dstrike w:val="false"/>
                  <w:color w:val="000000"/>
                  <w:sz w:val="20"/>
                  <w:u w:val="none"/>
                  <w:effect w:val="none"/>
                </w:rPr>
                <w:t>131</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88">
              <w:r>
                <w:rPr>
                  <w:rStyle w:val="InternetLink"/>
                  <w:rFonts w:ascii="Times New Roman;serif" w:hAnsi="Times New Roman;serif"/>
                  <w:b/>
                  <w:strike w:val="false"/>
                  <w:dstrike w:val="false"/>
                  <w:color w:val="000000"/>
                  <w:sz w:val="20"/>
                  <w:u w:val="none"/>
                  <w:effect w:val="none"/>
                </w:rPr>
                <w:t>Item 4.</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88">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88">
              <w:r>
                <w:rPr>
                  <w:rStyle w:val="InternetLink"/>
                  <w:rFonts w:ascii="Times New Roman;serif" w:hAnsi="Times New Roman;serif"/>
                  <w:b w:val="false"/>
                  <w:strike w:val="false"/>
                  <w:dstrike w:val="false"/>
                  <w:color w:val="000000"/>
                  <w:sz w:val="20"/>
                  <w:u w:val="none"/>
                  <w:effect w:val="none"/>
                </w:rPr>
                <w:t>134</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4"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9f82bc2aa33405eae1e0b45f37d1ae6_91">
              <w:r>
                <w:rPr>
                  <w:rStyle w:val="InternetLink"/>
                  <w:rFonts w:ascii="Times New Roman;serif" w:hAnsi="Times New Roman;serif"/>
                  <w:b/>
                  <w:color w:val="0000FF"/>
                  <w:sz w:val="20"/>
                  <w:u w:val="single"/>
                </w:rPr>
                <w:t>PART II</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94">
              <w:r>
                <w:rPr>
                  <w:rStyle w:val="InternetLink"/>
                  <w:rFonts w:ascii="Times New Roman;serif" w:hAnsi="Times New Roman;serif"/>
                  <w:b/>
                  <w:strike w:val="false"/>
                  <w:dstrike w:val="false"/>
                  <w:color w:val="000000"/>
                  <w:sz w:val="20"/>
                  <w:u w:val="none"/>
                  <w:effect w:val="none"/>
                </w:rPr>
                <w:t>Item 5.</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94">
              <w:r>
                <w:rPr>
                  <w:rStyle w:val="InternetLink"/>
                  <w:rFonts w:ascii="Times New Roman;serif" w:hAnsi="Times New Roman;serif"/>
                  <w:b w:val="false"/>
                  <w:color w:val="0000FF"/>
                  <w:sz w:val="20"/>
                  <w:u w:val="single"/>
                </w:rPr>
                <w:t xml:space="preserve">Market for Registrant’s Common Equity, Related Stockholder Matters and </w:t>
              </w:r>
            </w:hyperlink>
          </w:p>
          <w:p>
            <w:pPr>
              <w:pStyle w:val="TableContents"/>
              <w:bidi w:val="0"/>
              <w:spacing w:lineRule="auto" w:line="273" w:before="0" w:after="0"/>
              <w:jc w:val="left"/>
              <w:rPr/>
            </w:pPr>
            <w:r>
              <w:rPr>
                <w:color w:val="000000"/>
              </w:rPr>
              <w:t>   </w:t>
            </w:r>
            <w:hyperlink w:anchor="i49f82bc2aa33405eae1e0b45f37d1ae6_94">
              <w:r>
                <w:rPr>
                  <w:rStyle w:val="InternetLink"/>
                  <w:rFonts w:ascii="Times New Roman;serif" w:hAnsi="Times New Roman;serif"/>
                  <w:b w:val="false"/>
                  <w:color w:val="0000FF"/>
                  <w:sz w:val="20"/>
                  <w:u w:val="single"/>
                </w:rPr>
                <w:t>Issuer Purchases of Equity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94">
              <w:r>
                <w:rPr>
                  <w:rStyle w:val="InternetLink"/>
                  <w:rFonts w:ascii="Times New Roman;serif" w:hAnsi="Times New Roman;serif"/>
                  <w:b w:val="false"/>
                  <w:strike w:val="false"/>
                  <w:dstrike w:val="false"/>
                  <w:color w:val="000000"/>
                  <w:sz w:val="20"/>
                  <w:u w:val="none"/>
                  <w:effect w:val="none"/>
                </w:rPr>
                <w:t>135</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00">
              <w:r>
                <w:rPr>
                  <w:rStyle w:val="InternetLink"/>
                  <w:rFonts w:ascii="Times New Roman;serif" w:hAnsi="Times New Roman;serif"/>
                  <w:b/>
                  <w:strike w:val="false"/>
                  <w:dstrike w:val="false"/>
                  <w:color w:val="000000"/>
                  <w:sz w:val="20"/>
                  <w:u w:val="none"/>
                  <w:effect w:val="none"/>
                </w:rPr>
                <w:t>Item 6.</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00">
              <w:r>
                <w:rPr>
                  <w:rStyle w:val="InternetLink"/>
                  <w:rFonts w:ascii="Times New Roman;serif" w:hAnsi="Times New Roman;serif"/>
                  <w:b w:val="false"/>
                  <w:color w:val="0000FF"/>
                  <w:sz w:val="20"/>
                  <w:u w:val="single"/>
                </w:rPr>
                <w:t>Reserved.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00">
              <w:r>
                <w:rPr>
                  <w:rStyle w:val="InternetLink"/>
                  <w:rFonts w:ascii="Times New Roman;serif" w:hAnsi="Times New Roman;serif"/>
                  <w:b w:val="false"/>
                  <w:strike w:val="false"/>
                  <w:dstrike w:val="false"/>
                  <w:color w:val="000000"/>
                  <w:sz w:val="20"/>
                  <w:u w:val="none"/>
                  <w:effect w:val="none"/>
                </w:rPr>
                <w:t>136</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03">
              <w:r>
                <w:rPr>
                  <w:rStyle w:val="InternetLink"/>
                  <w:rFonts w:ascii="Times New Roman;serif" w:hAnsi="Times New Roman;serif"/>
                  <w:b/>
                  <w:strike w:val="false"/>
                  <w:dstrike w:val="false"/>
                  <w:color w:val="000000"/>
                  <w:sz w:val="20"/>
                  <w:u w:val="none"/>
                  <w:effect w:val="none"/>
                </w:rPr>
                <w:t>Item 7.</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103">
              <w:r>
                <w:rPr>
                  <w:rStyle w:val="InternetLink"/>
                  <w:rFonts w:ascii="Times New Roman;serif" w:hAnsi="Times New Roman;serif"/>
                  <w:b w:val="false"/>
                  <w:strike w:val="false"/>
                  <w:dstrike w:val="false"/>
                  <w:color w:val="000000"/>
                  <w:sz w:val="20"/>
                  <w:u w:val="none"/>
                  <w:effect w:val="none"/>
                </w:rPr>
                <w:t>137</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63">
              <w:r>
                <w:rPr>
                  <w:rStyle w:val="InternetLink"/>
                  <w:rFonts w:ascii="Times New Roman;serif" w:hAnsi="Times New Roman;serif"/>
                  <w:b/>
                  <w:strike w:val="false"/>
                  <w:dstrike w:val="false"/>
                  <w:color w:val="000000"/>
                  <w:sz w:val="20"/>
                  <w:u w:val="none"/>
                  <w:effect w:val="none"/>
                </w:rPr>
                <w:t>Item 7A.</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6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163">
              <w:r>
                <w:rPr>
                  <w:rStyle w:val="InternetLink"/>
                  <w:rFonts w:ascii="Times New Roman;serif" w:hAnsi="Times New Roman;serif"/>
                  <w:b w:val="false"/>
                  <w:strike w:val="false"/>
                  <w:dstrike w:val="false"/>
                  <w:color w:val="000000"/>
                  <w:sz w:val="20"/>
                  <w:u w:val="none"/>
                  <w:effect w:val="none"/>
                </w:rPr>
                <w:t>158</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66">
              <w:r>
                <w:rPr>
                  <w:rStyle w:val="InternetLink"/>
                  <w:rFonts w:ascii="Times New Roman;serif" w:hAnsi="Times New Roman;serif"/>
                  <w:b/>
                  <w:strike w:val="false"/>
                  <w:dstrike w:val="false"/>
                  <w:color w:val="000000"/>
                  <w:sz w:val="20"/>
                  <w:u w:val="none"/>
                  <w:effect w:val="none"/>
                </w:rPr>
                <w:t>Item 8.</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166">
              <w:r>
                <w:rPr>
                  <w:rStyle w:val="InternetLink"/>
                  <w:rFonts w:ascii="Times New Roman;serif" w:hAnsi="Times New Roman;serif"/>
                  <w:b w:val="false"/>
                  <w:color w:val="0000FF"/>
                  <w:sz w:val="20"/>
                  <w:u w:val="single"/>
                </w:rPr>
                <w:t>Financial Statements and Supplementary Data.</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166">
              <w:r>
                <w:rPr>
                  <w:rStyle w:val="InternetLink"/>
                  <w:rFonts w:ascii="Times New Roman;serif" w:hAnsi="Times New Roman;serif"/>
                  <w:b w:val="false"/>
                  <w:strike w:val="false"/>
                  <w:dstrike w:val="false"/>
                  <w:color w:val="000000"/>
                  <w:sz w:val="20"/>
                  <w:u w:val="none"/>
                  <w:effect w:val="none"/>
                </w:rPr>
                <w:t>160</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19">
              <w:r>
                <w:rPr>
                  <w:rStyle w:val="InternetLink"/>
                  <w:rFonts w:ascii="Times New Roman;serif" w:hAnsi="Times New Roman;serif"/>
                  <w:b/>
                  <w:strike w:val="false"/>
                  <w:dstrike w:val="false"/>
                  <w:color w:val="000000"/>
                  <w:sz w:val="20"/>
                  <w:u w:val="none"/>
                  <w:effect w:val="none"/>
                </w:rPr>
                <w:t>Item 9.</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19">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19">
              <w:r>
                <w:rPr>
                  <w:rStyle w:val="InternetLink"/>
                  <w:rFonts w:ascii="Times New Roman;serif" w:hAnsi="Times New Roman;serif"/>
                  <w:b w:val="false"/>
                  <w:strike w:val="false"/>
                  <w:dstrike w:val="false"/>
                  <w:color w:val="000000"/>
                  <w:sz w:val="20"/>
                  <w:u w:val="none"/>
                  <w:effect w:val="none"/>
                </w:rPr>
                <w:t>238</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22">
              <w:r>
                <w:rPr>
                  <w:rStyle w:val="InternetLink"/>
                  <w:rFonts w:ascii="Times New Roman;serif" w:hAnsi="Times New Roman;serif"/>
                  <w:b/>
                  <w:strike w:val="false"/>
                  <w:dstrike w:val="false"/>
                  <w:color w:val="000000"/>
                  <w:sz w:val="20"/>
                  <w:u w:val="none"/>
                  <w:effect w:val="none"/>
                </w:rPr>
                <w:t>Item 9A.</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22">
              <w:r>
                <w:rPr>
                  <w:rStyle w:val="InternetLink"/>
                  <w:rFonts w:ascii="Times New Roman;serif" w:hAnsi="Times New Roman;serif"/>
                  <w:b w:val="false"/>
                  <w:color w:val="0000FF"/>
                  <w:sz w:val="20"/>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22">
              <w:r>
                <w:rPr>
                  <w:rStyle w:val="InternetLink"/>
                  <w:rFonts w:ascii="Times New Roman;serif" w:hAnsi="Times New Roman;serif"/>
                  <w:b w:val="false"/>
                  <w:strike w:val="false"/>
                  <w:dstrike w:val="false"/>
                  <w:color w:val="000000"/>
                  <w:sz w:val="20"/>
                  <w:u w:val="none"/>
                  <w:effect w:val="none"/>
                </w:rPr>
                <w:t>238</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25">
              <w:r>
                <w:rPr>
                  <w:rStyle w:val="InternetLink"/>
                  <w:rFonts w:ascii="Times New Roman;serif" w:hAnsi="Times New Roman;serif"/>
                  <w:b/>
                  <w:strike w:val="false"/>
                  <w:dstrike w:val="false"/>
                  <w:color w:val="000000"/>
                  <w:sz w:val="20"/>
                  <w:u w:val="none"/>
                  <w:effect w:val="none"/>
                </w:rPr>
                <w:t>Item 9B.</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25">
              <w:r>
                <w:rPr>
                  <w:rStyle w:val="InternetLink"/>
                  <w:rFonts w:ascii="Times New Roman;serif" w:hAnsi="Times New Roman;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25">
              <w:r>
                <w:rPr>
                  <w:rStyle w:val="InternetLink"/>
                  <w:rFonts w:ascii="Times New Roman;serif" w:hAnsi="Times New Roman;serif"/>
                  <w:b w:val="false"/>
                  <w:strike w:val="false"/>
                  <w:dstrike w:val="false"/>
                  <w:color w:val="000000"/>
                  <w:sz w:val="20"/>
                  <w:u w:val="none"/>
                  <w:effect w:val="none"/>
                </w:rPr>
                <w:t>241</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28">
              <w:r>
                <w:rPr>
                  <w:rStyle w:val="InternetLink"/>
                  <w:rFonts w:ascii="Times New Roman;serif" w:hAnsi="Times New Roman;serif"/>
                  <w:b/>
                  <w:strike w:val="false"/>
                  <w:dstrike w:val="false"/>
                  <w:color w:val="000000"/>
                  <w:sz w:val="20"/>
                  <w:u w:val="none"/>
                  <w:effect w:val="none"/>
                </w:rPr>
                <w:t>Item 9C.</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28">
              <w:r>
                <w:rPr>
                  <w:rStyle w:val="InternetLink"/>
                  <w:rFonts w:ascii="Times New Roman;serif" w:hAnsi="Times New Roman;serif"/>
                  <w:b w:val="false"/>
                  <w:color w:val="0000FF"/>
                  <w:sz w:val="20"/>
                  <w:u w:val="single"/>
                </w:rPr>
                <w:t>Disclosure Regarding Foreign Jurisdictions that Prevent Inspections.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28">
              <w:r>
                <w:rPr>
                  <w:rStyle w:val="InternetLink"/>
                  <w:rFonts w:ascii="Times New Roman;serif" w:hAnsi="Times New Roman;serif"/>
                  <w:b w:val="false"/>
                  <w:strike w:val="false"/>
                  <w:dstrike w:val="false"/>
                  <w:color w:val="000000"/>
                  <w:sz w:val="20"/>
                  <w:u w:val="none"/>
                  <w:effect w:val="none"/>
                </w:rPr>
                <w:t>241</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9f82bc2aa33405eae1e0b45f37d1ae6_331">
              <w:r>
                <w:rPr>
                  <w:rStyle w:val="InternetLink"/>
                  <w:rFonts w:ascii="Times New Roman;serif" w:hAnsi="Times New Roman;serif"/>
                  <w:b/>
                  <w:color w:val="0000FF"/>
                  <w:sz w:val="20"/>
                  <w:u w:val="single"/>
                </w:rPr>
                <w:t>PART III</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34">
              <w:r>
                <w:rPr>
                  <w:rStyle w:val="InternetLink"/>
                  <w:rFonts w:ascii="Times New Roman;serif" w:hAnsi="Times New Roman;serif"/>
                  <w:b/>
                  <w:strike w:val="false"/>
                  <w:dstrike w:val="false"/>
                  <w:color w:val="000000"/>
                  <w:sz w:val="20"/>
                  <w:u w:val="none"/>
                  <w:effect w:val="none"/>
                </w:rPr>
                <w:t>Item 10.</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34">
              <w:r>
                <w:rPr>
                  <w:rStyle w:val="InternetLink"/>
                  <w:rFonts w:ascii="Times New Roman;serif" w:hAnsi="Times New Roman;serif"/>
                  <w:b w:val="false"/>
                  <w:color w:val="0000FF"/>
                  <w:sz w:val="20"/>
                  <w:u w:val="single"/>
                </w:rPr>
                <w:t>Directors, Executive Officers and Corporate Governance.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34">
              <w:r>
                <w:rPr>
                  <w:rStyle w:val="InternetLink"/>
                  <w:rFonts w:ascii="Times New Roman;serif" w:hAnsi="Times New Roman;serif"/>
                  <w:b w:val="false"/>
                  <w:strike w:val="false"/>
                  <w:dstrike w:val="false"/>
                  <w:color w:val="000000"/>
                  <w:sz w:val="20"/>
                  <w:u w:val="none"/>
                  <w:effect w:val="none"/>
                </w:rPr>
                <w:t>242</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37">
              <w:r>
                <w:rPr>
                  <w:rStyle w:val="InternetLink"/>
                  <w:rFonts w:ascii="Times New Roman;serif" w:hAnsi="Times New Roman;serif"/>
                  <w:b/>
                  <w:strike w:val="false"/>
                  <w:dstrike w:val="false"/>
                  <w:color w:val="000000"/>
                  <w:sz w:val="20"/>
                  <w:u w:val="none"/>
                  <w:effect w:val="none"/>
                </w:rPr>
                <w:t>Item 11.</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49f82bc2aa33405eae1e0b45f37d1ae6_337">
              <w:r>
                <w:rPr>
                  <w:rStyle w:val="InternetLink"/>
                  <w:rFonts w:ascii="Times New Roman;serif" w:hAnsi="Times New Roman;serif"/>
                  <w:b w:val="false"/>
                  <w:color w:val="0000FF"/>
                  <w:sz w:val="20"/>
                  <w:u w:val="single"/>
                </w:rPr>
                <w:t>Executive Compensation.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37">
              <w:r>
                <w:rPr>
                  <w:rStyle w:val="InternetLink"/>
                  <w:rFonts w:ascii="Times New Roman;serif" w:hAnsi="Times New Roman;serif"/>
                  <w:b w:val="false"/>
                  <w:strike w:val="false"/>
                  <w:dstrike w:val="false"/>
                  <w:color w:val="000000"/>
                  <w:sz w:val="20"/>
                  <w:u w:val="none"/>
                  <w:effect w:val="none"/>
                </w:rPr>
                <w:t>242</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40">
              <w:r>
                <w:rPr>
                  <w:rStyle w:val="InternetLink"/>
                  <w:rFonts w:ascii="Times New Roman;serif" w:hAnsi="Times New Roman;serif"/>
                  <w:b/>
                  <w:strike w:val="false"/>
                  <w:dstrike w:val="false"/>
                  <w:color w:val="000000"/>
                  <w:sz w:val="20"/>
                  <w:u w:val="none"/>
                  <w:effect w:val="none"/>
                </w:rPr>
                <w:t>Item 12.</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49f82bc2aa33405eae1e0b45f37d1ae6_340">
              <w:r>
                <w:rPr>
                  <w:rStyle w:val="InternetLink"/>
                  <w:rFonts w:ascii="Times New Roman;serif" w:hAnsi="Times New Roman;serif"/>
                  <w:b w:val="false"/>
                  <w:color w:val="0000FF"/>
                  <w:sz w:val="20"/>
                  <w:u w:val="single"/>
                </w:rPr>
                <w:t xml:space="preserve">Security Ownership of Certain Beneficial Owners and Management and </w:t>
              </w:r>
            </w:hyperlink>
          </w:p>
          <w:p>
            <w:pPr>
              <w:pStyle w:val="TableContents"/>
              <w:bidi w:val="0"/>
              <w:spacing w:lineRule="auto" w:line="276" w:before="0" w:after="0"/>
              <w:ind w:left="0" w:right="0" w:hanging="180"/>
              <w:jc w:val="left"/>
              <w:rPr/>
            </w:pPr>
            <w:r>
              <w:rPr>
                <w:color w:val="000000"/>
              </w:rPr>
              <w:t>   </w:t>
            </w:r>
            <w:hyperlink w:anchor="i49f82bc2aa33405eae1e0b45f37d1ae6_340">
              <w:r>
                <w:rPr>
                  <w:rStyle w:val="InternetLink"/>
                  <w:rFonts w:ascii="Times New Roman;serif" w:hAnsi="Times New Roman;serif"/>
                  <w:b w:val="false"/>
                  <w:color w:val="0000FF"/>
                  <w:sz w:val="20"/>
                  <w:u w:val="single"/>
                </w:rPr>
                <w:t>Related Stockholder Matters.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40">
              <w:r>
                <w:rPr>
                  <w:rStyle w:val="InternetLink"/>
                  <w:rFonts w:ascii="Times New Roman;serif" w:hAnsi="Times New Roman;serif"/>
                  <w:b w:val="false"/>
                  <w:strike w:val="false"/>
                  <w:dstrike w:val="false"/>
                  <w:color w:val="000000"/>
                  <w:sz w:val="20"/>
                  <w:u w:val="none"/>
                  <w:effect w:val="none"/>
                </w:rPr>
                <w:t>242</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43">
              <w:r>
                <w:rPr>
                  <w:rStyle w:val="InternetLink"/>
                  <w:rFonts w:ascii="Times New Roman;serif" w:hAnsi="Times New Roman;serif"/>
                  <w:b/>
                  <w:strike w:val="false"/>
                  <w:dstrike w:val="false"/>
                  <w:color w:val="000000"/>
                  <w:sz w:val="20"/>
                  <w:u w:val="none"/>
                  <w:effect w:val="none"/>
                </w:rPr>
                <w:t>Item 13.</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49f82bc2aa33405eae1e0b45f37d1ae6_343">
              <w:r>
                <w:rPr>
                  <w:rStyle w:val="InternetLink"/>
                  <w:rFonts w:ascii="Times New Roman;serif" w:hAnsi="Times New Roman;serif"/>
                  <w:b w:val="false"/>
                  <w:color w:val="0000FF"/>
                  <w:sz w:val="20"/>
                  <w:u w:val="single"/>
                </w:rPr>
                <w:t>Certain Relationships and Related Transactions, and Director Independence.</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43">
              <w:r>
                <w:rPr>
                  <w:rStyle w:val="InternetLink"/>
                  <w:rFonts w:ascii="Times New Roman;serif" w:hAnsi="Times New Roman;serif"/>
                  <w:b w:val="false"/>
                  <w:strike w:val="false"/>
                  <w:dstrike w:val="false"/>
                  <w:color w:val="000000"/>
                  <w:sz w:val="20"/>
                  <w:u w:val="none"/>
                  <w:effect w:val="none"/>
                </w:rPr>
                <w:t>242</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46">
              <w:r>
                <w:rPr>
                  <w:rStyle w:val="InternetLink"/>
                  <w:rFonts w:ascii="Times New Roman;serif" w:hAnsi="Times New Roman;serif"/>
                  <w:b/>
                  <w:strike w:val="false"/>
                  <w:dstrike w:val="false"/>
                  <w:color w:val="000000"/>
                  <w:sz w:val="20"/>
                  <w:u w:val="none"/>
                  <w:effect w:val="none"/>
                </w:rPr>
                <w:t>Item 14.</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49f82bc2aa33405eae1e0b45f37d1ae6_346">
              <w:r>
                <w:rPr>
                  <w:rStyle w:val="InternetLink"/>
                  <w:rFonts w:ascii="Times New Roman;serif" w:hAnsi="Times New Roman;serif"/>
                  <w:b w:val="false"/>
                  <w:color w:val="0000FF"/>
                  <w:sz w:val="20"/>
                  <w:u w:val="single"/>
                </w:rPr>
                <w:t>Principal Accountant Fees and Services.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46">
              <w:r>
                <w:rPr>
                  <w:rStyle w:val="InternetLink"/>
                  <w:rFonts w:ascii="Times New Roman;serif" w:hAnsi="Times New Roman;serif"/>
                  <w:b w:val="false"/>
                  <w:strike w:val="false"/>
                  <w:dstrike w:val="false"/>
                  <w:color w:val="000000"/>
                  <w:sz w:val="20"/>
                  <w:u w:val="none"/>
                  <w:effect w:val="none"/>
                </w:rPr>
                <w:t>242</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4"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49f82bc2aa33405eae1e0b45f37d1ae6_349">
              <w:r>
                <w:rPr>
                  <w:rStyle w:val="InternetLink"/>
                  <w:rFonts w:ascii="Times New Roman;serif" w:hAnsi="Times New Roman;serif"/>
                  <w:b/>
                  <w:color w:val="0000FF"/>
                  <w:sz w:val="20"/>
                  <w:u w:val="single"/>
                </w:rPr>
                <w:t>PART IV</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52">
              <w:r>
                <w:rPr>
                  <w:rStyle w:val="InternetLink"/>
                  <w:rFonts w:ascii="Times New Roman;serif" w:hAnsi="Times New Roman;serif"/>
                  <w:b/>
                  <w:strike w:val="false"/>
                  <w:dstrike w:val="false"/>
                  <w:color w:val="000000"/>
                  <w:sz w:val="20"/>
                  <w:u w:val="none"/>
                  <w:effect w:val="none"/>
                </w:rPr>
                <w:t>Item 15.</w:t>
              </w:r>
            </w:hyperlink>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49f82bc2aa33405eae1e0b45f37d1ae6_352">
              <w:r>
                <w:rPr>
                  <w:rStyle w:val="InternetLink"/>
                  <w:rFonts w:ascii="Times New Roman;serif" w:hAnsi="Times New Roman;serif"/>
                  <w:b w:val="false"/>
                  <w:color w:val="0000FF"/>
                  <w:sz w:val="20"/>
                  <w:u w:val="single"/>
                </w:rPr>
                <w:t>Exhibits and Financial Statement Schedules.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52">
              <w:r>
                <w:rPr>
                  <w:rStyle w:val="InternetLink"/>
                  <w:rFonts w:ascii="Times New Roman;serif" w:hAnsi="Times New Roman;serif"/>
                  <w:b w:val="false"/>
                  <w:strike w:val="false"/>
                  <w:dstrike w:val="false"/>
                  <w:color w:val="000000"/>
                  <w:sz w:val="20"/>
                  <w:u w:val="none"/>
                  <w:effect w:val="none"/>
                </w:rPr>
                <w:t>243</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55">
              <w:r>
                <w:rPr>
                  <w:rStyle w:val="InternetLink"/>
                  <w:rFonts w:ascii="Times New Roman;serif" w:hAnsi="Times New Roman;serif"/>
                  <w:b/>
                  <w:strike w:val="false"/>
                  <w:dstrike w:val="false"/>
                  <w:color w:val="000000"/>
                  <w:sz w:val="20"/>
                  <w:u w:val="none"/>
                  <w:effect w:val="none"/>
                </w:rPr>
                <w:t>Item 16.</w:t>
              </w:r>
            </w:hyperlink>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49f82bc2aa33405eae1e0b45f37d1ae6_355">
              <w:r>
                <w:rPr>
                  <w:rStyle w:val="InternetLink"/>
                  <w:rFonts w:ascii="Times New Roman;serif" w:hAnsi="Times New Roman;serif"/>
                  <w:b w:val="false"/>
                  <w:color w:val="0000FF"/>
                  <w:sz w:val="20"/>
                  <w:u w:val="single"/>
                </w:rPr>
                <w:t>Form 10-K Summary.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55">
              <w:r>
                <w:rPr>
                  <w:rStyle w:val="InternetLink"/>
                  <w:rFonts w:ascii="Times New Roman;serif" w:hAnsi="Times New Roman;serif"/>
                  <w:b w:val="false"/>
                  <w:strike w:val="false"/>
                  <w:dstrike w:val="false"/>
                  <w:color w:val="000000"/>
                  <w:sz w:val="20"/>
                  <w:u w:val="none"/>
                  <w:effect w:val="none"/>
                </w:rPr>
                <w:t>249</w:t>
              </w:r>
            </w:hyperlink>
          </w:p>
        </w:tc>
      </w:tr>
      <w:tr>
        <w:trPr/>
        <w:tc>
          <w:tcPr>
            <w:tcW w:w="8263"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49f82bc2aa33405eae1e0b45f37d1ae6_358">
              <w:r>
                <w:rPr>
                  <w:rStyle w:val="InternetLink"/>
                  <w:rFonts w:ascii="Times New Roman;serif" w:hAnsi="Times New Roman;serif"/>
                  <w:b w:val="false"/>
                  <w:color w:val="0000FF"/>
                  <w:sz w:val="20"/>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49f82bc2aa33405eae1e0b45f37d1ae6_358">
              <w:r>
                <w:rPr>
                  <w:rStyle w:val="InternetLink"/>
                  <w:rFonts w:ascii="Times New Roman;serif" w:hAnsi="Times New Roman;serif"/>
                  <w:b w:val="false"/>
                  <w:strike w:val="false"/>
                  <w:dstrike w:val="false"/>
                  <w:color w:val="000000"/>
                  <w:sz w:val="20"/>
                  <w:u w:val="none"/>
                  <w:effect w:val="none"/>
                </w:rPr>
                <w:t>250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Defined Terms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required otherwise, the terms “ImmunityBio,” “the company,” “we,” “us,” and “our” in this Annual Report refer to ImmunityBio, Inc., a Delaware corporation, and, where appropriate, its subsidiaries. We have also used several other terms in this Annual Report, the consolidated financial statements and accompanying notes included herein, most of which are defined below:</w:t>
      </w:r>
    </w:p>
    <w:tbl>
      <w:tblPr>
        <w:tblW w:w="10205" w:type="dxa"/>
        <w:jc w:val="left"/>
        <w:tblInd w:w="0" w:type="dxa"/>
        <w:tblLayout w:type="fixed"/>
        <w:tblCellMar>
          <w:top w:w="28" w:type="dxa"/>
          <w:left w:w="28" w:type="dxa"/>
          <w:bottom w:w="28" w:type="dxa"/>
          <w:right w:w="28" w:type="dxa"/>
        </w:tblCellMar>
      </w:tblPr>
      <w:tblGrid>
        <w:gridCol w:w="983"/>
        <w:gridCol w:w="859"/>
        <w:gridCol w:w="885"/>
        <w:gridCol w:w="109"/>
        <w:gridCol w:w="109"/>
        <w:gridCol w:w="109"/>
        <w:gridCol w:w="2091"/>
        <w:gridCol w:w="2086"/>
        <w:gridCol w:w="2974"/>
      </w:tblGrid>
      <w:tr>
        <w:trPr/>
        <w:tc>
          <w:tcPr>
            <w:tcW w:w="98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27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2015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ImmunityBio, Inc. 2015 Equity Incentive Plan</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2015 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Board of Directors-approved share repurchase program </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ImmunityBio, Inc. 2025 Equity Incentive Plan</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3M 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3M Innovative Properties Company</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3PL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logistics agent</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401(k)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401(k) retirement and savings plan</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Access to Advanced Health Institute</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Affordable Care Act</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ADCC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antibody-dependent cellular cytotoxicity</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artificial intelligence</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Anti-Kickback Statute</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lymphocyte count</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Altor BioScience, LLC</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 Invents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Leahy-Smith America Invents Act</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Amyris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Amyris, Inc.</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neutrophil count</w:t>
            </w:r>
          </w:p>
        </w:tc>
      </w:tr>
      <w:tr>
        <w:trPr/>
        <w:tc>
          <w:tcPr>
            <w:tcW w:w="2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1" w:type="dxa"/>
            <w:gridSpan w:val="3"/>
            <w:tcBorders/>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ANKTIVA</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Proprietary name for N-803 (formerly ALT-803), our novel IL-15 receptor superagonist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complex (nogapendekin alfa inbakicept) </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Annual Report on Form 10-K for the year ended December 31, 2025</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anti-retroviral therapy</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 470-50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FASB ASC Topic 470-50, </w:t>
            </w:r>
            <w:r>
              <w:rPr>
                <w:rFonts w:ascii="Times New Roman;serif" w:hAnsi="Times New Roman;serif"/>
                <w:b w:val="false"/>
                <w:i/>
                <w:color w:val="000000"/>
                <w:sz w:val="20"/>
              </w:rPr>
              <w:t>Debt—Modifications and Extinguishments</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 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FASB ASC Topic 480, </w:t>
            </w:r>
            <w:r>
              <w:rPr>
                <w:rFonts w:ascii="Times New Roman;serif" w:hAnsi="Times New Roman;serif"/>
                <w:b w:val="false"/>
                <w:i/>
                <w:color w:val="000000"/>
                <w:sz w:val="20"/>
              </w:rPr>
              <w:t>Distinguishing Liabilities from Equity</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 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FASB ASC Topic 606, </w:t>
            </w:r>
            <w:r>
              <w:rPr>
                <w:rFonts w:ascii="Times New Roman;serif" w:hAnsi="Times New Roman;serif"/>
                <w:b w:val="false"/>
                <w:i/>
                <w:color w:val="000000"/>
                <w:sz w:val="20"/>
              </w:rPr>
              <w:t>Revenue from Contracts with Customers</w:t>
            </w:r>
            <w:r>
              <w:rPr>
                <w:color w:val="000000"/>
              </w:rPr>
              <w:t xml:space="preserve"> </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 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FASB ASC Topic 718,</w:t>
            </w:r>
            <w:r>
              <w:rPr>
                <w:color w:val="000000"/>
              </w:rPr>
              <w:t xml:space="preserve"> </w:t>
            </w:r>
            <w:r>
              <w:rPr>
                <w:rFonts w:ascii="Times New Roman;serif" w:hAnsi="Times New Roman;serif"/>
                <w:b w:val="false"/>
                <w:i/>
                <w:color w:val="000000"/>
                <w:sz w:val="20"/>
              </w:rPr>
              <w:t>Compensation—Stock Compensation</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 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FASB ASC Topic 808, </w:t>
            </w:r>
            <w:r>
              <w:rPr>
                <w:rFonts w:ascii="Times New Roman;serif" w:hAnsi="Times New Roman;serif"/>
                <w:b w:val="false"/>
                <w:i/>
                <w:color w:val="000000"/>
                <w:sz w:val="20"/>
              </w:rPr>
              <w:t>Collaborative Arrangements</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 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FASB ASC Topic 815, </w:t>
            </w:r>
            <w:r>
              <w:rPr>
                <w:rFonts w:ascii="Times New Roman;serif" w:hAnsi="Times New Roman;serif"/>
                <w:b w:val="false"/>
                <w:i/>
                <w:color w:val="000000"/>
                <w:sz w:val="20"/>
              </w:rPr>
              <w:t>Derivatives and Hedging</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 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FASB ASC Topic 825, </w:t>
            </w:r>
            <w:r>
              <w:rPr>
                <w:rFonts w:ascii="Times New Roman;serif" w:hAnsi="Times New Roman;serif"/>
                <w:b w:val="false"/>
                <w:i/>
                <w:color w:val="000000"/>
                <w:sz w:val="20"/>
              </w:rPr>
              <w:t>Financial Instruments</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Society of Clinical Oncology</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Athenex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Athenex, Inc.</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at-the-market” sales agreement</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Taxpayer Relief Act of 2012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07"/>
        <w:gridCol w:w="787"/>
        <w:gridCol w:w="829"/>
        <w:gridCol w:w="109"/>
        <w:gridCol w:w="109"/>
        <w:gridCol w:w="109"/>
        <w:gridCol w:w="2154"/>
        <w:gridCol w:w="2148"/>
        <w:gridCol w:w="3053"/>
      </w:tblGrid>
      <w:tr>
        <w:trPr/>
        <w:tc>
          <w:tcPr>
            <w:tcW w:w="90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25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Bacillus Calmette-Guérin (TICE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BCG approved for use in the U.S.)</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Beike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Shenzhen Beike Biotechnology Co. Ltd.</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BeOne Medicines Ltd. (formerly BeiGene, Ltd.)</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Commerce, Bureau of Industry and Security</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 License Application</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BPCIA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 Price Competition and Innovation Act of 2009</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Brink Biologics, Inc.</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Cambridge Equities, LP</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Cancer BioShield</w:t>
            </w:r>
            <w:r>
              <w:rPr>
                <w:color w:val="000000"/>
              </w:rPr>
              <w:t xml:space="preserve">™ </w:t>
            </w:r>
            <w:r>
              <w:rPr>
                <w:rFonts w:ascii="Times New Roman;serif" w:hAnsi="Times New Roman;serif"/>
                <w:b w:val="false"/>
                <w:color w:val="000000"/>
                <w:sz w:val="20"/>
              </w:rPr>
              <w:t>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first-in-class immunotherapy strategy designed to restore immune competence by </w:t>
              <w:br/>
              <w:t xml:space="preserve">   reversing lymphopenia—the loss of functional immune cells caused by cancer itself </w:t>
              <w:br/>
              <w:t>   and by conventional treatments such as chemotherapy, radiation and immunotherapy.</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community-acquired pneumonia</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chimeric antigen receptor</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CCPA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Consumer Privacy Act of 2018</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cGMP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Good Manufacturing Practice</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used in connection with the RIPA, People’s Republic of China, Hong Kong and any </w:t>
              <w:br/>
              <w:t>   territories controlled by the People’s Republic of China</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for Medicinal Products for Human Use</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confidence interval</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information officer</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carcinoma in situ</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Immuno-Oncology Clinic, Inc.</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Closing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when used in connection with the RIPA, December 29, 2023</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 organization</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Centers for Medicare &amp; Medicaid Services</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Code of 1986, as amended</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checkpoint inhibitor</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CPRA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Privacy Rights Act</w:t>
            </w:r>
          </w:p>
        </w:tc>
      </w:tr>
      <w:tr>
        <w:trPr/>
        <w:tc>
          <w:tcPr>
            <w:tcW w:w="2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5" w:type="dxa"/>
            <w:gridSpan w:val="3"/>
            <w:tcBorders/>
            <w:vAlign w:val="center"/>
          </w:tcPr>
          <w:p>
            <w:pPr>
              <w:pStyle w:val="TableContents"/>
              <w:bidi w:val="0"/>
              <w:spacing w:before="0" w:after="283"/>
              <w:jc w:val="left"/>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Cooperative Research and Development Agreement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complete response letter</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 organization</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CVR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DGCL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General Corporation Law</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DSCSA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Drug Supply Chain Security Act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Duley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Duley Road, LLC</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Dunkirk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leasehold interest in a cGMP ISO Class 5 pharmaceutical manufacturing space in </w:t>
              <w:br/>
              <w:t>   western New York</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 Program</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Economic Area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120" w:after="283"/>
        <w:jc w:val="left"/>
        <w:rPr/>
      </w:pPr>
      <w:r>
        <w:rPr/>
      </w:r>
    </w:p>
    <w:tbl>
      <w:tblPr>
        <w:tblW w:w="9236" w:type="dxa"/>
        <w:jc w:val="left"/>
        <w:tblInd w:w="0" w:type="dxa"/>
        <w:tblLayout w:type="fixed"/>
        <w:tblCellMar>
          <w:top w:w="28" w:type="dxa"/>
          <w:left w:w="28" w:type="dxa"/>
          <w:bottom w:w="28" w:type="dxa"/>
          <w:right w:w="28" w:type="dxa"/>
        </w:tblCellMar>
      </w:tblPr>
      <w:tblGrid>
        <w:gridCol w:w="617"/>
        <w:gridCol w:w="538"/>
        <w:gridCol w:w="555"/>
        <w:gridCol w:w="109"/>
        <w:gridCol w:w="109"/>
        <w:gridCol w:w="109"/>
        <w:gridCol w:w="2105"/>
        <w:gridCol w:w="2105"/>
        <w:gridCol w:w="2989"/>
      </w:tblGrid>
      <w:tr>
        <w:trPr/>
        <w:tc>
          <w:tcPr>
            <w:tcW w:w="61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17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EGFR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epidermal growth factor receptor</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Medicines Agency</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Risk Management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Exyte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Exyte U.S., Inc.</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False Claims Act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FCPA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Foreign Corrupt Practices Act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FD&amp;C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Food, Drug, and Cosmetic Act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 (or the Agency)</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Drug Administration Safety and Innovation Act of 2012</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In First Out inventory method</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FSMC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Fort Schuyler Management Corporation, a not-for-profit corporation affiliated with the </w:t>
              <w:br/>
              <w:t>   State of New York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Trade Commission</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freedom-to-operate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FVO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option</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GBM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glioblastoma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GCP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 Clinical Practice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GDPR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Data Protection Regulation</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GlobeImmune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GlobeImmune, Inc.</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 Manufacturing Practice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hAd5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human adenovirus serotype 5</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high-affinity NK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Hatch-Waxman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Drug Price Competition and Patent Term Restoration Act of 1984</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hepatocellular carcinoma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HCPCS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Common Procedure Coding System, a set of standardized codes used in the </w:t>
              <w:br/>
              <w:t xml:space="preserve">   U.S. to describe specific medical procedures, services, equipment, medications, </w:t>
              <w:br/>
              <w:t>   and supplies.</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HCW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HCW Biologics, Inc.</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Health and Human Services</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HIPAA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Health Insurance Portability and Accountability Act of 1996</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HITECH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Health Information Technology for Economic and Clinical Health Act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human immunodeficiency virus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HPV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human papillomavirus </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Investigational Device Exemption</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IgDraSol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IgDraSol, Inc., a subsidiary of the company</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novel interleukin 15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investigational new drug</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Infinity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Infinity SA LLC, as purchaser agent for affiliates of Oberland</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iNHL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indolent non-Hodgkin lymphoma</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120" w:after="283"/>
        <w:jc w:val="left"/>
        <w:rPr/>
      </w:pPr>
      <w:r>
        <w:rPr/>
      </w:r>
    </w:p>
    <w:tbl>
      <w:tblPr>
        <w:tblW w:w="8860" w:type="dxa"/>
        <w:jc w:val="left"/>
        <w:tblInd w:w="0" w:type="dxa"/>
        <w:tblLayout w:type="fixed"/>
        <w:tblCellMar>
          <w:top w:w="28" w:type="dxa"/>
          <w:left w:w="28" w:type="dxa"/>
          <w:bottom w:w="28" w:type="dxa"/>
          <w:right w:w="28" w:type="dxa"/>
        </w:tblCellMar>
      </w:tblPr>
      <w:tblGrid>
        <w:gridCol w:w="497"/>
        <w:gridCol w:w="435"/>
        <w:gridCol w:w="447"/>
        <w:gridCol w:w="109"/>
        <w:gridCol w:w="109"/>
        <w:gridCol w:w="109"/>
        <w:gridCol w:w="2094"/>
        <w:gridCol w:w="2094"/>
        <w:gridCol w:w="2966"/>
      </w:tblGrid>
      <w:tr>
        <w:trPr/>
        <w:tc>
          <w:tcPr>
            <w:tcW w:w="49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Pediatric Study Plan</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 Reduction Act of 2022</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review boards</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Service</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J-code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part of the HCPCS used to designate non-oral medications and other medical devices</w:t>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4"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LMIC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low- and middle-income countries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M-ceNK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memory-like cytokine-enhanced NK</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Authorization Application</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monoclonal antibodies</w:t>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4"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mCRCP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metastatic castration-resistant prostate cancer</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MDSC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myeloid-derived suppressor cells</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North Africa</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Most Favored Nation drug</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MHC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major histocompatability complex</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MHC-I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major histocompatability complex class I</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MHC-II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major histocompatability complex class II</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MHRA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 Medicines and Healthcare products Regulatory Agency</w:t>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4"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 Capital, LLC</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NantCell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NantCell, Inc., a subsidiary of the company</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NANTibody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Immunotherapy NANTibody, LLC, a subsidiary of the company</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NantKwest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NantKwest, Inc.</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NantMobile, LLC</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NantWorks, LLC, a related party</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NCCN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Comprehensive Cancer Network</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NC 2015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NantCell, Inc. 2015 Stock Incentive Plan</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Cancer Institute</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NCSC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NantCancerStemCell, LLC</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NHL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non-Hodgkin lymphoma</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Institute of Allergy and Infectious Diseases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Institutes of Health</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NIH Guidelines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NIH Guidelines for Research Involving Recombinant DNA Molecules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killer</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NMIBC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non-muscle invasive bladder cancer</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NSCLC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non-small cell lung cancer</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NIH Office of Biotechnology Activities</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Oberland Capital Management LLC and its affiliates (including Purchasers as </w:t>
              <w:br/>
              <w:t>   defined in the RIPA)</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OBBB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Big Beautiful Bill Act</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Organisation for Economic Co-operation and Development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PCAOB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Accounting Oversight Board (United States)</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PD-1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programmed death receptor 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before="120" w:after="283"/>
        <w:jc w:val="left"/>
        <w:rPr/>
      </w:pPr>
      <w:r>
        <w:rPr/>
      </w:r>
    </w:p>
    <w:tbl>
      <w:tblPr>
        <w:tblW w:w="9911" w:type="dxa"/>
        <w:jc w:val="left"/>
        <w:tblInd w:w="0" w:type="dxa"/>
        <w:tblLayout w:type="fixed"/>
        <w:tblCellMar>
          <w:top w:w="28" w:type="dxa"/>
          <w:left w:w="28" w:type="dxa"/>
          <w:bottom w:w="28" w:type="dxa"/>
          <w:right w:w="28" w:type="dxa"/>
        </w:tblCellMar>
      </w:tblPr>
      <w:tblGrid>
        <w:gridCol w:w="829"/>
        <w:gridCol w:w="727"/>
        <w:gridCol w:w="754"/>
        <w:gridCol w:w="109"/>
        <w:gridCol w:w="109"/>
        <w:gridCol w:w="109"/>
        <w:gridCol w:w="2123"/>
        <w:gridCol w:w="2123"/>
        <w:gridCol w:w="3028"/>
      </w:tblGrid>
      <w:tr>
        <w:trPr/>
        <w:tc>
          <w:tcPr>
            <w:tcW w:w="8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23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PD-L1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programmed death receptor ligand</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PDMA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Prescription Drug Marketing Act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Protected Health Information</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Health Service Act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pre-market approval</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Pediatric Research Equity Act</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4"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Proxy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14A in connection with our 2026 Annual Meeting of Stockholders</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prostate-specific antigen</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QMSR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Quality Management System Regulation</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QSR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Quality System Regulation</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QUILT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QUantum Integrative Lifelong Trial</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experimental expenditures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relapsed/ refractory</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Recombinant DNA Advisory Committee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rBCG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recombinant BCG</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randomized controlled trial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direct offering</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4"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4"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Evaluation and Mitigation Strategy</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each calendar quarter during the revenue interest period, the amount </w:t>
              <w:br/>
              <w:t xml:space="preserve">   payable by the company to Oberland equal to the net sales in the covered territory </w:t>
              <w:br/>
              <w:t xml:space="preserve">   for such calendar quarter multiplied by the applicable percentage, subject to the terms </w:t>
              <w:br/>
              <w:t xml:space="preserve">   and conditions set forth in the RIPA; provided that, with respect to any calendar </w:t>
              <w:br/>
              <w:t xml:space="preserve">   quarter, that the total revenue interest payments will not exceed the cap amount </w:t>
              <w:br/>
              <w:t>   applicable at such time</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right, title and interest in and to that portion of the accounts and </w:t>
              <w:br/>
              <w:t xml:space="preserve">   payment intangibles arising out of sales and licenses of the included products and </w:t>
              <w:br/>
              <w:t xml:space="preserve">   the product assets equal to the Revenue Interest Payments for each calendar quarter </w:t>
              <w:br/>
              <w:t>   (or portion thereof) during the revenue interest period</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Purchase Agreement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Riptide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Riptide Bioscience, Inc.</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RMAT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regenerative medicine advanced therapy</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Refuse to File</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Simple Agreement for Future Equity</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Sarbanes-Oxley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Sarbanes-Oxley Act of 2002</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SARS-CoV-2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novel strain of the coronavirus (COVID-19)</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Biologics License Application</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of 2002</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Serum Institute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Serum Institute of India Private Limited</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Saudi Food and Drug Authority</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Sorrento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Sorrento Therapeutics,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before="120" w:after="283"/>
        <w:jc w:val="left"/>
        <w:rPr/>
      </w:pPr>
      <w:r>
        <w:rPr/>
      </w:r>
    </w:p>
    <w:tbl>
      <w:tblPr>
        <w:tblW w:w="7136" w:type="dxa"/>
        <w:jc w:val="left"/>
        <w:tblInd w:w="0" w:type="dxa"/>
        <w:tblLayout w:type="fixed"/>
        <w:tblCellMar>
          <w:top w:w="28" w:type="dxa"/>
          <w:left w:w="28" w:type="dxa"/>
          <w:bottom w:w="28" w:type="dxa"/>
          <w:right w:w="28" w:type="dxa"/>
        </w:tblCellMar>
      </w:tblPr>
      <w:tblGrid>
        <w:gridCol w:w="476"/>
        <w:gridCol w:w="415"/>
        <w:gridCol w:w="429"/>
        <w:gridCol w:w="109"/>
        <w:gridCol w:w="109"/>
        <w:gridCol w:w="109"/>
        <w:gridCol w:w="1605"/>
        <w:gridCol w:w="1605"/>
        <w:gridCol w:w="2279"/>
      </w:tblGrid>
      <w:tr>
        <w:trPr/>
        <w:tc>
          <w:tcPr>
            <w:tcW w:w="4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13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Purchase and Option Agreement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separate return limitation year</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tumor-associated antigen</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TCJA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Cuts and Jobs Act of 2017</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Secured Overnight Financing Rate</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Test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when used in connection with the RIPA, December 31, 2029</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TGF-β</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transforming growth factor beta</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targeted high-affinity NK (CAR-NK)</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TLR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toll-like receptor</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TNBC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triple-negative breast cancer</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T cells</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TriAd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Triple Antigen (CEA, MUC1, Brachyury)</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TTFields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tumor treating fields</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 GDPR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 Data Protection Act of 2018</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USMCA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States-Mexico-Canada Agreement</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USPTO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Patent and Trademark Office</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VBC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VBC Holdings, LLC, a subsidiary of the company</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entity</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VivaBioCell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VivaBioCell, S.p.A., a wholly-owned subsidiary of VBC Holdings</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Annual Report contains forward-looking statements within the meaning of Section 27A of the Securities Act and Section 21E of the Exchange Act that are based on our management’s beliefs and assumptions and on information currently available to our management. Forward-looking statements include, but are not limited to: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successfully commercialize ANKTIVA globally in NMIBC, NSCLC or other indications or any future approved products in the U.S. or internationally;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obtain incremental approvals for ANKTIVA for new indications, including, without limitation, in BCG-unresponsive NMIBC with papillary tumors and NSCLC from the FDA or clearances or approvals from international regulatory agencies for the treatment of patients with NMIBC, NSCLC or other indications;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potential future uses and applications of ANKTIVA, including as a lymphopenia rescue agent in solid tumors or other indications, and use in cancer vaccines and across multiple tumor types;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develop next-generation therapies and vaccines that complement, harness, and amplify the immune system to defeat cancers and infectious diseases;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obtain additional financing to fund our operations and advance the commercialization of our approved product and the development and commercialization of our other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comply with the terms, conditions, covenants, restrictions, and obligations set forth in the RIPA and related transaction documents, including payment obligations and servicing the interest on our related-party promissory note and the repayment of such note, to the extent required;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the potential benefits of our Cancer BioShield platform (comprises multiple therapeutic modalities to activate immune response) and our strategy and technology;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forecast operating results and make period-to-period comparisons predictive of future performance due to fluctuations in warrant, derivative, and fair value accounting measurement values;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the operation and effectiveness of our approved product and product candidates and related benefits;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utilize multiple modes to induce cell death in cancers and infectious disease;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beliefs regarding the benefits and perceived limitations of competing approaches, and the future of competing technologies and our industry;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beliefs regarding the success, cost and timing of our approved product and product candidate development activities and current and future clinical trials and studies, including study design and the enrollment of patients;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whether the NCCN will add recommending ANKTIVA for BCG-unresponsive NMIBC with papillary tumors in addition to the existing recommendation for BCG-unresponsive NMIBC CIS with or without papillary tumors after our submission on the anticipated timeline or at all;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our ability to utilize the Phase 1/2 aNK, haNK</w:t>
      </w:r>
      <w:r>
        <w:rPr>
          <w:rFonts w:ascii="Times New Roman;serif" w:hAnsi="Times New Roman;serif"/>
          <w:b w:val="false"/>
          <w:color w:val="000000"/>
          <w:sz w:val="13"/>
        </w:rPr>
        <w:t>®</w:t>
      </w:r>
      <w:r>
        <w:rPr>
          <w:rFonts w:ascii="Times New Roman;serif" w:hAnsi="Times New Roman;serif"/>
          <w:b w:val="false"/>
          <w:color w:val="000000"/>
          <w:sz w:val="20"/>
        </w:rPr>
        <w:t>, taNK, and NK-CAR (t-haNK</w:t>
      </w:r>
      <w:r>
        <w:rPr>
          <w:color w:val="000000"/>
        </w:rPr>
        <w:t>™</w:t>
      </w:r>
      <w:r>
        <w:rPr>
          <w:rFonts w:ascii="Times New Roman;serif" w:hAnsi="Times New Roman;serif"/>
          <w:b w:val="false"/>
          <w:color w:val="000000"/>
          <w:sz w:val="20"/>
        </w:rPr>
        <w:t>) clinical trials data to support the development of our product candidates, including our NK-CAR (t</w:t>
        <w:noBreakHyphen/>
        <w:t>haNK), MSC, and M-ceNK</w:t>
      </w:r>
      <w:r>
        <w:rPr>
          <w:color w:val="000000"/>
        </w:rPr>
        <w:t xml:space="preserve">™ </w:t>
      </w:r>
      <w:r>
        <w:rPr>
          <w:rFonts w:ascii="Times New Roman;serif" w:hAnsi="Times New Roman;serif"/>
          <w:b w:val="false"/>
          <w:color w:val="000000"/>
          <w:sz w:val="20"/>
        </w:rPr>
        <w:t xml:space="preserve">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the development, clinical trials timeline, application, commercialization, marketing, prospects and use generally of our product candidates, including hAd5 constructs, and PD-L1 t</w:t>
        <w:noBreakHyphen/>
        <w:t xml:space="preserve">haNK and M-ceNK; </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rPr>
        <w:t>the timing or likelihood of regulatory filings or other actions and related regulatory authority responses in the U.S. and jurisdictions outside of the U.S., including any planned meetings, IND, BLA, NDA or MAA or similar filings or pursuit of accelerated regulatory approval pathways or orphan drug status and</w:t>
      </w:r>
      <w:r>
        <w:rPr>
          <w:color w:val="000000"/>
        </w:rPr>
        <w:t xml:space="preserve"> </w:t>
      </w:r>
      <w:r>
        <w:rPr>
          <w:rFonts w:ascii="Times New Roman;serif" w:hAnsi="Times New Roman;serif"/>
          <w:b w:val="false"/>
          <w:i/>
          <w:color w:val="000000"/>
          <w:sz w:val="20"/>
        </w:rPr>
        <w:t>Breakthrough Therapy</w:t>
      </w:r>
      <w:r>
        <w:rPr>
          <w:rFonts w:ascii="Times New Roman;serif" w:hAnsi="Times New Roman;serif"/>
          <w:b w:val="false"/>
          <w:color w:val="000000"/>
          <w:sz w:val="20"/>
        </w:rPr>
        <w:t xml:space="preserve">,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 xml:space="preserve">or RMAT designations and any designation’s impact on BLA submission filing or approval timing and or approval probability;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successfully address the May 2025 RTF letter received from the FDA for the sBLA for the BCG-unresponsive NMIBC with papillary tumors indication and the recommendation from the FDA to submit additional information in support of filing for review of the sBLA, and whether or not there is a need for the initiation or design of a new RCT, which we could ultimately be required to complete;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implement an integrated discovery ecosystem and the operation of that planned ecosystem, including being able to regularly add neoepitopes and subsequently formulate new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ability and willingness of strategic collaborators to share our vision and effectively work with us to achieve our goals;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ability and willingness of various third parties to engage in research and development activities involving our product or product candidates, and our ability to leverage those activities;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attract additional third-party collaborators;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enter into clinical, regulatory and commercial arrangements internationally to accelerate the development and commercialization of ANKTIVA and our other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the ease of administration associated with our approved product and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patient compatibility associated with our approved product and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beliefs regarding the potential markets for our approved product and product candidates and our ability to serve those markets;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the timing of enrollment and submission of our clinical trials, and protocols and timing of data read-outs related to such trials;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produce a cytokine fusion protein, a DNA or recombinant protein vaccine, or a cell therapy;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beliefs regarding the potential manufacturing and distribution benefits associated with our approved product and product candidates, and our third-party CMOs’ abilities to follow cGMP standards to scale up the production of our approved product and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plans regarding manufacturing and distribution of our approved product and potential future products, including the enhancement of our in-house manufacturing capabilities;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belief in the potential of our cytokine fusion proteins, DNA or recombinant protein vaccines, or cell therapies, and the fact that our business is based upon the success individually and collectively of these platforms;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belief regarding the magnitude or duration for additional clinical testing of our cytokine fusion proteins, DNA or recombinant protein vaccines, or cell therapies, along with other product candidate families;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even if we successfully develop and commercialize specific product candidates, our ability to develop and commercialize our other product candidates either alone or in combination with other therapeutic agents;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ability to obtain and maintain regulatory approval of our approved product and to obtain and maintain regulatory approval of any of our other product candidates, and any related restrictions, limitations and/or warnings in the label of any approved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rate and degree of market acceptance of any approved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attract and retain key personnel;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accuracy of our estimates regarding our future revenue, as well as our future operating expenses, capital requirements and needs for additional financing;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obtain, maintain, protect, and enforce patent protection and other proprietary rights for our approved product and our other product candidates, and other technologies in development;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terms and conditions of licenses granted to us and our ability to license additional intellectual property relating to our product, product candidates and technology;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the results of market access initiatives and coverage under medical reimbursement policies;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the abilities of our international partners to drive commercialization of ANKTIVA in the EU and MENA regions;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shelf life of ANKTIVA drug substance and drug product and availability of product supply;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global expansion efforts and the accuracy of our assumptions related to tariffs and government policy changes, including Most-Favored Nation Prescription Drug Pricing;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any government shutdown or budget disruption, which could adversely affect the U.S. and global economies, and materially and adversely affect our business and/or our future BLA submissions;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impact on us, if any, if the CVRs held by former Altor stockholders become due and payable;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regulatory developments in the U.S. and foreign countries.</w:t>
      </w:r>
    </w:p>
    <w:p>
      <w:pPr>
        <w:pStyle w:val="TextBody"/>
        <w:bidi w:val="0"/>
        <w:spacing w:lineRule="auto" w:line="288"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 include statements that are not historical facts and can be identified by terms such as “anticipates,” “believes,” “continues,” “goal,” “could,” “estimates,” “scheduled,” “expects,” “intends,” “may,” “plans,” “potential,” “predicts,” “indicate,” “projects,” “seeks,” “should,” “will,” “would,” “strategy,” and variations of such words or similar expressions. and the negatives of those terms. 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Item 1A. “</w:t>
      </w:r>
      <w:hyperlink w:anchor="i49f82bc2aa33405eae1e0b45f37d1ae6_70">
        <w:r>
          <w:rPr>
            <w:rStyle w:val="InternetLink"/>
            <w:rFonts w:ascii="Times New Roman;serif" w:hAnsi="Times New Roman;serif"/>
            <w:b w:val="false"/>
            <w:i/>
            <w:color w:val="0000FF"/>
            <w:sz w:val="20"/>
            <w:u w:val="single"/>
          </w:rPr>
          <w:t>Risk Factors</w:t>
        </w:r>
      </w:hyperlink>
      <w:r>
        <w:rPr>
          <w:color w:val="000000"/>
        </w:rPr>
        <w:t xml:space="preserve">” </w:t>
      </w:r>
      <w:r>
        <w:rPr>
          <w:rFonts w:ascii="Times New Roman;serif" w:hAnsi="Times New Roman;serif"/>
          <w:b w:val="false"/>
          <w:i/>
          <w:color w:val="000000"/>
          <w:sz w:val="20"/>
        </w:rPr>
        <w:t>of this Annual Report.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Annual Report completely and with the understanding that our actual future results may be materially different from what we expect.</w:t>
      </w:r>
    </w:p>
    <w:p>
      <w:pPr>
        <w:pStyle w:val="TextBody"/>
        <w:bidi w:val="0"/>
        <w:spacing w:lineRule="auto" w:line="288" w:before="240" w:after="283"/>
        <w:ind w:left="0" w:right="0" w:firstLine="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ImmunityBio, ImmunityBio Care, ANKTIVA, ThAnktiva, haNK, taNK, ceNK, NK-92, Nant Cancer Vaccine, BioShield (and other BioShield-related trademarks), NANT 001, NANT XL, NANT 001 and Design, QUILT, Outsmart Your Disease, Smart Therapies for Difficult Diseases, NantKwest, VivaBioCell, and Infacell are trademarks or registered trademarks of ImmunityBio, Inc., its subsidiaries and affiliates.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ANKTIVA has been approved by the U.S. FDA, the UK MHRA, and K.S.A. SFDA and has been granted conditional marketing authorization from the EC (EMA) for the EU and Iceland, Liechtenstein, and Norway for use with BCG for the treatment of adult patients with BCG-unresponsive NMIBC CIS with or without papillary tumors. It has also been conditionally approved by the SFDA in Saudi Arabia for use with CPIs in metastatic NSCLC. Other than as set forth in such specific approved label, our product candidates, including N-803, are investigational agents that are restricted by federal law to investigational use only, and safety and efficacy have not been established by any agency, including the FDA.</w:t>
      </w:r>
    </w:p>
    <w:p>
      <w:pPr>
        <w:pStyle w:val="TextBody"/>
        <w:bidi w:val="0"/>
        <w:spacing w:lineRule="auto" w:line="288" w:before="240" w:after="283"/>
        <w:ind w:left="0" w:right="0" w:firstLine="720"/>
        <w:jc w:val="left"/>
        <w:rPr/>
      </w:pPr>
      <w:r>
        <w:rPr>
          <w:rFonts w:ascii="Times New Roman;serif" w:hAnsi="Times New Roman;serif"/>
          <w:b w:val="false"/>
          <w:i/>
          <w:color w:val="000000"/>
          <w:sz w:val="20"/>
          <w:shd w:fill="FFFFFF" w:val="clear"/>
        </w:rPr>
        <w:t xml:space="preserve">This Annual Report contains references to our products and trademarks and products and trademarks belonging to other entities. Solely for convenience, trademarks and trade names referred to in this Annual Report, including logos, artwork, and other visual displays, may appear without the </w:t>
      </w:r>
      <w:r>
        <w:rPr>
          <w:rFonts w:ascii="Times New Roman;serif" w:hAnsi="Times New Roman;serif"/>
          <w:b w:val="false"/>
          <w:i/>
          <w:color w:val="000000"/>
          <w:sz w:val="13"/>
          <w:shd w:fill="FFFFFF" w:val="clear"/>
        </w:rPr>
        <w:t>®</w:t>
      </w:r>
      <w:r>
        <w:rPr>
          <w:color w:val="000000"/>
          <w:shd w:fill="FFFFFF" w:val="clear"/>
        </w:rPr>
        <w:t xml:space="preserve"> </w:t>
      </w:r>
      <w:r>
        <w:rPr>
          <w:rFonts w:ascii="Times New Roman;serif" w:hAnsi="Times New Roman;serif"/>
          <w:b w:val="false"/>
          <w:i/>
          <w:color w:val="000000"/>
          <w:sz w:val="20"/>
          <w:shd w:fill="FFFFFF" w:val="clear"/>
        </w:rPr>
        <w:t xml:space="preserve">or </w:t>
      </w:r>
      <w:r>
        <w:rPr>
          <w:rFonts w:ascii="Times New Roman;serif" w:hAnsi="Times New Roman;serif"/>
          <w:b w:val="false"/>
          <w:i/>
          <w:color w:val="000000"/>
          <w:sz w:val="13"/>
          <w:shd w:fill="FFFFFF" w:val="clear"/>
        </w:rPr>
        <w:t>TM</w:t>
      </w:r>
      <w:r>
        <w:rPr>
          <w:color w:val="000000"/>
          <w:shd w:fill="FFFFFF" w:val="clear"/>
        </w:rPr>
        <w:t xml:space="preserve"> </w:t>
      </w:r>
      <w:r>
        <w:rPr>
          <w:rFonts w:ascii="Times New Roman;serif" w:hAnsi="Times New Roman;serif"/>
          <w:b w:val="false"/>
          <w:i/>
          <w:color w:val="000000"/>
          <w:sz w:val="20"/>
          <w:shd w:fill="FFFFFF" w:val="clear"/>
        </w:rPr>
        <w:t xml:space="preserve">symbols, but such references are not intended to indicate, in any way, that we will not assert, to the fullest extent under applicable law, our rights or the rights of the applicable licensor to these trademarks and trade names. We do not intend our use or display of other companies’ products or trade names or trademarks to imply a relationship with, or endorsement or sponsorship of us, by any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1B4486"/>
          <w:sz w:val="28"/>
        </w:rPr>
      </w:pPr>
      <w:r>
        <w:rPr>
          <w:rFonts w:ascii="Times New Roman;serif" w:hAnsi="Times New Roman;serif"/>
          <w:b/>
          <w:color w:val="1B4486"/>
          <w:sz w:val="28"/>
        </w:rPr>
        <w:t>BUSINESS</w:t>
      </w:r>
    </w:p>
    <w:p>
      <w:pPr>
        <w:pStyle w:val="TextBody"/>
        <w:bidi w:val="0"/>
        <w:spacing w:lineRule="auto" w:line="288" w:before="120" w:after="283"/>
        <w:jc w:val="left"/>
        <w:rPr>
          <w:rFonts w:ascii="Times New Roman;serif" w:hAnsi="Times New Roman;serif"/>
          <w:b/>
          <w:color w:val="1B4486"/>
          <w:sz w:val="24"/>
        </w:rPr>
      </w:pPr>
      <w:r>
        <w:rPr>
          <w:rFonts w:ascii="Times New Roman;serif" w:hAnsi="Times New Roman;serif"/>
          <w:b/>
          <w:color w:val="1B4486"/>
          <w:sz w:val="24"/>
        </w:rPr>
        <w:t>OVERVIEW</w:t>
      </w:r>
    </w:p>
    <w:p>
      <w:pPr>
        <w:pStyle w:val="TextBody"/>
        <w:bidi w:val="0"/>
        <w:spacing w:lineRule="auto" w:line="288" w:before="120" w:after="283"/>
        <w:jc w:val="left"/>
        <w:rPr/>
      </w:pPr>
      <w:r>
        <w:rPr>
          <w:rFonts w:ascii="Times New Roman;serif" w:hAnsi="Times New Roman;serif"/>
          <w:b w:val="false"/>
          <w:color w:val="000000"/>
          <w:sz w:val="20"/>
        </w:rPr>
        <w:t>ImmunityBio, Inc. (“ImmunityBio,” the “Company,” “we,” “us,” or “our”)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w:t>
      </w:r>
      <w:r>
        <w:rPr>
          <w:color w:val="000000"/>
        </w:rPr>
        <w:t xml:space="preserve">™ </w:t>
      </w:r>
      <w:r>
        <w:rPr>
          <w:rFonts w:ascii="Times New Roman;serif" w:hAnsi="Times New Roman;serif"/>
          <w:b w:val="false"/>
          <w:color w:val="000000"/>
          <w:sz w:val="20"/>
        </w:rPr>
        <w:t>platform, which is designed to stimulate critical lymphocytes, including natural killer (NK) cells, cytotoxic T cells, and memory T cells via our proprietary IL-15 superagonist, ANKTIVA</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w:t>
      </w:r>
    </w:p>
    <w:p>
      <w:pPr>
        <w:pStyle w:val="TextBody"/>
        <w:bidi w:val="0"/>
        <w:spacing w:lineRule="auto" w:line="288" w:before="240" w:after="283"/>
        <w:jc w:val="left"/>
        <w:rPr/>
      </w:pPr>
      <w:r>
        <w:rPr>
          <w:rFonts w:ascii="Times New Roman;serif" w:hAnsi="Times New Roman;serif"/>
          <w:b w:val="false"/>
          <w:color w:val="000000"/>
          <w:sz w:val="20"/>
        </w:rPr>
        <w:t xml:space="preserve">ANKTIVA is our lead biologic product and a first-in-class IL-15 receptor superagonist antibody-cytokine fusion protein. We are commercializing ANKTIVA for the treatment of BCG-unresponsive NMIBC CIS with or without papillary tumors. ANKTIVA has received FDA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designation for use in BCG-unresponsive NMIBC CIS in adult patients with or without papillary tumors.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ANKTIVA is now approved in the U.S., UK, and Saudi Arabia for BCG-unresponsive NMIBC CIS with or without papillary tumors. In February 2026, the European Commission granted conditional marketing authorization in the EU for ANKTIVA for the same indication. In addition, ANKTIVA is conditionally approved in Saudi Arabia, for use in combination with a CPI, for the treatment of adult patients with metastatic NSCLC whose disease has progressed following standard-of-care therapy. The approved labels highlight ANKTIVA’s ability to simultaneously activate NK cells, cytotoxic T cells, and memory T cells.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ANKTIVA in combination with our CAR-NK therapy (PD-L1 t-haNK) has received RMAT designation from the FDA for use in combination with standard-of-care chemotherapy/radiotherapy for the reversal of lymphopenia and treatment of multiply relapsed locally advanced or metastatic pancreatic cancer. Separately, the FDA has authorized an EAP for ANKTIVA to treat lymphopenia in adult patients with refractory or relapsed solid tumors, regardless of tumor type, who have progressed following first-line standard-of-care treatment, including chemotherapy, radiation, or immunotherapy. The EAP includes patients with solid tumors who have failed first-line therapy and have a low ALC (ALC &lt;1,000/μL).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seeking to expand development of ANKTIVA in combination with current standard-of-care therapies across multiple solid and liquid tumor indications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BCG-naïve NMIBC;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BCG-unresponsive NMIBC with papillary tumors;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Second-line NSCLC;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First-line NSCLC;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Glioblastoma;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Indolent non-Hodgkin lymphoma, including Waldenström macroglobulinemia;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Pancreatic cancer;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Prostate cancer;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Ovarian cancer.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ANKTIVA has been selected by the NCI for evaluation in a cancer prevention study in patients with Lynch syndrome, and we are evaluating the combination of ANKTIVA with other agents in colorectal cancer. The company is also supporting an ongoing EAP for rBCG to help address U.S. supply constraints. We are also establishing or conducting trials in multiple myeloma, HCC, and TNBC.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1B4486"/>
          <w:sz w:val="22"/>
        </w:rPr>
      </w:pPr>
      <w:r>
        <w:rPr>
          <w:rFonts w:ascii="Times New Roman;serif" w:hAnsi="Times New Roman;serif"/>
          <w:b/>
          <w:color w:val="1B4486"/>
          <w:sz w:val="22"/>
        </w:rPr>
        <w:t>Commercial Performance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 distribution of ANKTIVA in May 2024 following FDA approval. The following table summarizes our commercial performance through December 31, 2025: </w:t>
      </w:r>
    </w:p>
    <w:tbl>
      <w:tblPr>
        <w:tblW w:w="5699" w:type="dxa"/>
        <w:jc w:val="left"/>
        <w:tblInd w:w="0" w:type="dxa"/>
        <w:tblLayout w:type="fixed"/>
        <w:tblCellMar>
          <w:top w:w="28" w:type="dxa"/>
          <w:left w:w="28" w:type="dxa"/>
          <w:bottom w:w="28" w:type="dxa"/>
          <w:right w:w="28" w:type="dxa"/>
        </w:tblCellMar>
      </w:tblPr>
      <w:tblGrid>
        <w:gridCol w:w="732"/>
        <w:gridCol w:w="640"/>
        <w:gridCol w:w="652"/>
        <w:gridCol w:w="424"/>
        <w:gridCol w:w="424"/>
        <w:gridCol w:w="428"/>
        <w:gridCol w:w="703"/>
        <w:gridCol w:w="703"/>
        <w:gridCol w:w="993"/>
      </w:tblGrid>
      <w:tr>
        <w:trPr/>
        <w:tc>
          <w:tcPr>
            <w:tcW w:w="7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Metric</w:t>
            </w:r>
          </w:p>
        </w:tc>
        <w:tc>
          <w:tcPr>
            <w:tcW w:w="1276"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Value</w:t>
            </w:r>
          </w:p>
        </w:tc>
        <w:tc>
          <w:tcPr>
            <w:tcW w:w="2399"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Period</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~$113 million</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 Year 2025</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Growth</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~700%</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vs. 2024</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Sales Growth</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~750%</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vs. 2024</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Q4 2025 Revenue</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$38.3 million</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 sequential, 431% YoY</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Lives Covered</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&gt;240 million</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2025</w:t>
            </w:r>
          </w:p>
        </w:tc>
      </w:tr>
    </w:tbl>
    <w:p>
      <w:pPr>
        <w:pStyle w:val="TextBody"/>
        <w:bidi w:val="0"/>
        <w:spacing w:lineRule="auto" w:line="288" w:before="240" w:after="283"/>
        <w:jc w:val="left"/>
        <w:rPr/>
      </w:pPr>
      <w:r>
        <w:rPr>
          <w:rFonts w:ascii="Times New Roman;serif" w:hAnsi="Times New Roman;serif"/>
          <w:b/>
          <w:color w:val="000000"/>
          <w:sz w:val="20"/>
        </w:rPr>
        <w:t xml:space="preserve">Reimbursement: </w:t>
      </w:r>
      <w:r>
        <w:rPr>
          <w:rFonts w:ascii="Times New Roman;serif" w:hAnsi="Times New Roman;serif"/>
          <w:b w:val="false"/>
          <w:color w:val="000000"/>
          <w:sz w:val="20"/>
        </w:rPr>
        <w:t xml:space="preserve">ANKTIVA received a permanent J-code (J9028) from CMS, effective January 1, 2025, for “Injection, nogapendekin alfa inbakicept, for intravesical use, 1 microgram.” </w:t>
      </w:r>
    </w:p>
    <w:p>
      <w:pPr>
        <w:pStyle w:val="TextBody"/>
        <w:bidi w:val="0"/>
        <w:spacing w:lineRule="auto" w:line="288" w:before="180" w:after="283"/>
        <w:jc w:val="left"/>
        <w:rPr>
          <w:rFonts w:ascii="Times New Roman;serif" w:hAnsi="Times New Roman;serif"/>
          <w:b/>
          <w:color w:val="1B4486"/>
          <w:sz w:val="22"/>
        </w:rPr>
      </w:pPr>
      <w:r>
        <w:rPr>
          <w:rFonts w:ascii="Times New Roman;serif" w:hAnsi="Times New Roman;serif"/>
          <w:b/>
          <w:color w:val="1B4486"/>
          <w:sz w:val="22"/>
        </w:rPr>
        <w:t>Regulatory Approvals</w:t>
      </w:r>
    </w:p>
    <w:tbl>
      <w:tblPr>
        <w:tblW w:w="9059" w:type="dxa"/>
        <w:jc w:val="left"/>
        <w:tblInd w:w="0" w:type="dxa"/>
        <w:tblLayout w:type="fixed"/>
        <w:tblCellMar>
          <w:top w:w="28" w:type="dxa"/>
          <w:left w:w="28" w:type="dxa"/>
          <w:bottom w:w="28" w:type="dxa"/>
          <w:right w:w="28" w:type="dxa"/>
        </w:tblCellMar>
      </w:tblPr>
      <w:tblGrid>
        <w:gridCol w:w="810"/>
        <w:gridCol w:w="710"/>
        <w:gridCol w:w="714"/>
        <w:gridCol w:w="1242"/>
        <w:gridCol w:w="1242"/>
        <w:gridCol w:w="1251"/>
        <w:gridCol w:w="899"/>
        <w:gridCol w:w="899"/>
        <w:gridCol w:w="1292"/>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Jurisdiction</w:t>
            </w:r>
          </w:p>
        </w:tc>
        <w:tc>
          <w:tcPr>
            <w:tcW w:w="3735"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Indication</w:t>
            </w:r>
          </w:p>
        </w:tc>
        <w:tc>
          <w:tcPr>
            <w:tcW w:w="3090"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Status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NMIBC CIS +/- papillary</w:t>
            </w:r>
          </w:p>
        </w:tc>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(Apr. 2024)</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(MHRA)</w:t>
            </w:r>
          </w:p>
        </w:tc>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NMIBC CIS +/- papillary</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(Jul. 2025)</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 (SFDA)</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NMIBC CIS +/- papillary</w:t>
            </w:r>
          </w:p>
        </w:tc>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(Jan. 2026)</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 (SFDA)</w:t>
            </w:r>
          </w:p>
        </w:tc>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Progressing metastatic NSCLC + CPI</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Conditionally approved (Jan. 2026)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 (EMA)</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NMIBC CIS +/- papillary</w:t>
            </w:r>
          </w:p>
        </w:tc>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Conditionally approved (Feb.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February 2026, ANKTIVA has received regulatory approval in four jurisdictions spanning two therapeutic indications (bladder cancer and lung cancer). To our knowledge, based on publicly available information, the SFDA’s conditional approval of ANKTIVA in combination with CPIs for metastatic NSCLC is the first regulatory approval for an IL-15 receptor superagonist in lung cancer. The European Commission granted conditional marketing authorization for ANKTIVA with BCG in BCG-unresponsive NMIBC CIS with or without papillary tumors, which is the first approval of a therapeutic in this indication in Europe. ANKTIVA is now authorized for use in 33 countries.</w:t>
      </w:r>
    </w:p>
    <w:p>
      <w:pPr>
        <w:pStyle w:val="TextBody"/>
        <w:bidi w:val="0"/>
        <w:spacing w:lineRule="auto" w:line="288" w:before="240" w:after="283"/>
        <w:jc w:val="left"/>
        <w:rPr>
          <w:rFonts w:ascii="Times New Roman;serif" w:hAnsi="Times New Roman;serif"/>
          <w:b/>
          <w:color w:val="1B4486"/>
          <w:sz w:val="24"/>
        </w:rPr>
      </w:pPr>
      <w:r>
        <w:rPr>
          <w:rFonts w:ascii="Times New Roman;serif" w:hAnsi="Times New Roman;serif"/>
          <w:b/>
          <w:color w:val="1B4486"/>
          <w:sz w:val="24"/>
        </w:rPr>
        <w:t>SCIENTIFIC RATIONALE</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The Lymphopenia Challenge in Oncology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Lymphopenia, defined as the severe depletion of cancer-killing NK and T cells, represents a critical and widely unaddressed problem in oncology. The ALC is a routine measurement in complete blood counts that carries independent prognostic weight across tumor types.</w:t>
      </w:r>
    </w:p>
    <w:p>
      <w:pPr>
        <w:pStyle w:val="TextBody"/>
        <w:bidi w:val="0"/>
        <w:spacing w:lineRule="auto" w:line="288" w:before="240" w:after="283"/>
        <w:jc w:val="left"/>
        <w:rPr/>
      </w:pPr>
      <w:r>
        <w:rPr>
          <w:rFonts w:ascii="Times New Roman;serif" w:hAnsi="Times New Roman;serif"/>
          <w:b/>
          <w:color w:val="000000"/>
          <w:sz w:val="20"/>
        </w:rPr>
        <w:t xml:space="preserve">Prevalence: </w:t>
      </w:r>
      <w:r>
        <w:rPr>
          <w:rFonts w:ascii="Times New Roman;serif" w:hAnsi="Times New Roman;serif"/>
          <w:b w:val="false"/>
          <w:color w:val="000000"/>
          <w:sz w:val="20"/>
        </w:rPr>
        <w:t>Based on published literature and internal estimates derived from American Cancer Society incidence data and treatment patterns, lymphopenia affects a substantial portion of U.S. cancer patients annually. Standard treatments, including radiotherapy, chemotherapy, steroids, and certain immunotherapies, can induce or worsen this condition.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Clinical Significance: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Mortality Risk of Low ALC in General Population, All Causes &amp; Cardiovascular Disease</w:t>
      </w:r>
    </w:p>
    <w:p>
      <w:pPr>
        <w:pStyle w:val="TextBody"/>
        <w:bidi w:val="0"/>
        <w:spacing w:lineRule="auto" w:line="288" w:before="120" w:after="283"/>
        <w:jc w:val="left"/>
        <w:rPr/>
      </w:pPr>
      <w:r>
        <w:rPr>
          <w:rFonts w:ascii="Times New Roman;serif" w:hAnsi="Times New Roman;serif"/>
          <w:b w:val="false"/>
          <w:color w:val="000000"/>
          <w:sz w:val="20"/>
        </w:rPr>
        <w:t>In 2019, Zidar et al., published in JAMA, “Association of Lymphopenia With Risk of Mortality Among Adults in the US General Population” and reported that low lymphocyte levels are associated with reduced survival in the U.S. general population. Their study highlighted that “</w:t>
      </w:r>
      <w:r>
        <w:rPr>
          <w:rFonts w:ascii="Times New Roman;serif" w:hAnsi="Times New Roman;serif"/>
          <w:b w:val="false"/>
          <w:i/>
          <w:color w:val="000000"/>
          <w:sz w:val="20"/>
        </w:rPr>
        <w:t>based on these findings, patients with lymphopenia, especially those with other immunohematologic abnormalities, may have excess mortality risk; these patients are readily identifiable because tests of lymphocyte levels often occur during routine medical encounters.”</w:t>
      </w:r>
      <w:r>
        <w:rPr>
          <w:color w:val="000000"/>
        </w:rPr>
        <w:t xml:space="preserve"> </w:t>
      </w:r>
      <w:r>
        <w:rPr>
          <w:rFonts w:ascii="Times New Roman;serif" w:hAnsi="Times New Roman;serif"/>
          <w:b w:val="false"/>
          <w:color w:val="000000"/>
          <w:sz w:val="20"/>
        </w:rPr>
        <w:t>Furthermore, the importance of this finding was emphasized by the following statement, “</w:t>
      </w:r>
      <w:r>
        <w:rPr>
          <w:rFonts w:ascii="Times New Roman;serif" w:hAnsi="Times New Roman;serif"/>
          <w:b w:val="false"/>
          <w:i/>
          <w:color w:val="000000"/>
          <w:sz w:val="20"/>
        </w:rPr>
        <w:t>Immune dysregulation can increase the risk of infection, malignant neoplasms, and cardiovascular disease, but improved methods are needed to identify and quantify immunologic hazard in the general population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note, the risk mortality from all causes and from heart and cerebrovascular disease consistently rises when the ALC levels fall from normal to below 2,000. These findings emphasize the need to protect the immune system and maintain ALC levels even in the general population. </w:t>
      </w:r>
    </w:p>
    <w:p>
      <w:pPr>
        <w:pStyle w:val="TextBody"/>
        <w:bidi w:val="0"/>
        <w:spacing w:lineRule="auto" w:line="288" w:before="240" w:after="283"/>
        <w:jc w:val="left"/>
        <w:rPr/>
      </w:pPr>
      <w:r>
        <w:rPr>
          <w:rFonts w:ascii="Times New Roman;serif" w:hAnsi="Times New Roman;serif"/>
          <w:b w:val="false"/>
          <w:color w:val="000000"/>
          <w:sz w:val="20"/>
        </w:rPr>
        <w:t>The economic significance of increased mortality and reduced longevity is significant. In the Nature publication by Scott et al., entitled, “The Economic Value of Targeting Aging”, the authors concluded that “</w:t>
      </w:r>
      <w:r>
        <w:rPr>
          <w:rFonts w:ascii="Times New Roman;serif" w:hAnsi="Times New Roman;serif"/>
          <w:b w:val="false"/>
          <w:i/>
          <w:color w:val="000000"/>
          <w:sz w:val="20"/>
        </w:rPr>
        <w:t xml:space="preserve">a slowdown in aging that increases life expectancy by 1 year is worth US$38 trillion, and by 10 years, US$367 trillion. Ultimately, the more progress that is made in improving how we age, the greater the value of further improvements.”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Association of Lymphopenia with Mortality in General Population</w:t>
      </w:r>
    </w:p>
    <w:p>
      <w:pPr>
        <w:pStyle w:val="TextBody"/>
        <w:bidi w:val="0"/>
        <w:spacing w:before="240" w:after="283"/>
        <w:jc w:val="center"/>
        <w:rPr/>
      </w:pPr>
      <w:r>
        <w:rPr/>
        <w:drawing>
          <wp:inline distT="0" distB="0" distL="0" distR="0">
            <wp:extent cx="6629400" cy="216217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6629400" cy="2162175"/>
                    </a:xfrm>
                    <a:prstGeom prst="rect">
                      <a:avLst/>
                    </a:prstGeom>
                  </pic:spPr>
                </pic:pic>
              </a:graphicData>
            </a:graphic>
          </wp:inline>
        </w:drawing>
      </w:r>
      <w:bookmarkStart w:id="0" w:name="i-1"/>
      <w:bookmarkEnd w:id="0"/>
    </w:p>
    <w:p>
      <w:pPr>
        <w:pStyle w:val="TextBody"/>
        <w:bidi w:val="0"/>
        <w:spacing w:lineRule="auto" w:line="288" w:before="240" w:after="283"/>
        <w:jc w:val="center"/>
        <w:rPr/>
      </w:pPr>
      <w:r>
        <w:rPr>
          <w:rFonts w:ascii="Times New Roman;serif" w:hAnsi="Times New Roman;serif"/>
          <w:b w:val="false"/>
          <w:i/>
          <w:color w:val="000000"/>
          <w:sz w:val="16"/>
        </w:rPr>
        <w:t>Solid lines indicate hazard ratio point estimates; dotted lines, 95% CI</w:t>
      </w:r>
      <w:r>
        <w:rPr>
          <w:color w:val="000000"/>
        </w:rPr>
        <w:t xml:space="preserve">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Zidar DA et al., Figure 2. Association of Lymphopenia with Mortality</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Zidar DA, Al-Kindi SG, Liu Y, et al. Association of lymphopenia with risk of mortality among adults in the US general population. </w:t>
      </w:r>
    </w:p>
    <w:p>
      <w:pPr>
        <w:pStyle w:val="TextBody"/>
        <w:bidi w:val="0"/>
        <w:spacing w:lineRule="auto" w:line="288" w:before="0" w:after="0"/>
        <w:jc w:val="center"/>
        <w:rPr/>
      </w:pPr>
      <w:r>
        <w:rPr>
          <w:rFonts w:ascii="Times New Roman;serif" w:hAnsi="Times New Roman;serif"/>
          <w:b w:val="false"/>
          <w:i/>
          <w:color w:val="000000"/>
          <w:sz w:val="16"/>
        </w:rPr>
        <w:t>JAMA Network Open.</w:t>
      </w:r>
      <w:r>
        <w:rPr>
          <w:color w:val="000000"/>
        </w:rPr>
        <w:t xml:space="preserve"> </w:t>
      </w:r>
      <w:r>
        <w:rPr>
          <w:rFonts w:ascii="Times New Roman;serif" w:hAnsi="Times New Roman;serif"/>
          <w:b w:val="false"/>
          <w:color w:val="000000"/>
          <w:sz w:val="16"/>
        </w:rPr>
        <w:t>2019;2(12):e1916526. doi:10.1001/jamanetworkopen.2019.16526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 the Zidar et al., study of over 31,000 Americans, a clear demonstration of survival related to lymphocyte levels is seen in this graph below. When lymphocyte levels fall between 0.3 to 1.5, the survival rate decreases.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Lymphocyte Levels Associated with Survival </w:t>
      </w:r>
    </w:p>
    <w:p>
      <w:pPr>
        <w:pStyle w:val="TextBody"/>
        <w:bidi w:val="0"/>
        <w:spacing w:before="240" w:after="283"/>
        <w:jc w:val="center"/>
        <w:rPr/>
      </w:pPr>
      <w:r>
        <w:rPr/>
        <w:drawing>
          <wp:inline distT="0" distB="0" distL="0" distR="0">
            <wp:extent cx="6124575" cy="3305175"/>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6124575" cy="3305175"/>
                    </a:xfrm>
                    <a:prstGeom prst="rect">
                      <a:avLst/>
                    </a:prstGeom>
                  </pic:spPr>
                </pic:pic>
              </a:graphicData>
            </a:graphic>
          </wp:inline>
        </w:drawing>
      </w:r>
      <w:bookmarkStart w:id="1" w:name="i-2"/>
      <w:bookmarkEnd w:id="1"/>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Zidar et al., Supplemental Figure 1</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Zidar DA, Al-Kindi SG, Liu Y, et al. Association of lymphopenia with risk of mortality among adults in the US general population. </w:t>
      </w:r>
    </w:p>
    <w:p>
      <w:pPr>
        <w:pStyle w:val="TextBody"/>
        <w:bidi w:val="0"/>
        <w:spacing w:lineRule="auto" w:line="288" w:before="0" w:after="0"/>
        <w:jc w:val="center"/>
        <w:rPr/>
      </w:pPr>
      <w:r>
        <w:rPr>
          <w:rFonts w:ascii="Times New Roman;serif" w:hAnsi="Times New Roman;serif"/>
          <w:b w:val="false"/>
          <w:i/>
          <w:color w:val="000000"/>
          <w:sz w:val="16"/>
        </w:rPr>
        <w:t>JAMA Network Open.</w:t>
      </w:r>
      <w:r>
        <w:rPr>
          <w:color w:val="000000"/>
        </w:rPr>
        <w:t xml:space="preserve"> </w:t>
      </w:r>
      <w:r>
        <w:rPr>
          <w:rFonts w:ascii="Times New Roman;serif" w:hAnsi="Times New Roman;serif"/>
          <w:b w:val="false"/>
          <w:color w:val="000000"/>
          <w:sz w:val="16"/>
        </w:rPr>
        <w:t>2019;2(12):e1916526. doi:10.1001/jamanetworkopen.2019.16526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18"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Mortality Risk with Low ALC in Cancer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risk of death from cancer increases when the absolute lymphocyte count level falls below 2.0.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Association with Lymphopenia with Mortality in Patients with Cancer</w:t>
      </w:r>
    </w:p>
    <w:p>
      <w:pPr>
        <w:pStyle w:val="TextBody"/>
        <w:bidi w:val="0"/>
        <w:spacing w:before="240" w:after="283"/>
        <w:jc w:val="center"/>
        <w:rPr/>
      </w:pPr>
      <w:r>
        <w:rPr/>
        <w:drawing>
          <wp:inline distT="0" distB="0" distL="0" distR="0">
            <wp:extent cx="4848225" cy="3190875"/>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4848225" cy="3190875"/>
                    </a:xfrm>
                    <a:prstGeom prst="rect">
                      <a:avLst/>
                    </a:prstGeom>
                  </pic:spPr>
                </pic:pic>
              </a:graphicData>
            </a:graphic>
          </wp:inline>
        </w:drawing>
      </w:r>
      <w:bookmarkStart w:id="2" w:name="i-3"/>
      <w:bookmarkEnd w:id="2"/>
    </w:p>
    <w:p>
      <w:pPr>
        <w:pStyle w:val="TextBody"/>
        <w:bidi w:val="0"/>
        <w:spacing w:lineRule="auto" w:line="288" w:before="60" w:after="283"/>
        <w:jc w:val="center"/>
        <w:rPr/>
      </w:pPr>
      <w:r>
        <w:rPr>
          <w:rFonts w:ascii="Times New Roman;serif" w:hAnsi="Times New Roman;serif"/>
          <w:b w:val="false"/>
          <w:i/>
          <w:color w:val="000000"/>
          <w:sz w:val="16"/>
        </w:rPr>
        <w:t>Solid lines indicate hazard ratio point estimates; dotted lines, 95% CI</w:t>
      </w:r>
      <w:r>
        <w:rPr>
          <w:color w:val="000000"/>
        </w:rPr>
        <w:t xml:space="preserve">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Zidar DA et al., Figure 2. Associated of Lymphopenia with Mortality</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Zidar DA, Al-Kindi SG, Liu Y, et al. Association of lymphopenia with risk of mortality among adults in the US general population. </w:t>
      </w:r>
    </w:p>
    <w:p>
      <w:pPr>
        <w:pStyle w:val="TextBody"/>
        <w:bidi w:val="0"/>
        <w:spacing w:lineRule="auto" w:line="288" w:before="0" w:after="0"/>
        <w:jc w:val="center"/>
        <w:rPr/>
      </w:pPr>
      <w:r>
        <w:rPr>
          <w:rFonts w:ascii="Times New Roman;serif" w:hAnsi="Times New Roman;serif"/>
          <w:b w:val="false"/>
          <w:i/>
          <w:color w:val="000000"/>
          <w:sz w:val="16"/>
        </w:rPr>
        <w:t>JAMA Network Open.</w:t>
      </w:r>
      <w:r>
        <w:rPr>
          <w:color w:val="000000"/>
        </w:rPr>
        <w:t xml:space="preserve"> </w:t>
      </w:r>
      <w:r>
        <w:rPr>
          <w:rFonts w:ascii="Times New Roman;serif" w:hAnsi="Times New Roman;serif"/>
          <w:b w:val="false"/>
          <w:color w:val="000000"/>
          <w:sz w:val="16"/>
        </w:rPr>
        <w:t>2019;2(12):e1916526. doi:10.1001/jamanetworkopen.2019.16526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Multiple peer-reviewed studies have shown that severe lymphopenia (ALC &lt;1,000 cells/μL) is associated with a significantly increased risk of mortality in patients with solid tumors. Large retrospective analyses have shown that patients with peripheral lymphopenia experience markedly higher rates of high-grade chemotherapy toxicity and reduced overall survival, with published relative risk estimates for relapse-free survival ranging from 1.35 to 3.81-fold and for overall survival from 1.25 to 7.70-fold compared with patients maintaining adequate lymphocyte levels. </w:t>
      </w:r>
    </w:p>
    <w:p>
      <w:pPr>
        <w:pStyle w:val="TextBody"/>
        <w:bidi w:val="0"/>
        <w:spacing w:lineRule="auto" w:line="288" w:before="240" w:after="283"/>
        <w:jc w:val="left"/>
        <w:rPr/>
      </w:pPr>
      <w:r>
        <w:rPr>
          <w:rFonts w:ascii="Times New Roman;serif" w:hAnsi="Times New Roman;serif"/>
          <w:b w:val="false"/>
          <w:color w:val="000000"/>
          <w:sz w:val="20"/>
        </w:rPr>
        <w:t>Of note, this association with lymphopenia and statistically increased mortality occurs regardless of tumor type as shown by Ménétrier-Caux C et al., In this publication entitled, “Lymphopenia in Cancer Patients and its Effects on Response to Immunotherapy: an opportunity for combination with Cytokines?”, the authors review “</w:t>
      </w:r>
      <w:r>
        <w:rPr>
          <w:rFonts w:ascii="Times New Roman;serif" w:hAnsi="Times New Roman;serif"/>
          <w:b w:val="false"/>
          <w:i/>
          <w:color w:val="000000"/>
          <w:sz w:val="20"/>
        </w:rPr>
        <w:t>the current knowledge on the incidence and significance of lymphopenia in cancer patients, and discuss therapeutic strategies to restore lymphocyte numbers.”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0"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before="60" w:after="283"/>
        <w:jc w:val="center"/>
        <w:rPr/>
      </w:pPr>
      <w:r>
        <w:rPr/>
        <w:drawing>
          <wp:inline distT="0" distB="0" distL="0" distR="0">
            <wp:extent cx="6629400" cy="709612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6629400" cy="7096125"/>
                    </a:xfrm>
                    <a:prstGeom prst="rect">
                      <a:avLst/>
                    </a:prstGeom>
                  </pic:spPr>
                </pic:pic>
              </a:graphicData>
            </a:graphic>
          </wp:inline>
        </w:drawing>
      </w:r>
      <w:bookmarkStart w:id="3" w:name="i-4"/>
      <w:bookmarkEnd w:id="3"/>
    </w:p>
    <w:p>
      <w:pPr>
        <w:pStyle w:val="TextBody"/>
        <w:bidi w:val="0"/>
        <w:spacing w:lineRule="auto" w:line="288" w:before="240" w:after="283"/>
        <w:jc w:val="left"/>
        <w:rPr/>
      </w:pPr>
      <w:r>
        <w:rPr>
          <w:rFonts w:ascii="Times New Roman;serif" w:hAnsi="Times New Roman;serif"/>
          <w:b/>
          <w:color w:val="000000"/>
          <w:sz w:val="20"/>
        </w:rPr>
        <w:t xml:space="preserve">Treatment Gap: </w:t>
      </w:r>
      <w:r>
        <w:rPr>
          <w:rFonts w:ascii="Times New Roman;serif" w:hAnsi="Times New Roman;serif"/>
          <w:b w:val="false"/>
          <w:color w:val="000000"/>
          <w:sz w:val="20"/>
        </w:rPr>
        <w:t>While oncologists have established supportive therapies such as erythropoietin-stimulating agents and granulocyte colony-stimulating factors to manage chemotherapy-induced anemia and neutropenia, respectively, no FDA-approved therapy has been specifically indicated for the treatment of lymphopenia in cancer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2"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Interleukin-15 (IL-15) was ranked by the NIH and NCI as the number 1 cytokine with the potential to cure cancer. The findings of this working group was published in 2008 by Cheever M., entitled, “Twelve Immunotherapy Drugs that Could Cure Cancers.” </w:t>
      </w:r>
    </w:p>
    <w:p>
      <w:pPr>
        <w:pStyle w:val="TextBody"/>
        <w:bidi w:val="0"/>
        <w:spacing w:before="240" w:after="283"/>
        <w:jc w:val="center"/>
        <w:rPr/>
      </w:pPr>
      <w:r>
        <w:rPr/>
        <w:drawing>
          <wp:inline distT="0" distB="0" distL="0" distR="0">
            <wp:extent cx="6629400" cy="474345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6629400" cy="4743450"/>
                    </a:xfrm>
                    <a:prstGeom prst="rect">
                      <a:avLst/>
                    </a:prstGeom>
                  </pic:spPr>
                </pic:pic>
              </a:graphicData>
            </a:graphic>
          </wp:inline>
        </w:drawing>
      </w:r>
      <w:bookmarkStart w:id="4" w:name="i-5"/>
      <w:bookmarkEnd w:id="4"/>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NIH undertook decades of research to develop this IL-15 cytokine as a therapeutic and in 2015, the understanding of the shared and contrasting roles of IL-2 versus IL-15 was published by Thomas A. Waldmann, MD (NIH Distinguished Investigator) highlighting the decades long focus on IL-2 and the neglect of IL-15 for therapeutic lymphopenia correction as a consequence of both historical timing and incomplete mechanistic understanding that only recent insights in immunobiology had begun to correct.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4"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1B4486"/>
          <w:sz w:val="22"/>
        </w:rPr>
      </w:pPr>
      <w:r>
        <w:rPr>
          <w:rFonts w:ascii="Times New Roman;serif" w:hAnsi="Times New Roman;serif"/>
          <w:b/>
          <w:color w:val="1B4486"/>
          <w:sz w:val="22"/>
        </w:rPr>
        <w:t>Biological Misunderstanding and Overlap Between IL-2 and IL-15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Pharmacological Development Based on Incorrect Assumption that IL-2 was the Key Cytokine For Cancer Therapy</w:t>
      </w:r>
    </w:p>
    <w:p>
      <w:pPr>
        <w:pStyle w:val="TextBody"/>
        <w:bidi w:val="0"/>
        <w:spacing w:lineRule="auto" w:line="288" w:before="120" w:after="283"/>
        <w:jc w:val="left"/>
        <w:rPr/>
      </w:pPr>
      <w:r>
        <w:rPr>
          <w:rFonts w:ascii="Times New Roman;serif" w:hAnsi="Times New Roman;serif"/>
          <w:b/>
          <w:color w:val="000000"/>
          <w:sz w:val="20"/>
        </w:rPr>
        <w:t>Discovery and Development of IL-2 and IL-15:</w:t>
      </w:r>
      <w:r>
        <w:rPr>
          <w:color w:val="000000"/>
        </w:rPr>
        <w:t xml:space="preserve"> </w:t>
      </w:r>
      <w:r>
        <w:rPr>
          <w:rFonts w:ascii="Times New Roman;serif" w:hAnsi="Times New Roman;serif"/>
          <w:b w:val="false"/>
          <w:color w:val="000000"/>
          <w:sz w:val="20"/>
        </w:rPr>
        <w:t>IL-2 was discovered in 1976 as “T-cell growth factor,” and by the 1980s, became the first cytokine to be evaluated in humans for cancer immunotherapy. High-dose recombinant IL-2 (aldesleukin) was FDA-approved in the 1990s for metastatic renal cell carcinoma (1992) and metastatic melanoma (1998) which established a precedent and clinical infrastructure around IL-2. IL-15 was only discovered in 1994, nearly two decades after IL-2 and was approved for the treatment of NMIBC in 2024.</w:t>
      </w:r>
    </w:p>
    <w:p>
      <w:pPr>
        <w:pStyle w:val="TextBody"/>
        <w:bidi w:val="0"/>
        <w:spacing w:lineRule="auto" w:line="288" w:before="240" w:after="283"/>
        <w:jc w:val="left"/>
        <w:rPr/>
      </w:pPr>
      <w:r>
        <w:rPr>
          <w:rFonts w:ascii="Times New Roman;serif" w:hAnsi="Times New Roman;serif"/>
          <w:b/>
          <w:color w:val="000000"/>
          <w:sz w:val="20"/>
        </w:rPr>
        <w:t xml:space="preserve">Biological Misunderstanding and Overlap Between IL-2 and IL-15 Accounting for the Delay in Development of IL-15: </w:t>
      </w:r>
      <w:r>
        <w:rPr>
          <w:rFonts w:ascii="Times New Roman;serif" w:hAnsi="Times New Roman;serif"/>
          <w:b w:val="false"/>
          <w:color w:val="000000"/>
          <w:sz w:val="20"/>
        </w:rPr>
        <w:t>IL-2 and IL-15 share two receptor subunits (IL-2/15Rβ and γc), which led early researchers to assume overlapping biological effects since the receptor expressed on the surface of T cells is commonly referred to as the IL-2 receptor. However, their distinct α-receptors (IL-2Rα vs. IL-15Rα) and modes of presentation (cis vs. trans) result in profoundly different immunological outcomes (see Figure 1 below). IL-2 primarily stimulates Tregs and not NK cells, leading to immune contraction and immune evasion. IL-15, in contrast, preferentially supports CD8+ memory T cells and NK cells while avoiding Treg expansion making it biologically superior for sustained immune responses—but this was only appreciated later through mechanistic studies. This biological misunderstanding partially explains why the treatment of lymphopenia by stimulating NK and T cells to date (2025) remained unaddressed.</w:t>
      </w:r>
    </w:p>
    <w:p>
      <w:pPr>
        <w:pStyle w:val="TextBody"/>
        <w:bidi w:val="0"/>
        <w:spacing w:before="240" w:after="283"/>
        <w:jc w:val="center"/>
        <w:rPr/>
      </w:pPr>
      <w:r>
        <w:rPr/>
        <w:drawing>
          <wp:inline distT="0" distB="0" distL="0" distR="0">
            <wp:extent cx="6629400" cy="409575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6629400" cy="4095750"/>
                    </a:xfrm>
                    <a:prstGeom prst="rect">
                      <a:avLst/>
                    </a:prstGeom>
                  </pic:spPr>
                </pic:pic>
              </a:graphicData>
            </a:graphic>
          </wp:inline>
        </w:drawing>
      </w:r>
      <w:bookmarkStart w:id="5" w:name="i-6"/>
      <w:bookmarkEnd w:id="5"/>
    </w:p>
    <w:p>
      <w:pPr>
        <w:pStyle w:val="TextBody"/>
        <w:bidi w:val="0"/>
        <w:spacing w:lineRule="auto" w:line="288" w:before="180" w:after="283"/>
        <w:jc w:val="left"/>
        <w:rPr/>
      </w:pPr>
      <w:r>
        <w:rPr>
          <w:rFonts w:ascii="Times New Roman;serif" w:hAnsi="Times New Roman;serif"/>
          <w:b/>
          <w:color w:val="000000"/>
          <w:sz w:val="20"/>
        </w:rPr>
        <w:t>Conclusion</w:t>
      </w:r>
      <w:r>
        <w:rPr>
          <w:rFonts w:ascii="Times New Roman;serif" w:hAnsi="Times New Roman;serif"/>
          <w:b w:val="false"/>
          <w:color w:val="000000"/>
          <w:sz w:val="20"/>
        </w:rPr>
        <w:t>: The decades-long focus on IL-2 and neglect of IL-15 for therapeutic lymphopenia correction reflect both historical timing and incomplete mechanistic understanding that only recent developments in immunobiology have begun to correct.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this insight, the cytokine fusion protein ANKTIVA was developed and studies in healthy volunteers demonstrated the mechanism of action of proliferating NK, CD4+ CD8+ T cells without up-regulating Tregs.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6"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drawing>
          <wp:inline distT="0" distB="0" distL="0" distR="0">
            <wp:extent cx="3867150" cy="339090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3867150" cy="3390900"/>
                    </a:xfrm>
                    <a:prstGeom prst="rect">
                      <a:avLst/>
                    </a:prstGeom>
                  </pic:spPr>
                </pic:pic>
              </a:graphicData>
            </a:graphic>
          </wp:inline>
        </w:drawing>
      </w:r>
      <w:bookmarkStart w:id="6" w:name="i-7"/>
      <w:bookmarkEnd w:id="6"/>
    </w:p>
    <w:p>
      <w:pPr>
        <w:pStyle w:val="TextBody"/>
        <w:bidi w:val="0"/>
        <w:spacing w:lineRule="auto" w:line="288" w:before="240" w:after="283"/>
        <w:jc w:val="left"/>
        <w:rPr/>
      </w:pPr>
      <w:r>
        <w:rPr>
          <w:rFonts w:ascii="Times New Roman;serif" w:hAnsi="Times New Roman;serif"/>
          <w:b/>
          <w:color w:val="000000"/>
          <w:sz w:val="20"/>
        </w:rPr>
        <w:t xml:space="preserve">Healthy Volunteers with ANKTIVA (IL-15 Superagonist): </w:t>
      </w:r>
      <w:r>
        <w:rPr>
          <w:rFonts w:ascii="Times New Roman;serif" w:hAnsi="Times New Roman;serif"/>
          <w:b w:val="false"/>
          <w:color w:val="000000"/>
          <w:sz w:val="20"/>
        </w:rPr>
        <w:t>These findings were published in the Journal of Immunology (March 2022) showing that ANKTIVA had a greater than 20-fold longer in vivo half-life than native IL-15. Furthermore, NK cells and CD8+ T cells were stimulated with sustained increase over 2 weeks.</w:t>
      </w:r>
    </w:p>
    <w:p>
      <w:pPr>
        <w:pStyle w:val="TextBody"/>
        <w:bidi w:val="0"/>
        <w:spacing w:before="240" w:after="283"/>
        <w:jc w:val="center"/>
        <w:rPr/>
      </w:pPr>
      <w:r>
        <w:rPr/>
        <w:drawing>
          <wp:inline distT="0" distB="0" distL="0" distR="0">
            <wp:extent cx="6124575" cy="43815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6124575" cy="4381500"/>
                    </a:xfrm>
                    <a:prstGeom prst="rect">
                      <a:avLst/>
                    </a:prstGeom>
                  </pic:spPr>
                </pic:pic>
              </a:graphicData>
            </a:graphic>
          </wp:inline>
        </w:drawing>
      </w:r>
      <w:bookmarkStart w:id="7" w:name="i-8"/>
      <w:bookmarkEnd w:id="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9"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Addressing Cold Tumors and Immune Evasion</w:t>
      </w:r>
    </w:p>
    <w:p>
      <w:pPr>
        <w:pStyle w:val="TextBody"/>
        <w:bidi w:val="0"/>
        <w:spacing w:before="240" w:after="283"/>
        <w:jc w:val="center"/>
        <w:rPr/>
      </w:pPr>
      <w:r>
        <w:rPr/>
        <w:drawing>
          <wp:inline distT="0" distB="0" distL="0" distR="0">
            <wp:extent cx="6629400" cy="356235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6629400" cy="3562350"/>
                    </a:xfrm>
                    <a:prstGeom prst="rect">
                      <a:avLst/>
                    </a:prstGeom>
                  </pic:spPr>
                </pic:pic>
              </a:graphicData>
            </a:graphic>
          </wp:inline>
        </w:drawing>
      </w:r>
      <w:bookmarkStart w:id="8" w:name="i-9"/>
      <w:bookmarkEnd w:id="8"/>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Cancer cells can evade immune detection through “immune escape,” particularly by losing MHC-I expression on their cell surface. Tumors lacking MHC-I expression (“cold tumors”) cannot be recognized by T cells, which may limit the efficacy of CPI therapy. This phenomenon has been characterized in published literature as a mechanism of primary and acquired resistance to immunotherapy.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ANKTIVA’s mechanism of action addresses this challenge through several pathways: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1.NK-Cell Activation: ANKTIVA activates NK cells, which recognize and attack cells lacking MHC-I expression through “missing-self” recognition, a well-characterized immune surveillance mechanism.</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2.Interferon-gamma Release: Activated NK cells secrete interferon-gamma, which, as shown in published studies, stimulates MHC-I re-expression on tumor cells.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3.Tumor Transformation: Through this mechanism, tumors may be converted from MHC-negative (“cold”) to MHC-positive (“hot”), potentially making them recognizable by T cells.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4.Memory T Cell Generation: ANKTIVA’s IL-15 agonist activity supports the establishment of memory T cells, which may provide long-term immune surveillance.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1"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Limitations of Current Checkpoint Inhibitor Therapy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development of CPIs represented a major advance in cancer treatment. However, published data indicate that patient responses may be limited: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Primary resistance: Approximately 40-60% of patients do not respond to CPI monotherapy, according to published clinical trial data.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Acquired resistance: Many initial responders eventually experience disease progression.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Limited efficacy in tumors lacking T cell infiltration.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Dependence on adequate lymphocyte populations for optimal activity. </w:t>
      </w:r>
    </w:p>
    <w:p>
      <w:pPr>
        <w:pStyle w:val="TextBody"/>
        <w:bidi w:val="0"/>
        <w:spacing w:lineRule="auto" w:line="288" w:before="120" w:after="283"/>
        <w:jc w:val="left"/>
        <w:rPr/>
      </w:pPr>
      <w:r>
        <w:rPr>
          <w:rFonts w:ascii="Times New Roman;serif" w:hAnsi="Times New Roman;serif"/>
          <w:b w:val="false"/>
          <w:color w:val="000000"/>
          <w:sz w:val="20"/>
        </w:rPr>
        <w:t>ANKTIVA is designed to address these limitations by restoring lymphocyte counts depleted by prior therapies, activating NK cells to target MHC-negative tumor cells, and generating memory T cells to support potentially durable responses. Although ANKTIVA for use in combination with CPIs has received conditional approval from the SFDA in Saudi Arabia for the treatment of adult patients with metastatic NSCLC whose disease has progressed following standard-of-care therapy, there can be no assurance that ANKTIVA will be effective in overcoming CPI-resistance or that it will receive additional regulatory approvals.</w:t>
      </w:r>
      <w:r>
        <w:rPr>
          <w:color w:val="555555"/>
        </w:rPr>
        <w:t xml:space="preserve"> </w:t>
      </w:r>
      <w:r>
        <w:rPr>
          <w:rFonts w:ascii="Times New Roman;serif" w:hAnsi="Times New Roman;serif"/>
          <w:b w:val="false"/>
          <w:color w:val="000000"/>
          <w:sz w:val="20"/>
        </w:rPr>
        <w:t>See Item 1A. “</w:t>
      </w:r>
      <w:r>
        <w:rPr>
          <w:rFonts w:ascii="Times New Roman;serif" w:hAnsi="Times New Roman;serif"/>
          <w:b w:val="false"/>
          <w:i/>
          <w:color w:val="000000"/>
          <w:sz w:val="20"/>
        </w:rPr>
        <w:t>Risk Factors—</w:t>
      </w:r>
      <w:hyperlink w:anchor="i3bdb262bfe7a4b1abf2baedb35b201e6_630561">
        <w:r>
          <w:rPr>
            <w:rStyle w:val="InternetLink"/>
            <w:rFonts w:ascii="Times New Roman;serif" w:hAnsi="Times New Roman;serif"/>
            <w:b w:val="false"/>
            <w:i/>
            <w:color w:val="0000FF"/>
            <w:sz w:val="20"/>
            <w:u w:val="single"/>
          </w:rPr>
          <w:t>Our clinical trials may fail to adequately demonstrate the safety and efficacy of our product candidates, which would prevent or delay regulatory approval and commercialization of other product candidates</w:t>
        </w:r>
      </w:hyperlink>
      <w:r>
        <w:rPr>
          <w:color w:val="000000"/>
        </w:rPr>
        <w:t xml:space="preserve">” </w:t>
      </w:r>
      <w:r>
        <w:rPr>
          <w:rFonts w:ascii="Times New Roman;serif" w:hAnsi="Times New Roman;serif"/>
          <w:b w:val="false"/>
          <w:color w:val="000000"/>
          <w:sz w:val="20"/>
        </w:rPr>
        <w:t xml:space="preserve">in this Annual Report. </w:t>
      </w:r>
    </w:p>
    <w:p>
      <w:pPr>
        <w:pStyle w:val="TextBody"/>
        <w:bidi w:val="0"/>
        <w:spacing w:lineRule="auto" w:line="288" w:before="360" w:after="283"/>
        <w:jc w:val="left"/>
        <w:rPr>
          <w:rFonts w:ascii="Times New Roman;serif" w:hAnsi="Times New Roman;serif"/>
          <w:b/>
          <w:color w:val="1E4D8C"/>
          <w:sz w:val="24"/>
        </w:rPr>
      </w:pPr>
      <w:r>
        <w:rPr>
          <w:rFonts w:ascii="Times New Roman;serif" w:hAnsi="Times New Roman;serif"/>
          <w:b/>
          <w:color w:val="1E4D8C"/>
          <w:sz w:val="24"/>
        </w:rPr>
        <w:t>OUR STRATEGY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aim to become a leading global immunotherapy company by developing therapies to address serious unmet needs in oncology and infectious diseases. The key elements of our strategy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building commercial infrastructure and expanding partnerships to support the global adoption of ANKTIVA as a backbone lymphocyte-stimulating agent. With FDA approval in April 2024, a permanent J-code (J9028) effective in January 2025, payer coverage exceeding 240 million lives in the U.S., and international approvals in the UK, EU, and Saudi Arabia, we are establishing global access pathways for patients, including new commercial partnerships with Accord Healthcare in the EU, and Cigalah Healthcare and Biopharma in the Middle East;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accelerating product candidates generated by our Cancer BioShield platform toward potential registration in difficult to treat oncological and infectious disease indications in large market segments, including oncology-induced lymphopenia, bladder, lung and pancreatic cancers, and GBM and NHL;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continuously refining our pipeline based on clinical data, regulatory feedback, competitive landscape, and resource allocation;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continuing to prospect, license, and acquire technologies to complement and strengthen our Cancer BioShield platform and product candidates—whether used as single agents or in combination—in order to optimize responses of the innate and adaptive immune systems to generate cellular memory against multiple tumor types and infectious diseases;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cultivating new partnerships and expanding collaborations to advance ANKTIVA and our pipeline efficiently. </w:t>
      </w:r>
    </w:p>
    <w:p>
      <w:pPr>
        <w:pStyle w:val="TextBody"/>
        <w:bidi w:val="0"/>
        <w:spacing w:lineRule="auto" w:line="288" w:before="240" w:after="283"/>
        <w:jc w:val="left"/>
        <w:rPr>
          <w:rFonts w:ascii="Times New Roman;serif" w:hAnsi="Times New Roman;serif"/>
          <w:b/>
          <w:color w:val="1B4486"/>
          <w:sz w:val="24"/>
        </w:rPr>
      </w:pPr>
      <w:r>
        <w:rPr>
          <w:rFonts w:ascii="Times New Roman;serif" w:hAnsi="Times New Roman;serif"/>
          <w:b/>
          <w:color w:val="1B4486"/>
          <w:sz w:val="24"/>
        </w:rPr>
        <w:t>ANKTIVA: OUR APPROVED PRODUCT</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Product Description and Mechanism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ANKTIVA is a first-in-class IL-15 receptor superagonist antibody-cytokine fusion protein. The FDA approved ANKTIVA with BCG in April 2024 for the treatment of adult patients with BCG-unresponsive NMIBC CIS with or without papillary tumors.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ANKTIVA was approved with a label indicating an immunological mechanism of action that proliferates and activates NK cells, CD8+ T cells, and memory T cells without the proliferation of immunosuppressive Tregs.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cytokine IL-15 supports the immune system by influencing the development, maintenance, and function of NK cells and CD8+ killer T cells. ANKTIVA consists of an IL-15 mutant (IL-15N72D) fused with an IL-15Rα , which binds with high affinity to IL-15 receptors on NK, CD4+, and CD8+ T cells.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2"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Pharmacokinetic and Pharmacodynamic Properties</w:t>
      </w:r>
    </w:p>
    <w:p>
      <w:pPr>
        <w:pStyle w:val="TextBody"/>
        <w:bidi w:val="0"/>
        <w:spacing w:lineRule="auto" w:line="288" w:before="120" w:after="283"/>
        <w:jc w:val="left"/>
        <w:rPr/>
      </w:pPr>
      <w:r>
        <w:rPr>
          <w:rFonts w:ascii="Times New Roman;serif" w:hAnsi="Times New Roman;serif"/>
          <w:b/>
          <w:color w:val="000000"/>
          <w:sz w:val="20"/>
        </w:rPr>
        <w:t xml:space="preserve">QUILT-1004 (Healthy Volunteers): </w:t>
      </w:r>
      <w:r>
        <w:rPr>
          <w:rFonts w:ascii="Times New Roman;serif" w:hAnsi="Times New Roman;serif"/>
          <w:b w:val="false"/>
          <w:color w:val="000000"/>
          <w:sz w:val="20"/>
        </w:rPr>
        <w:t>A Phase 1 study in 14 healthy adult volunteers evaluated the pharmacokinetic, safety, and immunologic profile of ANKTIVA. Subjects received two subcutaneous doses (10 μg/kg followed 24 days later by 20 μg/kg) and were monitored for nine consecutive days after each dose.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Key findings from this study: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Serum half-life of approximately 20 hours (compared to &lt;1 hour for recombinant IL-15)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Peak concentrations occurring 10-15 hours post-dose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Well-tolerated, with the most common adverse events being mild injection-site reactions, chills, and pyrexia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No grade 3 or higher or serious adverse events reported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Greater than 3-fold increase in absolute NK cell count persisting for 24 days or more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22-fold rise in proliferating NK cells (Ki-67 staining)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27-fold increase in CD8+ T cells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11-fold rise in CD4+ T cells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No expansion of immunosuppressive Tregs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Mean ALC exceeding 1,200 cells/μL in the majority of participants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pharmacodynamic outcomes in healthy volunteers provide mechanistic support for the lymphopenia-reversal observed in the Phase 2 QUILT-3.055 NSCLC study and other clinical programs.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we announced results from two studies in 151 patients spanning first-, second-, and later-line disease in NSCLC, showing that ANKTIVA demonstrated statistically significant immune restoration and a consistent association between lymphocyte recovery and improved survival in checkpoint-experienced patients.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 second- and later-line patients, responders (defined as achievement or maintenance of an on-treatment ALC ≥ 1.0 × 10³/μL based on a mean on treatment ALC ≥ 1.0 × 10³/μL) experienced significantly longer overall survival compared with non-responders (median overall survival 16.2 vs 11.8 months; hazard ratio 0.52; p=0.0369), directly linking immune restoration to clinical benefit.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Patients achieving higher immune competence (ALC ≥1.2 ×10³ cells/µL) demonstrated additional survival benefit, with median overall survival of 21.1 months (hazard ratio 0.33; p=0.0009), independent of PD-L1 status, exceeding historical overall survival of 7-9 months with standard-of-care chemotherapy.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3"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1B4486"/>
          <w:sz w:val="24"/>
        </w:rPr>
      </w:pPr>
      <w:r>
        <w:rPr>
          <w:rFonts w:ascii="Times New Roman;serif" w:hAnsi="Times New Roman;serif"/>
          <w:b/>
          <w:color w:val="1B4486"/>
          <w:sz w:val="24"/>
        </w:rPr>
        <w:t>OUR CANCER BIOSHIELD PLATFORM</w:t>
      </w:r>
    </w:p>
    <w:p>
      <w:pPr>
        <w:pStyle w:val="TextBody"/>
        <w:bidi w:val="0"/>
        <w:spacing w:before="240" w:after="283"/>
        <w:jc w:val="center"/>
        <w:rPr/>
      </w:pPr>
      <w:r>
        <w:rPr/>
        <w:drawing>
          <wp:inline distT="0" distB="0" distL="0" distR="0">
            <wp:extent cx="6629400" cy="3524250"/>
            <wp:effectExtent l="0" t="0" r="0" b="0"/>
            <wp:docPr id="3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0" descr=""/>
                    <pic:cNvPicPr>
                      <a:picLocks noChangeAspect="1" noChangeArrowheads="1"/>
                    </pic:cNvPicPr>
                  </pic:nvPicPr>
                  <pic:blipFill>
                    <a:blip r:embed="rId11"/>
                    <a:stretch>
                      <a:fillRect/>
                    </a:stretch>
                  </pic:blipFill>
                  <pic:spPr bwMode="auto">
                    <a:xfrm>
                      <a:off x="0" y="0"/>
                      <a:ext cx="6629400" cy="3524250"/>
                    </a:xfrm>
                    <a:prstGeom prst="rect">
                      <a:avLst/>
                    </a:prstGeom>
                  </pic:spPr>
                </pic:pic>
              </a:graphicData>
            </a:graphic>
          </wp:inline>
        </w:drawing>
      </w:r>
      <w:bookmarkStart w:id="9" w:name="i-10"/>
      <w:bookmarkEnd w:id="9"/>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Cancer BioShield platform comprises multiple therapeutic modalities designed to activate both innate and adaptive immune responses:</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Platform Components Addressing the Immune System</w:t>
      </w:r>
    </w:p>
    <w:tbl>
      <w:tblPr>
        <w:tblW w:w="7529" w:type="dxa"/>
        <w:jc w:val="left"/>
        <w:tblInd w:w="0" w:type="dxa"/>
        <w:tblLayout w:type="fixed"/>
        <w:tblCellMar>
          <w:top w:w="28" w:type="dxa"/>
          <w:left w:w="28" w:type="dxa"/>
          <w:bottom w:w="28" w:type="dxa"/>
          <w:right w:w="28" w:type="dxa"/>
        </w:tblCellMar>
      </w:tblPr>
      <w:tblGrid>
        <w:gridCol w:w="993"/>
        <w:gridCol w:w="873"/>
        <w:gridCol w:w="878"/>
        <w:gridCol w:w="1401"/>
        <w:gridCol w:w="1401"/>
        <w:gridCol w:w="1983"/>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Platform Component</w:t>
            </w:r>
          </w:p>
        </w:tc>
        <w:tc>
          <w:tcPr>
            <w:tcW w:w="4785"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16"/>
                <w:shd w:fill="1B4486" w:val="clear"/>
              </w:rPr>
            </w:pPr>
            <w:r>
              <w:rPr>
                <w:rFonts w:ascii="Times New Roman;serif" w:hAnsi="Times New Roman;serif"/>
                <w:b w:val="false"/>
                <w:color w:val="FFFFFF"/>
                <w:sz w:val="16"/>
                <w:shd w:fill="1B4486" w:val="clear"/>
              </w:rPr>
              <w:t>Key Modalities</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Cytokine Fusion Proteins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(Innate &amp; Adaptive Immune System)</w:t>
            </w:r>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vivo Activation of NK, Killer T and T memory cells:</w:t>
            </w:r>
          </w:p>
          <w:p>
            <w:pPr>
              <w:pStyle w:val="TableContents"/>
              <w:bidi w:val="0"/>
              <w:spacing w:lineRule="auto" w:line="288" w:before="0" w:after="0"/>
              <w:jc w:val="left"/>
              <w:rPr/>
            </w:pPr>
            <w:r>
              <w:rPr>
                <w:rFonts w:ascii="Times New Roman;serif" w:hAnsi="Times New Roman;serif"/>
                <w:b w:val="false"/>
                <w:color w:val="000000"/>
                <w:sz w:val="18"/>
              </w:rPr>
              <w:t>ANKTIVA (IL-15 receptor superagonist fusion</w:t>
            </w: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DNA and Vaccine Vectors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(Adaptive Immune System)</w:t>
            </w:r>
          </w:p>
        </w:tc>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hAd5 vectors targeting:</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PSA</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Brachyury</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CEA</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MUC1</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HPV [E6/E7]</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Neoantigens</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Nucleocapsid</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NK Cell Therapies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(Innate Immune System)</w:t>
            </w:r>
          </w:p>
        </w:tc>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 NK Platform:</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CD 19 CAR-NK (t-haNK)</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PD-L1 CAR-NK (t-haNK)</w:t>
            </w:r>
          </w:p>
          <w:p>
            <w:pPr>
              <w:pStyle w:val="TableContents"/>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Apheresis Platform:</w:t>
            </w:r>
          </w:p>
          <w:p>
            <w:pPr>
              <w:pStyle w:val="TableContents"/>
              <w:bidi w:val="0"/>
              <w:spacing w:lineRule="auto" w:line="288" w:before="0" w:after="0"/>
              <w:ind w:left="0" w:right="0" w:firstLine="360"/>
              <w:jc w:val="left"/>
              <w:rPr>
                <w:color w:val="000000"/>
              </w:rPr>
            </w:pPr>
            <w:r>
              <w:rPr>
                <w:color w:val="000000"/>
              </w:rPr>
              <w:t xml:space="preserve">– </w:t>
            </w:r>
            <w:r>
              <w:rPr>
                <w:rFonts w:ascii="Times New Roman;serif" w:hAnsi="Times New Roman;serif"/>
                <w:b w:val="false"/>
                <w:color w:val="000000"/>
                <w:sz w:val="20"/>
              </w:rPr>
              <w:t>M-ceNK (autologous and allogeneic)</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Cytokine Fusion Proteins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Cytokine fusion proteins, such as ANKTIVA, represent a novel class of biologics that improve immune responses by enhancing the therapeutic potential of cytokines and promoting lymphocyte infiltration at a site of disease. The cytokine IL-15 plays a crucial role in the immune system by affecting the development, maintenance, and function of key immune cells—NK and CD8+ killer T cells—that are involved in killing cancer cells. ANKTIVA is a first-in-class IL-15 receptor superagonist IgG1 fusion complex, consisting of an IL-15 mutant (IL-15N72D) fused with an IL-15Rα, which binds with high affinity to IL-15 receptors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NK, CD4+, and CD8+ T cells. This fusion complex of ANKTIVA, which confers stability and longer half-life than recombinant or native IL-15, mimics the natural biological properties of the membrane-bound IL-15Rα, delivering IL-15 by dendritic cells and drives the activation and proliferation of NK cells with the generation of memory killer T cells that have retained immune memory against these tumor clones. By activating NK cells, ANKTIVA overcomes the tumor escape phase of clones resistant to T cells without stimulating immunosuppressive Tregs and restores memory T cell activity with resultant prolonged duration of complete response. Further, by stimulating the release of interferon-γ, ANKTIVA restores MHC-I expression, making more tumor cells targets for T cell killing. As evidenced by its ability to increase lymphocyte counts in healthy adults in Phase 1 testing, ANKTIVA also has the potential to rescue lymphopenia, which is associated with poor prognosis in cancer before treatment or as a consequence of chemo or radiation therapy. </w:t>
      </w:r>
    </w:p>
    <w:p>
      <w:pPr>
        <w:pStyle w:val="TextBody"/>
        <w:bidi w:val="0"/>
        <w:spacing w:lineRule="auto" w:line="288" w:before="240" w:after="283"/>
        <w:jc w:val="left"/>
        <w:rPr/>
      </w:pPr>
      <w:r>
        <w:rPr>
          <w:rFonts w:ascii="Times New Roman;serif" w:hAnsi="Times New Roman;serif"/>
          <w:b w:val="false"/>
          <w:color w:val="000000"/>
          <w:sz w:val="20"/>
          <w:shd w:fill="FFFFFF" w:val="clear"/>
        </w:rPr>
        <w:t>ANKTIVA’s mechanisms-of-action make it an ideal ‘backbone’ for combination therapy with the company’s platforms, such as second-generation hAd5 vaccines, off-the-shelf CAR-engineered NK cells, and M-ceNK cells, as well as other therapeutics including BCG, targeted antibodie</w:t>
      </w:r>
      <w:r>
        <w:rPr>
          <w:rFonts w:ascii="Times New Roman;serif" w:hAnsi="Times New Roman;serif"/>
          <w:b w:val="false"/>
          <w:color w:val="000000"/>
          <w:sz w:val="20"/>
        </w:rPr>
        <w:t xml:space="preserve">s, and CPIs.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Leveraging ANKTIVA’s success, we are developing multi-functional cytokine fusion proteins targeting </w:t>
      </w:r>
      <w:r>
        <w:rPr>
          <w:rFonts w:ascii="Times New Roman;serif" w:hAnsi="Times New Roman;serif"/>
          <w:b w:val="false"/>
          <w:color w:val="000000"/>
          <w:sz w:val="20"/>
        </w:rPr>
        <w:t xml:space="preserve">TGF-ß, </w:t>
      </w:r>
      <w:r>
        <w:rPr>
          <w:rFonts w:ascii="Times New Roman;serif" w:hAnsi="Times New Roman;serif"/>
          <w:b w:val="false"/>
          <w:color w:val="000000"/>
          <w:sz w:val="20"/>
          <w:shd w:fill="FFFFFF" w:val="clear"/>
        </w:rPr>
        <w:t xml:space="preserve">PD-L1, CD16, CD20, and comprising </w:t>
      </w:r>
      <w:r>
        <w:rPr>
          <w:rFonts w:ascii="Times New Roman;serif" w:hAnsi="Times New Roman;serif"/>
          <w:b w:val="false"/>
          <w:color w:val="000000"/>
          <w:sz w:val="20"/>
        </w:rPr>
        <w:t xml:space="preserve">IL-12, IL-15, and IL-21, amongst others,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further</w:t>
      </w:r>
      <w:r>
        <w:rPr>
          <w:color w:val="000000"/>
          <w:shd w:fill="FFFFFF" w:val="clear"/>
        </w:rPr>
        <w:t xml:space="preserve"> </w:t>
      </w:r>
      <w:r>
        <w:rPr>
          <w:rFonts w:ascii="Times New Roman;serif" w:hAnsi="Times New Roman;serif"/>
          <w:b w:val="false"/>
          <w:color w:val="000000"/>
          <w:sz w:val="20"/>
          <w:shd w:fill="FFFFFF" w:val="clear"/>
        </w:rPr>
        <w:t xml:space="preserve">enhance NK and T cell activation directed to the tumor microenvironment or virally-infected cells and to modulate the systemic and local immune response to accelerate immunogenic cell death.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DNA and Vaccine Vectors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developed and/or acquired rights to multiple vaccine delivery technologies for oncology to deliver common TAAs, and neoepitopes (expressed only by cancer cells) and for infectious diseases to target key viruses. These technologies can deliver DNA and protein subunits to induce B and T cell memory through activation of both CD4+ and CD8+ T cells along with antibody (humoral) responses.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Adenovirus is a well-established vector that can be utilized as a vaccine platform to stimulate the immune system, however there is risk for a treated person to develop anti-adenovirus immunity. Our second generation hAd5 vector has unique deletions in the early 1 (E1), early 2 (E2b), and early 3 (E3) regions (hAd5 [E1-, E2b-, E3-]), which allows it to be effective in the presence of pre-existing adenovirus immunity and lowers the risk of generating </w:t>
      </w:r>
      <w:r>
        <w:rPr>
          <w:rFonts w:ascii="Times New Roman;serif" w:hAnsi="Times New Roman;serif"/>
          <w:b w:val="false"/>
          <w:color w:val="000000"/>
          <w:sz w:val="20"/>
        </w:rPr>
        <w:t>de novo</w:t>
      </w:r>
      <w:r>
        <w:rPr>
          <w:color w:val="000000"/>
          <w:shd w:fill="FFFFFF" w:val="clear"/>
        </w:rPr>
        <w:t xml:space="preserve"> </w:t>
      </w:r>
      <w:r>
        <w:rPr>
          <w:rFonts w:ascii="Times New Roman;serif" w:hAnsi="Times New Roman;serif"/>
          <w:b w:val="false"/>
          <w:color w:val="000000"/>
          <w:sz w:val="20"/>
          <w:shd w:fill="FFFFFF" w:val="clear"/>
        </w:rPr>
        <w:t>vector-directed immunity. We have developed several hAd5 candidates that have been evaluated in multiple clinical trials as potential vaccines for and treatments of certain cancers and infectious diseases. Importantly, these product candidates have shown an ability to overcome previous adenovirus immunity in preclinical models and in cancer patients.</w:t>
      </w:r>
      <w:r>
        <w:rPr>
          <w:color w:val="000000"/>
        </w:rPr>
        <w:t xml:space="preserve"> </w:t>
      </w:r>
      <w:r>
        <w:rPr>
          <w:rFonts w:ascii="Times New Roman;serif" w:hAnsi="Times New Roman;serif"/>
          <w:b w:val="false"/>
          <w:color w:val="000000"/>
          <w:sz w:val="20"/>
        </w:rPr>
        <w:t xml:space="preserve">In oncology, we are clinically evaluating hAd5 candidates in combination with ANKTIVA to yield immunological immunity in colon cancer (hAd5 TAAs CEA, MUC1, Brachyury; collectively the TriAd) and prostate cancer (hAd5 PSA), and as a single agent in HPV-associated cancers (hAd5 TAA [E6/E7]).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Cell Therapies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NK cell-based platforms are some of the most advanced at the clinical-stage of development in oncology. NK cells are a type of cytotoxic lymphocyte critical to the innate immune system–they play a key role targeting tumor and virally-infected cells. Activated NK cells secrete several key cytokines (IFN-γ, TNF-α, GM</w:t>
        <w:noBreakHyphen/>
        <w:t>CSF) and chemokines that can modulate the function of other innate and adaptive immune cells. Our NK platform works through innate, antibody-mediated, and CAR-directed killing mechanisms.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Off-The-Shelf Targeted CAR-NK Cells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Key attributes of our CAR-NK assets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cytotoxicity and cytokine-directed cell expansion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absence of key inhibitory receptors to maintain killing function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ADCC-targeted killing through high-affinity CD16 (Jochems 2016) – allowing engagement with IgG1-type antibodies (e.g., BAVENCIO</w:t>
      </w:r>
      <w:r>
        <w:rPr>
          <w:rFonts w:ascii="Times New Roman;serif" w:hAnsi="Times New Roman;serif"/>
          <w:b w:val="false"/>
          <w:color w:val="000000"/>
          <w:sz w:val="13"/>
        </w:rPr>
        <w:t>®</w:t>
      </w:r>
      <w:r>
        <w:rPr>
          <w:rFonts w:ascii="Times New Roman;serif" w:hAnsi="Times New Roman;serif"/>
          <w:b w:val="false"/>
          <w:color w:val="000000"/>
          <w:sz w:val="20"/>
        </w:rPr>
        <w:t>, trastuzumab, etc.)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CAR receptors such as PD-L1 and CD-19</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PD-L1 CAR-NK (PD-L1 t-haNK): potent antitumor effects against MDSCs and overcome T cell escape in multiple types of resistant tumors.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CD19 CAR-NK (CD19 t-haNK): robust ADCC antitumor activity against cancerous B cells and with potential applications for patients with r/r NHL.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clinical programs including our CAR-NK product candidates have been initiated with promising early readouts in a range of oncology indications:</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rPr>
        <w:t>PD-L1 CAR-NK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TNBC (Phase 1)</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Pancreatic cancer QUILT-88 (Phase 2)</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GBM QUILT-3.078 (Phase 2)</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CD19 t-haNK (Phase 1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r/r NHL QUILT-3.092</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r/r selected CD19+ and CD20+ NHL QUILT-106</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ANKTIVA + PD-L1 CAR-NK (t-haNK) has received FDA RMAT designation for use in combination with standard-of-care chemotherapy/radiotherapy for the reversal of lymphopenia and treatment of multiply relapsed locally advanced or metastatic pancreatic cancer.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Autologous and Allogeneic M-ceNK (World Bank of Natural Killer Cells)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NK persistence and function can be enhanced with cytokine stimulation. Our M-ceNK cells are generated from lymphocytes collected from donors that are then pre-activated </w:t>
      </w:r>
      <w:r>
        <w:rPr>
          <w:rFonts w:ascii="Times New Roman;serif" w:hAnsi="Times New Roman;serif"/>
          <w:b w:val="false"/>
          <w:color w:val="000000"/>
          <w:sz w:val="20"/>
        </w:rPr>
        <w:t>ex-vivo</w:t>
      </w:r>
      <w:r>
        <w:rPr>
          <w:color w:val="000000"/>
          <w:shd w:fill="FFFFFF" w:val="clear"/>
        </w:rPr>
        <w:t xml:space="preserve"> </w:t>
      </w:r>
      <w:r>
        <w:rPr>
          <w:rFonts w:ascii="Times New Roman;serif" w:hAnsi="Times New Roman;serif"/>
          <w:b w:val="false"/>
          <w:color w:val="000000"/>
          <w:sz w:val="20"/>
          <w:shd w:fill="FFFFFF" w:val="clear"/>
        </w:rPr>
        <w:t xml:space="preserve">by exposure to interleukins -12 (IL-12), -15 (N-803) and -18 (IL-18), which results in differentiation and acquisition of enhanced responses to cytokine re-stimulation. </w:t>
      </w:r>
      <w:r>
        <w:rPr>
          <w:rFonts w:ascii="Times New Roman;serif" w:hAnsi="Times New Roman;serif"/>
          <w:b w:val="false"/>
          <w:color w:val="000000"/>
          <w:sz w:val="20"/>
        </w:rPr>
        <w:t xml:space="preserve">The apheresis processing and cell manufacturing activities for these studies are currently performed by trained personnel using controlled, manual processes designed to ensure product quality and consistency. </w:t>
      </w:r>
      <w:r>
        <w:rPr>
          <w:rFonts w:ascii="Times New Roman;serif" w:hAnsi="Times New Roman;serif"/>
          <w:b w:val="false"/>
          <w:color w:val="000000"/>
          <w:sz w:val="20"/>
          <w:shd w:fill="FFFFFF" w:val="clear"/>
        </w:rPr>
        <w:t xml:space="preserve">M-ceNK have increased antitumor characteristics, including enhanced </w:t>
      </w:r>
      <w:r>
        <w:rPr>
          <w:rFonts w:ascii="Times New Roman;serif" w:hAnsi="Times New Roman;serif"/>
          <w:b w:val="false"/>
          <w:color w:val="000000"/>
          <w:sz w:val="20"/>
        </w:rPr>
        <w:t>IFN-γ</w:t>
      </w:r>
      <w:r>
        <w:rPr>
          <w:color w:val="000000"/>
          <w:shd w:fill="FFFFFF" w:val="clear"/>
        </w:rPr>
        <w:t xml:space="preserve"> </w:t>
      </w:r>
      <w:r>
        <w:rPr>
          <w:rFonts w:ascii="Times New Roman;serif" w:hAnsi="Times New Roman;serif"/>
          <w:b w:val="false"/>
          <w:color w:val="000000"/>
          <w:sz w:val="20"/>
          <w:shd w:fill="FFFFFF" w:val="clear"/>
        </w:rPr>
        <w:t>production and cytotoxicity against leukemic cell lines. M-ceNK cells are further distinguished by their unique cell-surface marker profile and their highly desirable feature of immune-memory, marked by their pronounced anti-cancer activity for weeks to months in duration, which has made these cells a research focus for more than a decade.</w:t>
      </w:r>
      <w:r>
        <w:rPr>
          <w:color w:val="000000"/>
        </w:rPr>
        <w:t xml:space="preserve"> </w:t>
      </w:r>
      <w:r>
        <w:rPr>
          <w:rFonts w:ascii="Times New Roman;serif" w:hAnsi="Times New Roman;serif"/>
          <w:b w:val="false"/>
          <w:color w:val="000000"/>
          <w:sz w:val="20"/>
          <w:shd w:fill="FFFFFF" w:val="clear"/>
        </w:rPr>
        <w:t xml:space="preserve">We have developed a unique ability to generate a portfolio of distinct M-ceNK cell products through the application of </w:t>
      </w:r>
      <w:r>
        <w:rPr>
          <w:rFonts w:ascii="Times New Roman;serif" w:hAnsi="Times New Roman;serif"/>
          <w:b w:val="false"/>
          <w:color w:val="000000"/>
          <w:sz w:val="20"/>
        </w:rPr>
        <w:t xml:space="preserve">our proprietary technology and cytokines. Also, we can manufacture these cell products for clinical delivery using our proprietary methods and overall expertise in scale manufacturing of NK cell-based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initiated or completed a series of trials evaluating the safety and feasibility of the technology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NK2022 &amp; NK2023 (Cancer Patients &amp; Healthy Donors): 64 subjects completed apheresis and M-ceNK manufacturing cell therapy process development for robotic training and future AI robot manufacturing. Cells cryopreserved and stored.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QUILT-3.076: Safety Phase 1 of apheresis and M-ceNK and ANKTIVA completed: Solid tumor trial with apheresis followed by M-ceNK and ANKTIVA that enrolled 10 patients treated with autologous M-ceNK infusion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QUILT-105 (Healthy Volunteers): Apheresis followed by ANKTIVA stimulation prior to second apheresis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our studies have demonstrated that M-ceNK cells can be reliably manufactured, cryopreserved, and administered with acceptable safety and tolerability profiles and evidence of immune activation, supporting continued clinical development. We continue to improve the workflow and manufacturing techniques and intend to incorporate increased artificial intelligence and fully robotic automation over time to support scalability in our cellular therapies as the program advances.</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Platform Components Addressing the Immune System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key elements of our pipeline include clinical-stage programs in the following indications: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Bladder Cancer: BCG-unresponsive NMIBC CIS with or without papillary tumors (approved), BCG-unresponsive papillary, BCG-naïve NMIBC</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Lung Cancer: Progressing, metastatic NSCLC in combination with CPIs (conditional approval in Saudi Arabia)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Lymphopenia: Tumor-agnostic treatment of chemotherapy/radiation-induced lymphopenia (EAP authorized)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Pancreatic Cancer: Advanced/metastatic disease (RMAT designation)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Glioblastoma: Recurrent GBM (registration trial)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Non-Hodgkin Lymphoma: Waldenström macroglobulinemia and other CD19+/CD20+ lymphomas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Colorectal Cancer/Lynch Syndrome: Cancer prevention in high-risk patients (NCI-sponsored)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Prostate Cancer: High-risk prostate cancer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Ovarian Cancer: Platinum-resistant ovarian cancer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Infectious Diseases: HIV, Long COVID, universal nucleocapsid vaccine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Apheresis Platform: M-ceNK with cryopreservation and storage </w:t>
      </w:r>
    </w:p>
    <w:p>
      <w:pPr>
        <w:pStyle w:val="TextBody"/>
        <w:bidi w:val="0"/>
        <w:spacing w:lineRule="auto" w:line="288" w:before="240" w:after="283"/>
        <w:jc w:val="left"/>
        <w:rPr>
          <w:rFonts w:ascii="Times New Roman;serif" w:hAnsi="Times New Roman;serif"/>
          <w:b/>
          <w:color w:val="1B4486"/>
          <w:sz w:val="24"/>
        </w:rPr>
      </w:pPr>
      <w:r>
        <w:rPr>
          <w:rFonts w:ascii="Times New Roman;serif" w:hAnsi="Times New Roman;serif"/>
          <w:b/>
          <w:color w:val="1B4486"/>
          <w:sz w:val="24"/>
        </w:rPr>
        <w:t>PIPELINE SUMMARY</w:t>
      </w:r>
    </w:p>
    <w:tbl>
      <w:tblPr>
        <w:tblW w:w="10205" w:type="dxa"/>
        <w:jc w:val="left"/>
        <w:tblInd w:w="0" w:type="dxa"/>
        <w:tblLayout w:type="fixed"/>
        <w:tblCellMar>
          <w:top w:w="28" w:type="dxa"/>
          <w:left w:w="28" w:type="dxa"/>
          <w:bottom w:w="28" w:type="dxa"/>
          <w:right w:w="28" w:type="dxa"/>
        </w:tblCellMar>
      </w:tblPr>
      <w:tblGrid>
        <w:gridCol w:w="718"/>
        <w:gridCol w:w="593"/>
        <w:gridCol w:w="595"/>
        <w:gridCol w:w="754"/>
        <w:gridCol w:w="754"/>
        <w:gridCol w:w="759"/>
        <w:gridCol w:w="444"/>
        <w:gridCol w:w="444"/>
        <w:gridCol w:w="453"/>
        <w:gridCol w:w="1518"/>
        <w:gridCol w:w="1499"/>
        <w:gridCol w:w="1515"/>
        <w:gridCol w:w="159"/>
      </w:tblGrid>
      <w:tr>
        <w:trPr/>
        <w:tc>
          <w:tcPr>
            <w:tcW w:w="7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Product Candidate</w:t>
            </w:r>
          </w:p>
        </w:tc>
        <w:tc>
          <w:tcPr>
            <w:tcW w:w="2267"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Indication</w:t>
            </w:r>
          </w:p>
        </w:tc>
        <w:tc>
          <w:tcPr>
            <w:tcW w:w="1341"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Phase</w:t>
            </w:r>
          </w:p>
        </w:tc>
        <w:tc>
          <w:tcPr>
            <w:tcW w:w="4532"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Status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NMIBC CIS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MHRA and SFDA approval; EU (EMA) conditional marketing authorization</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CPI</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Progressing, metastatic NSCLC</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Approved/Phase 3</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SFDA conditional approval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BCG-naïve NMIBC</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2B</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85% enrolled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papillary</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Resubmission plan</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PD-L1 CAR-NK</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Recurrent GBM</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trial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PD-L1 CAR-NK</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Pancreatic cancer</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RMAT designation</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CD19 CAR-NK + rituximab</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NHL</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QUILT-106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Lymphopenia (solid tumors)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EAP authorized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rBCG (Serum Institute)</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NMIBC</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EAP authorized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M-ceNK</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Solid tumors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Ad-HPV</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HPV</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Initiated and enrolling</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1B4486"/>
          <w:sz w:val="24"/>
        </w:rPr>
      </w:pPr>
      <w:r>
        <w:rPr>
          <w:rFonts w:ascii="Times New Roman;serif" w:hAnsi="Times New Roman;serif"/>
          <w:b/>
          <w:color w:val="1B4486"/>
          <w:sz w:val="24"/>
        </w:rPr>
        <w:t>CLINICAL DEVELOPMENT PROGRAMS</w:t>
      </w:r>
    </w:p>
    <w:p>
      <w:pPr>
        <w:pStyle w:val="TextBody"/>
        <w:bidi w:val="0"/>
        <w:spacing w:lineRule="auto" w:line="288" w:before="60" w:after="283"/>
        <w:jc w:val="left"/>
        <w:rPr>
          <w:rFonts w:ascii="Times New Roman;serif" w:hAnsi="Times New Roman;serif"/>
          <w:b/>
          <w:color w:val="1B4486"/>
          <w:sz w:val="24"/>
        </w:rPr>
      </w:pPr>
      <w:r>
        <w:rPr>
          <w:rFonts w:ascii="Times New Roman;serif" w:hAnsi="Times New Roman;serif"/>
          <w:b/>
          <w:color w:val="1B4486"/>
          <w:sz w:val="24"/>
        </w:rPr>
        <w:t>Bladder Cancer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According to the American Cancer Society, bladder cancer is the sixth most diagnosed cancer in the U.S., with an estimated 84,530 new cases and 17,870 deaths expected in 2026. NMIBC represents approximately 75% of all bladder cancers. Radical cystectomy is a treatment option for unresponsive NMIBC; however, the procedure significantly impacts quality of life.</w:t>
      </w:r>
    </w:p>
    <w:p>
      <w:pPr>
        <w:pStyle w:val="TextBody"/>
        <w:bidi w:val="0"/>
        <w:spacing w:lineRule="auto" w:line="288" w:before="180" w:after="283"/>
        <w:jc w:val="left"/>
        <w:rPr/>
      </w:pPr>
      <w:r>
        <w:rPr>
          <w:rFonts w:ascii="Times New Roman;serif" w:hAnsi="Times New Roman;serif"/>
          <w:b/>
          <w:color w:val="000000"/>
          <w:sz w:val="20"/>
        </w:rPr>
        <w:t xml:space="preserve">Regulatory Designations: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(BCG-unresponsive NMIBC CIS with or without papillary tumors);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 xml:space="preserve">(BCG-unresponsive NMIBC with papillary tumors, BCG-naive NMIBC with CIS).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Seminal patents covering intravesical administration of BCG and ANKTIVA have been issued with term coverage until 2035.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1D4188"/>
          <w:sz w:val="22"/>
        </w:rPr>
      </w:pPr>
      <w:r>
        <w:rPr>
          <w:rFonts w:ascii="Times New Roman;serif" w:hAnsi="Times New Roman;serif"/>
          <w:b/>
          <w:color w:val="1D4188"/>
          <w:sz w:val="22"/>
        </w:rPr>
        <w:t>BCG-Unresponsive NMIBC CIS (Cohort A) QUILT-3.032</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 xml:space="preserve">Phase 2/3 open-label multi-center trial. Patients received BCG with ANKTIVA weekly for six consecutive weeks during induction, followed by three weekly maintenance instillations at three-month intervals for up to 12 months and then at month 18. Patients with no disease or low-grade Ta disease at months 24, 30, and 36 were eligible for continued BCG with ANKTIVA treatment (3 weekly instillations), at the principal investigators’ discretion. </w:t>
      </w:r>
    </w:p>
    <w:p>
      <w:pPr>
        <w:pStyle w:val="TextBody"/>
        <w:bidi w:val="0"/>
        <w:spacing w:lineRule="auto" w:line="288" w:before="120" w:after="283"/>
        <w:jc w:val="left"/>
        <w:rPr/>
      </w:pPr>
      <w:r>
        <w:rPr>
          <w:rFonts w:ascii="Times New Roman;serif" w:hAnsi="Times New Roman;serif"/>
          <w:b/>
          <w:color w:val="000000"/>
          <w:sz w:val="20"/>
        </w:rPr>
        <w:t xml:space="preserve">Primary Endpoint: </w:t>
      </w:r>
      <w:r>
        <w:rPr>
          <w:rFonts w:ascii="Times New Roman;serif" w:hAnsi="Times New Roman;serif"/>
          <w:b w:val="false"/>
          <w:color w:val="000000"/>
          <w:sz w:val="20"/>
        </w:rPr>
        <w:t xml:space="preserve">Complete response rate at any time of 30% or greater with a lower bound of 95% CI of 20% or greater. Complete response, or the disappearance of measurable disease in response to treatment, is evaluated at three months or six months following initial administration of BCG plus ANKTIVA (and every three months thereafter until 24 months). This endpoint would be achieved once at least 24 of the 80 patients in the trial achieve a complete response.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(published in NEJM Evidence, November 2022):</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Complete Response Rate: 71% (58 of 82 patients; 95% CI: 59.6%, 80.3%)</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Median Duration of Complete Response: 26.6 months (95% CI: 9.9, upper bound not reached)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24-Month Cystectomy Avoidance: 91.4% in patients with complete response; 84.1% in all patients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24-Month Disease-Specific Survival: 100%</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Safety: 1% treatment-related serious adverse events; 0% immune-related serious adverse events</w:t>
      </w:r>
    </w:p>
    <w:p>
      <w:pPr>
        <w:pStyle w:val="TextBody"/>
        <w:bidi w:val="0"/>
        <w:spacing w:lineRule="auto" w:line="288" w:before="120" w:after="283"/>
        <w:jc w:val="left"/>
        <w:rPr/>
      </w:pPr>
      <w:r>
        <w:rPr>
          <w:rFonts w:ascii="Times New Roman;serif" w:hAnsi="Times New Roman;serif"/>
          <w:b/>
          <w:color w:val="000000"/>
          <w:sz w:val="20"/>
        </w:rPr>
        <w:t xml:space="preserve">Updated Results (December 2024): </w:t>
      </w:r>
      <w:r>
        <w:rPr>
          <w:rFonts w:ascii="Times New Roman;serif" w:hAnsi="Times New Roman;serif"/>
          <w:b w:val="false"/>
          <w:color w:val="000000"/>
          <w:sz w:val="20"/>
        </w:rPr>
        <w:t>Full enrollment of 100 patients completed. Complete response rate of 71% maintained. Durable responses extending to 54 months. This data supported the EMA’s conditional marketing authorization that was granted in February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Regulatory Status: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April 2024, the FDA approved ANKTIVA with BCG for the treatment of adult patients with BCG-unresponsive NMIBC CIS with or without papillary tumors (after we had resubmitted our BLA in May 2023 after an initial CRL related to deficiencies associated with the FDA’s pre-license inspection of our third-party CMOs, among others). In July 2025, ANKTIVA received approval from the MHRA for the UK and in January 2026 received accelerated approval from the SFDA in Saudi Arabia in the same indication. In February 2026, the European Commission granted conditional marketing authorization in the EU for ANKTIVA in combination with BCG for adult patients with BCG-unresponsive NMIBC CIS with or without papillary tumors. We are required to comply with certain post-marketing commitments, including completion of our QUILT-3.032 clinical trial and annual reporting for up to four years, with a final report submission to the FDA by the end of 2029.</w:t>
      </w:r>
    </w:p>
    <w:p>
      <w:pPr>
        <w:pStyle w:val="TextBody"/>
        <w:bidi w:val="0"/>
        <w:spacing w:lineRule="auto" w:line="288" w:before="240" w:after="283"/>
        <w:jc w:val="left"/>
        <w:rPr>
          <w:rFonts w:ascii="Times New Roman;serif" w:hAnsi="Times New Roman;serif"/>
          <w:b/>
          <w:color w:val="1D4188"/>
          <w:sz w:val="22"/>
        </w:rPr>
      </w:pPr>
      <w:r>
        <w:rPr>
          <w:rFonts w:ascii="Times New Roman;serif" w:hAnsi="Times New Roman;serif"/>
          <w:b/>
          <w:color w:val="1D4188"/>
          <w:sz w:val="22"/>
        </w:rPr>
        <w:t>BCG-Unresponsive NMIBC With Papillary Tumors (Cohort B), QUILT-3.032</w:t>
      </w:r>
    </w:p>
    <w:p>
      <w:pPr>
        <w:pStyle w:val="TextBody"/>
        <w:bidi w:val="0"/>
        <w:spacing w:lineRule="auto" w:line="288" w:before="120" w:after="283"/>
        <w:jc w:val="left"/>
        <w:rPr/>
      </w:pPr>
      <w:r>
        <w:rPr>
          <w:rFonts w:ascii="Times New Roman;serif" w:hAnsi="Times New Roman;serif"/>
          <w:b/>
          <w:color w:val="000000"/>
          <w:sz w:val="22"/>
        </w:rPr>
        <w:t>Trial</w:t>
      </w:r>
      <w:r>
        <w:rPr>
          <w:color w:val="000000"/>
        </w:rPr>
        <w:t xml:space="preserve"> </w:t>
      </w:r>
      <w:r>
        <w:rPr>
          <w:rFonts w:ascii="Times New Roman;serif" w:hAnsi="Times New Roman;serif"/>
          <w:b/>
          <w:color w:val="000000"/>
          <w:sz w:val="20"/>
        </w:rPr>
        <w:t xml:space="preserve">Design: </w:t>
      </w:r>
      <w:r>
        <w:rPr>
          <w:rFonts w:ascii="Times New Roman;serif" w:hAnsi="Times New Roman;serif"/>
          <w:b w:val="false"/>
          <w:color w:val="000000"/>
          <w:sz w:val="20"/>
        </w:rPr>
        <w:t>Phase 2 open-label multi-center trial. Patients received BCG plus ANKTIVA weekly for six consecutive weeks during induction. The patients also receive additional treatment including three weekly maintenance instillations every three months for up to 12 months and then every nine months for up to 24 months</w:t>
      </w:r>
    </w:p>
    <w:p>
      <w:pPr>
        <w:pStyle w:val="TextBody"/>
        <w:bidi w:val="0"/>
        <w:spacing w:lineRule="auto" w:line="288" w:before="120" w:after="283"/>
        <w:jc w:val="left"/>
        <w:rPr/>
      </w:pPr>
      <w:r>
        <w:rPr>
          <w:rFonts w:ascii="Times New Roman;serif" w:hAnsi="Times New Roman;serif"/>
          <w:b/>
          <w:color w:val="000000"/>
          <w:sz w:val="20"/>
        </w:rPr>
        <w:t xml:space="preserve">Primary Endpoint: </w:t>
      </w:r>
      <w:r>
        <w:rPr>
          <w:rFonts w:ascii="Times New Roman;serif" w:hAnsi="Times New Roman;serif"/>
          <w:b w:val="false"/>
          <w:color w:val="000000"/>
          <w:sz w:val="20"/>
        </w:rPr>
        <w:t>12-month disease-free survival rate greater than or equal to 30% and the lower bound of the 95% CI must be greater than or equal to 20% for success. To meet the primary endpoint, 24 out of 80 patients must be disease free at 12 months.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(published in The Journal of Urology, Chang et al., January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12-Month Disease-Free Survival: 58.2% (95% CI: 46.6%, 68.2%)</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36-Month Disease-Specific Survival: 96.0% (median not reached)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36-Month Progression-Free Survival: 83.1%</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12-Month Cystectomy-Free Survival: 92.2%</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36-Month Cystectomy-Free Survival: 81.8%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 xml:space="preserve">Regulatory Status: </w:t>
      </w:r>
      <w:r>
        <w:rPr>
          <w:rFonts w:ascii="Times New Roman;serif" w:hAnsi="Times New Roman;serif"/>
          <w:b w:val="false"/>
          <w:color w:val="000000"/>
          <w:sz w:val="20"/>
        </w:rPr>
        <w:t xml:space="preserve">At a Type B meeting in December 2025, the company presented an overview of the clinical status of its papillary disease program, including more than five years of follow-up data supporting the papillary indication. Based on these discussions, the FDA recommended the company provide certain additional information for its consideration to support a potential filing and review of the sBLA initially submitted in 2025 for the papillary indication. The company submitted the requested information to the Agency in February 2026. There can be no assurance that we will be successful in our efforts to resolve the May 2025 RTF letter with the FDA and/or that our sBLA, or any newly submitted sBLA or BLA, will be accepted for filing and review in this indication in a timely manner, or at all, without the need to conduct a new RCT prior to submission, or that we will ultimately receive approval even if it is accepted for filing.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presented at ASCO 2022, the combination of BCG plus ANKTIVA (as measured in BCG-unresponsive NMIBC patients, Cohorts A and B combined from QUILT-3.032) was well-tolerated with 1% treatment-related serious adverse events, 0% immune-related serious adverse events, and 100% bladder cancer-specific overall survival at 24 months. Low-grade treatment-related adverse events include dysuria (22%), pollakiuria (20%), hematuria (17%), fatigue (16%), and urgency (12%), and all other treatment-related adverse events were seen at 7% or less.</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BCG-Naïve NMIBC with CIS, QUILT-2.005</w:t>
      </w:r>
    </w:p>
    <w:p>
      <w:pPr>
        <w:pStyle w:val="TextBody"/>
        <w:bidi w:val="0"/>
        <w:spacing w:lineRule="auto" w:line="288" w:before="120" w:after="283"/>
        <w:jc w:val="left"/>
        <w:rPr/>
      </w:pPr>
      <w:r>
        <w:rPr>
          <w:rFonts w:ascii="Times New Roman;serif" w:hAnsi="Times New Roman;serif"/>
          <w:b w:val="false"/>
          <w:color w:val="000000"/>
          <w:sz w:val="20"/>
        </w:rPr>
        <w:t xml:space="preserve">As discussed above, ANKTIVA received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designation from the FDA for the treatment of BCG-naïve NMIBC with CIS.</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Phase 2B blinded, randomized, two-cohort trial of intravesical BCG plus ANKTIVA versus BCG alone in BCG-naive patients with high-grade NMIBC.</w:t>
      </w:r>
    </w:p>
    <w:p>
      <w:pPr>
        <w:pStyle w:val="TextBody"/>
        <w:bidi w:val="0"/>
        <w:spacing w:lineRule="auto" w:line="288" w:before="120" w:after="283"/>
        <w:jc w:val="left"/>
        <w:rPr/>
      </w:pPr>
      <w:r>
        <w:rPr>
          <w:rFonts w:ascii="Times New Roman;serif" w:hAnsi="Times New Roman;serif"/>
          <w:b/>
          <w:color w:val="000000"/>
          <w:sz w:val="20"/>
        </w:rPr>
        <w:t xml:space="preserve">Enrollment: </w:t>
      </w:r>
      <w:r>
        <w:rPr>
          <w:rFonts w:ascii="Times New Roman;serif" w:hAnsi="Times New Roman;serif"/>
          <w:b w:val="false"/>
          <w:color w:val="000000"/>
          <w:sz w:val="20"/>
        </w:rPr>
        <w:t>Cohort A (CIS): 366 patients planned; Cohort B (papillary): 230 patients planned. As of January 2026, enrollment is 85% complete in Cohort A, with full enrollment expected in Q2 2026.</w:t>
      </w:r>
    </w:p>
    <w:p>
      <w:pPr>
        <w:pStyle w:val="TextBody"/>
        <w:bidi w:val="0"/>
        <w:spacing w:lineRule="auto" w:line="288" w:before="120" w:after="283"/>
        <w:jc w:val="left"/>
        <w:rPr/>
      </w:pPr>
      <w:r>
        <w:rPr>
          <w:rFonts w:ascii="Times New Roman;serif" w:hAnsi="Times New Roman;serif"/>
          <w:b/>
          <w:color w:val="000000"/>
          <w:sz w:val="20"/>
        </w:rPr>
        <w:t xml:space="preserve">Historical Data (Phase 1B, N=9 since 2014): </w:t>
      </w:r>
      <w:r>
        <w:rPr>
          <w:rFonts w:ascii="Times New Roman;serif" w:hAnsi="Times New Roman;serif"/>
          <w:b w:val="false"/>
          <w:color w:val="000000"/>
          <w:sz w:val="20"/>
        </w:rPr>
        <w:t>100% complete response rate. 8-year follow-up: all 6 evaluable patients remain disease-free with bladder preservation over a median survival period of 8.8 years.</w:t>
      </w:r>
    </w:p>
    <w:p>
      <w:pPr>
        <w:pStyle w:val="TextBody"/>
        <w:bidi w:val="0"/>
        <w:spacing w:lineRule="auto" w:line="288" w:before="120" w:after="283"/>
        <w:jc w:val="left"/>
        <w:rPr/>
      </w:pPr>
      <w:r>
        <w:rPr>
          <w:rFonts w:ascii="Times New Roman;serif" w:hAnsi="Times New Roman;serif"/>
          <w:b/>
          <w:color w:val="000000"/>
          <w:sz w:val="20"/>
        </w:rPr>
        <w:t xml:space="preserve">Interim Analysis (FDA-requested, N=43): </w:t>
      </w:r>
      <w:r>
        <w:rPr>
          <w:rFonts w:ascii="Times New Roman;serif" w:hAnsi="Times New Roman;serif"/>
          <w:b w:val="false"/>
          <w:color w:val="000000"/>
          <w:sz w:val="20"/>
        </w:rPr>
        <w:t>84% complete response rate at nine months. Statistically significant longer duration of complete response with ANKTIVA in combination with BCG compared to BCG alone.</w:t>
      </w:r>
    </w:p>
    <w:p>
      <w:pPr>
        <w:pStyle w:val="TextBody"/>
        <w:bidi w:val="0"/>
        <w:spacing w:lineRule="auto" w:line="288" w:before="120" w:after="283"/>
        <w:jc w:val="left"/>
        <w:rPr/>
      </w:pPr>
      <w:r>
        <w:rPr>
          <w:rFonts w:ascii="Times New Roman;serif" w:hAnsi="Times New Roman;serif"/>
          <w:b/>
          <w:color w:val="000000"/>
          <w:sz w:val="20"/>
        </w:rPr>
        <w:t xml:space="preserve">Timeline: </w:t>
      </w:r>
      <w:r>
        <w:rPr>
          <w:rFonts w:ascii="Times New Roman;serif" w:hAnsi="Times New Roman;serif"/>
          <w:b w:val="false"/>
          <w:color w:val="000000"/>
          <w:sz w:val="20"/>
        </w:rPr>
        <w:t>Pivotal data readout expected in the second half of 2026. BLA submission target set for late 2026 to early 2027.</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Recombinant BCG Supply Solution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2024, we announced an exclusive global arrangement with Serum Institute to supply us with rBCG for use in combination with ANKTIVA. This addresses a significant supply challenge: TICE BCG (Merck) has been the sole supplier of BCG product in the U.S. since 2012, and rationing has been ongoing since 2019. According to published surveys, 57% of U.S. urologists report being unable to treat patients due to the BCG shortage, affecting an estimated 35,000 patients annually.</w:t>
      </w:r>
    </w:p>
    <w:p>
      <w:pPr>
        <w:pStyle w:val="TextBody"/>
        <w:bidi w:val="0"/>
        <w:spacing w:lineRule="auto" w:line="288" w:before="120" w:after="283"/>
        <w:jc w:val="left"/>
        <w:rPr/>
      </w:pPr>
      <w:r>
        <w:rPr>
          <w:rFonts w:ascii="Times New Roman;serif" w:hAnsi="Times New Roman;serif"/>
          <w:b/>
          <w:color w:val="000000"/>
          <w:sz w:val="20"/>
        </w:rPr>
        <w:t xml:space="preserve">Regulatory Progress: </w:t>
      </w:r>
      <w:r>
        <w:rPr>
          <w:rFonts w:ascii="Times New Roman;serif" w:hAnsi="Times New Roman;serif"/>
          <w:b w:val="false"/>
          <w:color w:val="000000"/>
          <w:sz w:val="20"/>
        </w:rPr>
        <w:t>In February 2025, the FDA authorized an EAP for rBCG. In Q1 2025, shipments commenced under the EAP. The company continues to work with the FDA to solve this 13-year shortage.</w:t>
      </w:r>
    </w:p>
    <w:p>
      <w:pPr>
        <w:pStyle w:val="TextBody"/>
        <w:bidi w:val="0"/>
        <w:spacing w:lineRule="auto" w:line="288" w:before="240" w:after="283"/>
        <w:jc w:val="left"/>
        <w:rPr>
          <w:rFonts w:ascii="Times New Roman;serif" w:hAnsi="Times New Roman;serif"/>
          <w:b/>
          <w:color w:val="1B4486"/>
          <w:sz w:val="24"/>
        </w:rPr>
      </w:pPr>
      <w:r>
        <w:rPr>
          <w:rFonts w:ascii="Times New Roman;serif" w:hAnsi="Times New Roman;serif"/>
          <w:b/>
          <w:color w:val="1B4486"/>
          <w:sz w:val="24"/>
        </w:rPr>
        <w:t>Lung Cancer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According to the American Cancer Society, lung cancer is the second most common cancer in the U.S., with an estimated 229,410 new cases and 124,990 deaths in 2026. NSCLC accounts for approximately 83% of all lung cancer diagnoses.</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QUILT-3.055: Second-Line and Beyond NSCLC</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Single-arm Phase 2B multi-cohort basket trial of ANKTIVA and CPI combinations in patients who were actively progressing on prior PD-1/PD-L1 CPI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(presented at IASLC World Conference on Lung Cancer, September 2024 and January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Patients enrolled: 86 evaluable patients in pooled analysis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overall survival: 14.1 months (95% CI: 11.7, 17.4)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Published Historical Comparator (any therapy post-CPI, Freeman et al., 2020): 6.1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Published Historical Comparator (docetaxel + CYRAMZA, Brueckl et al., 2021): 7.5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Maximum overall survival: 58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Patients achieving ALC &gt;=1.2 x 10³ cells/µL: 80% (69/86)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overall survival in patients with ALC &gt;=1.2 x 10³ cells/µL : 15.8 months (95% CI: 12.6, 21.9)</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overall survival in patients with ALC &lt;1.2 : 11.5 months (95% CI: 4.2, 13.3); p=0.0057</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Among 147 patients enrolled in QUILT-3.055, the common ANKTIVA attributed grade 1 and 2 adverse events included: injection-site reaction (84%), chills (44%), fatigue (30%), pyrexia (28%), nausea (16%), injection site erythema (14%), injection site pruritus (14%), injection site pain (12%), influenza like illness (12%), and decreased appetite (10%). A total of 38 grade 3 or higher adverse events attributed to ANKTIVA have been reported among 24 patients (16%) in the trial as of January 2026. All reported grade 3 or higher adverse events occurred at a frequency of 2% or less including: fatigue, injection site reaction, chills, injection site pain, injection site illness, injection site erythema, injection site pruritus, aspartate aminotransferase increased, alanine aminotransferase increased, blood alkaline phosphatase increased, lymphocyte count decreased, weight decreased, anaemia, diarrhoea, colitis, ileus, small intestinal obstruction, pneumonitis, respiratory failure, rash maculo-papular, deep vein thrombosis, hypovolaemic shock, pericardial effusion, tricuspid valve incompetence, and injection site cellulitis. </w:t>
      </w:r>
    </w:p>
    <w:p>
      <w:pPr>
        <w:pStyle w:val="TextBody"/>
        <w:bidi w:val="0"/>
        <w:spacing w:lineRule="auto" w:line="288" w:before="180" w:after="283"/>
        <w:jc w:val="left"/>
        <w:rPr>
          <w:rFonts w:ascii="Times New Roman;serif" w:hAnsi="Times New Roman;serif"/>
          <w:b/>
          <w:color w:val="1B4486"/>
          <w:sz w:val="22"/>
        </w:rPr>
      </w:pPr>
      <w:r>
        <w:rPr>
          <w:rFonts w:ascii="Times New Roman;serif" w:hAnsi="Times New Roman;serif"/>
          <w:b/>
          <w:color w:val="1B4486"/>
          <w:sz w:val="22"/>
        </w:rPr>
        <w:t>QUILT-2.023: First-Line NSCLC</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Randomized Phase 3 trial to evaluate ANKTIVA in combination with CPIs versus other CPI combinations in the first-line setting for NSCLC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Immunotherapy (ANKTIVA + KEYTRUDA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vs. KEYTRUDA) for either squamous or non-squamous NSCLC with PD-L1 TPS &gt;1% (Cohort 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Chemoimmunotherapy (ANKTIVA with Carboplatin, Abraxane and KEYTRUDA versus Carboplatin, Abraxane / paclitaxel and KEYTRUDA) for squamous NSCLC (Cohort B)</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Chemoimmunotherapy (ANKTIVA with Cisplatin / Carboplatin, KEYTRUDA and Pemetrexed versus Cisplatin / Carboplatin, KEYTRUDA and Pemetrexed) for non-squamous NSCLC (Cohort C)</w:t>
      </w:r>
    </w:p>
    <w:p>
      <w:pPr>
        <w:pStyle w:val="TextBody"/>
        <w:bidi w:val="0"/>
        <w:spacing w:lineRule="auto" w:line="288" w:before="240" w:after="283"/>
        <w:jc w:val="left"/>
        <w:rPr/>
      </w:pPr>
      <w:r>
        <w:rPr>
          <w:rFonts w:ascii="Times New Roman;serif" w:hAnsi="Times New Roman;serif"/>
          <w:b/>
          <w:color w:val="000000"/>
          <w:sz w:val="20"/>
        </w:rPr>
        <w:t xml:space="preserve">Key Results (January 2026): </w:t>
      </w:r>
      <w:r>
        <w:rPr>
          <w:rFonts w:ascii="Times New Roman;serif" w:hAnsi="Times New Roman;serif"/>
          <w:b w:val="false"/>
          <w:color w:val="000000"/>
          <w:sz w:val="20"/>
        </w:rPr>
        <w:t>ANKTIVA in combination with a CPI demonstrated statistically significant immune restoration across 151 patients with NSCLC: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Randomized comparison demonstrated statistically significant and sustained increase in ALC with ANKTIVA in combination with a CPI versus CPI alone (p=0.0065)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Responders (ALC restoration &gt;=1.0 x 10³ cells/µL) achieved in 77% of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Responders had significantly longer OS: median 16.2 vs 11.8 months (hazard ratio 0.52; p=0.0369)</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Patients achieving ALC &gt;=1.2 x 10³ cells/µL: median OS 21.1 months (hazard ratio 0.33; p=0.0009)</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Results independent of PD-L1 status</w:t>
      </w:r>
    </w:p>
    <w:p>
      <w:pPr>
        <w:pStyle w:val="TextBody"/>
        <w:bidi w:val="0"/>
        <w:spacing w:lineRule="auto" w:line="288" w:before="240" w:after="283"/>
        <w:jc w:val="left"/>
        <w:rPr/>
      </w:pPr>
      <w:r>
        <w:rPr>
          <w:rFonts w:ascii="Times New Roman;serif" w:hAnsi="Times New Roman;serif"/>
          <w:b/>
          <w:color w:val="000000"/>
          <w:sz w:val="20"/>
        </w:rPr>
        <w:t xml:space="preserve">Regulatory Status: </w:t>
      </w:r>
      <w:r>
        <w:rPr>
          <w:rFonts w:ascii="Times New Roman;serif" w:hAnsi="Times New Roman;serif"/>
          <w:b w:val="false"/>
          <w:color w:val="000000"/>
          <w:sz w:val="20"/>
        </w:rPr>
        <w:t>In January 2026, the SFDA granted conditional approval of ANKTIVA for use in combination with immune CPIs for the treatment of adult patients with metastatic NSCLC whose disease has progressed following standard-of-care therapy. This followed review of the clinical data from QUILT-3.055 in second-line and greater NSCLC patients and from QUILT-2.023 in first-line NSCLC patients which demonstrated significant immune restoration and a consistent association between lymphocyte recovery with improved survival in checkpoint-experienced patients. During 2026, we plan submissions for the expansion of the label in the MENA region for multiple tumor types.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1B4486"/>
          <w:sz w:val="22"/>
        </w:rPr>
      </w:pPr>
      <w:r>
        <w:rPr>
          <w:rFonts w:ascii="Times New Roman;serif" w:hAnsi="Times New Roman;serif"/>
          <w:b/>
          <w:color w:val="1B4486"/>
          <w:sz w:val="22"/>
        </w:rPr>
        <w:t>ResQ201A: Phase 3 Confirmatory Trial</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Pivotal, randomized, open-label Phase 3 trial comparing ANKTIVA in combination with TEVIMBRA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(anti-PD-1) and docetaxel versus docetaxel monotherapy in participants with advanced or metastatic NSCLC who have acquired resistance to CPI therapy. </w:t>
      </w:r>
    </w:p>
    <w:p>
      <w:pPr>
        <w:pStyle w:val="TextBody"/>
        <w:bidi w:val="0"/>
        <w:spacing w:lineRule="auto" w:line="288" w:before="120" w:after="283"/>
        <w:jc w:val="left"/>
        <w:rPr/>
      </w:pPr>
      <w:r>
        <w:rPr>
          <w:rFonts w:ascii="Times New Roman;serif" w:hAnsi="Times New Roman;serif"/>
          <w:b/>
          <w:color w:val="000000"/>
          <w:sz w:val="20"/>
        </w:rPr>
        <w:t>Primary Endpoint:</w:t>
      </w:r>
      <w:r>
        <w:rPr>
          <w:color w:val="000000"/>
        </w:rPr>
        <w:t xml:space="preserve"> </w:t>
      </w:r>
      <w:r>
        <w:rPr>
          <w:rFonts w:ascii="Times New Roman;serif" w:hAnsi="Times New Roman;serif"/>
          <w:b w:val="false"/>
          <w:color w:val="000000"/>
          <w:sz w:val="20"/>
        </w:rPr>
        <w:t xml:space="preserve">Comparison of overall survival between the experimental and the control arms. </w:t>
      </w:r>
    </w:p>
    <w:p>
      <w:pPr>
        <w:pStyle w:val="TextBody"/>
        <w:bidi w:val="0"/>
        <w:spacing w:lineRule="auto" w:line="288" w:before="120" w:after="283"/>
        <w:jc w:val="left"/>
        <w:rPr/>
      </w:pPr>
      <w:r>
        <w:rPr>
          <w:rFonts w:ascii="Times New Roman;serif" w:hAnsi="Times New Roman;serif"/>
          <w:b/>
          <w:color w:val="000000"/>
          <w:sz w:val="20"/>
        </w:rPr>
        <w:t xml:space="preserve">Enrollment: </w:t>
      </w:r>
      <w:r>
        <w:rPr>
          <w:rFonts w:ascii="Times New Roman;serif" w:hAnsi="Times New Roman;serif"/>
          <w:b w:val="false"/>
          <w:color w:val="000000"/>
          <w:sz w:val="20"/>
        </w:rPr>
        <w:t>462 patients randomized 2:1. Experimental arm (N=308): ANKTIVA in combination with TEVIMBRA. Control arm (N=154): Docetaxel. Participant randomization to either the experimental or control arm will be stratified by geographical region (North America vs. Europe vs. Asia), NSCLC histology (squamous vs. nonsquamous), and actionable genomic alterations.</w:t>
      </w:r>
    </w:p>
    <w:p>
      <w:pPr>
        <w:pStyle w:val="TextBody"/>
        <w:bidi w:val="0"/>
        <w:spacing w:lineRule="auto" w:line="288" w:before="120" w:after="283"/>
        <w:jc w:val="left"/>
        <w:rPr/>
      </w:pPr>
      <w:r>
        <w:rPr>
          <w:rFonts w:ascii="Times New Roman;serif" w:hAnsi="Times New Roman;serif"/>
          <w:b/>
          <w:color w:val="000000"/>
          <w:sz w:val="20"/>
        </w:rPr>
        <w:t xml:space="preserve">Partnership: </w:t>
      </w:r>
      <w:r>
        <w:rPr>
          <w:rFonts w:ascii="Times New Roman;serif" w:hAnsi="Times New Roman;serif"/>
          <w:b w:val="false"/>
          <w:color w:val="000000"/>
          <w:sz w:val="20"/>
        </w:rPr>
        <w:t>January 2025 collaboration with BeOne.</w:t>
      </w:r>
    </w:p>
    <w:p>
      <w:pPr>
        <w:pStyle w:val="TextBody"/>
        <w:bidi w:val="0"/>
        <w:spacing w:lineRule="auto" w:line="288" w:before="120" w:after="283"/>
        <w:jc w:val="left"/>
        <w:rPr/>
      </w:pPr>
      <w:r>
        <w:rPr>
          <w:rFonts w:ascii="Times New Roman;serif" w:hAnsi="Times New Roman;serif"/>
          <w:b/>
          <w:color w:val="000000"/>
          <w:sz w:val="20"/>
        </w:rPr>
        <w:t xml:space="preserve">Timeline: </w:t>
      </w:r>
      <w:r>
        <w:rPr>
          <w:rFonts w:ascii="Times New Roman;serif" w:hAnsi="Times New Roman;serif"/>
          <w:b w:val="false"/>
          <w:color w:val="000000"/>
          <w:sz w:val="20"/>
        </w:rPr>
        <w:t xml:space="preserve">Full enrollment expected in the first half of 2027.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continue to explore our strategy for potential accelerated approval in NSCLC including potential submissions to multiple regulatory authorities (Ex-U.S.) for accelerated approval in 2026 as described above. Discussions are also planned to be requested with the U.S. FDA in 2026 for an accelerated approval pathway based on new data from combined QUILT-2.023 (randomized) and QUILT-3.055 (single arm) trials.</w:t>
      </w:r>
    </w:p>
    <w:p>
      <w:pPr>
        <w:pStyle w:val="TextBody"/>
        <w:bidi w:val="0"/>
        <w:spacing w:lineRule="auto" w:line="288" w:before="120" w:after="283"/>
        <w:jc w:val="left"/>
        <w:rPr>
          <w:rFonts w:ascii="Times New Roman;serif" w:hAnsi="Times New Roman;serif"/>
          <w:b/>
          <w:color w:val="1B4486"/>
          <w:sz w:val="24"/>
        </w:rPr>
      </w:pPr>
      <w:r>
        <w:rPr>
          <w:rFonts w:ascii="Times New Roman;serif" w:hAnsi="Times New Roman;serif"/>
          <w:b/>
          <w:color w:val="1B4486"/>
          <w:sz w:val="24"/>
        </w:rPr>
        <w:t>Lymphopenia and Solid Tumors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published literature and internal estimates, lymphopenia affects a substantial number of U.S. cancer patients. According to the American Cancer Society, an estimated 2,114,850 new cancer cases will be diagnosed in the U.S. in 2026. Approximately 90% of cancer patients have solid tumors, and lymphopenia is commonly observed following standard treatments, including chemotherapy, radiation therapy, and certain immunotherapies.</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Clinical Evidence for Lymphopenia Reversal</w:t>
      </w:r>
    </w:p>
    <w:p>
      <w:pPr>
        <w:pStyle w:val="TextBody"/>
        <w:bidi w:val="0"/>
        <w:spacing w:lineRule="auto" w:line="288" w:before="120" w:after="283"/>
        <w:jc w:val="left"/>
        <w:rPr/>
      </w:pPr>
      <w:r>
        <w:rPr>
          <w:rFonts w:ascii="Times New Roman;serif" w:hAnsi="Times New Roman;serif"/>
          <w:b/>
          <w:color w:val="000000"/>
          <w:sz w:val="20"/>
        </w:rPr>
        <w:t xml:space="preserve">QUILT-88 Pancreatic Cancer Data (presented at ASCO 2025, Abstracts #8054 Satoskar et al., and #2663 Saleh et al.): </w:t>
      </w:r>
      <w:r>
        <w:rPr>
          <w:rFonts w:ascii="Times New Roman;serif" w:hAnsi="Times New Roman;serif"/>
          <w:b w:val="false"/>
          <w:color w:val="000000"/>
          <w:sz w:val="20"/>
        </w:rPr>
        <w:t>In 86 participants with third-to-sixth-line metastatic pancreatic cancer with high tumor burden (CA19-9 levels exceeding 34,000 IU/mL):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Lymphopenia Reversal (ALC &gt;=1,000): Achieved in 67/86 subjects (78%)</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Survival Correlation: Subjects with lymphopenia reversal had significantly prolonged median overall survival versus those remaining in severe lymphopenia (p=0.005; hazard ratio 0.46; 95% CI: 0.26, 0.80)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With Lymphopenia Rescue plus Lower Tumor Burden (CA19-9 &lt;34,000 IU/mL): median overall survival exceeded 10 months</w:t>
      </w:r>
    </w:p>
    <w:p>
      <w:pPr>
        <w:pStyle w:val="TextBody"/>
        <w:bidi w:val="0"/>
        <w:spacing w:lineRule="auto" w:line="288" w:before="120" w:after="283"/>
        <w:jc w:val="left"/>
        <w:rPr/>
      </w:pPr>
      <w:r>
        <w:rPr>
          <w:rFonts w:ascii="Times New Roman;serif" w:hAnsi="Times New Roman;serif"/>
          <w:b/>
          <w:color w:val="000000"/>
          <w:sz w:val="20"/>
        </w:rPr>
        <w:t xml:space="preserve">QUILT-3.055 and QUILT-2.023 NSCLC Data: </w:t>
      </w:r>
      <w:r>
        <w:rPr>
          <w:rFonts w:ascii="Times New Roman;serif" w:hAnsi="Times New Roman;serif"/>
          <w:b w:val="false"/>
          <w:color w:val="000000"/>
          <w:sz w:val="20"/>
        </w:rPr>
        <w:t>Across 151 patients spanning first-, second-, and later-line disease: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first-line a statistically significant and sustained increase in ALC from baseline with ANKTIVA plus CPI compared with CPI alone (p=0.0065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second- and later-line demonstrated restoration or maintenance of ALC ≥1.0 × 10³ cells/µL in 77% of patients receiving ANKTIVA plus CPI (responders)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Responders receiving ANKTIVA plus CPI experienced significantly longer overall survival compared with non-responders (median OS 16.2 vs 11.8 months; hazard ratio 0.52; p=0.0369), directly linking immune restoration to clinical benefit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ALC ≥1.2 ×10³ cells/µL demonstrated additional survival benefit, with median OS of 21.1 months (hazard ratio 0.33; p=0.0009), independent of PD-L1 status, exceeding historical overall survival of 7-9 months with standard-of-care chemotherapy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Designations for Lymphopenia</w:t>
      </w:r>
    </w:p>
    <w:p>
      <w:pPr>
        <w:pStyle w:val="TextBody"/>
        <w:bidi w:val="0"/>
        <w:spacing w:lineRule="auto" w:line="288" w:before="120" w:after="283"/>
        <w:jc w:val="left"/>
        <w:rPr/>
      </w:pPr>
      <w:r>
        <w:rPr>
          <w:rFonts w:ascii="Times New Roman;serif" w:hAnsi="Times New Roman;serif"/>
          <w:b/>
          <w:color w:val="000000"/>
          <w:sz w:val="20"/>
        </w:rPr>
        <w:t xml:space="preserve">RMAT Designation (February 2025): </w:t>
      </w:r>
      <w:r>
        <w:rPr>
          <w:rFonts w:ascii="Times New Roman;serif" w:hAnsi="Times New Roman;serif"/>
          <w:b w:val="false"/>
          <w:color w:val="000000"/>
          <w:sz w:val="20"/>
        </w:rPr>
        <w:t>FDA granted Regenerative Medicine Advanced Therapy designation for ANKTIVA and PD-L1 CAR-NK (t-haNK) in combination with standard-of-care chemotherapy/radiotherapy for the reversal of lymphopenia and treatment of multiply relapsed locally advanced or metastatic pancreatic cancer.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color w:val="000000"/>
          <w:sz w:val="20"/>
        </w:rPr>
        <w:t xml:space="preserve">Expanded Access Program (June 2025): </w:t>
      </w:r>
      <w:r>
        <w:rPr>
          <w:rFonts w:ascii="Times New Roman;serif" w:hAnsi="Times New Roman;serif"/>
          <w:b w:val="false"/>
          <w:color w:val="000000"/>
          <w:sz w:val="20"/>
        </w:rPr>
        <w:t>The FDA granted EAP authorization for our Cancer BioShield platform, anchored by ANKTIVA, to treat lymphopenia in adult patients with refractory or relapsed solid tumors, regardless of tumor type, who have progressed after first-line standard-of-care treatment. The EAP includes patients with ALC &lt;1,000/μL.</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Lymphopenia Strategy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Sepsis is a serious condition and a leading cause of death in hospitals. Each year, according to the Centers for Disease Control and Prevention, at least 1.7 million adults in the U.S. develop sepsis, and at least 350,000 die as a result. Sepsis is the main complication of severe CAP observed in approximately one in three patients with severe CAP. Based on ANKTIVA’s documented ability to increase the proliferation of NK cells, CD8+ T cells and CD4+ T cells with no expansion of immunosuppressive Tregs, we have initiated a trial targeting CAP.</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ResQ219-Community Acquired Pneumonia (CAP)</w:t>
      </w:r>
    </w:p>
    <w:p>
      <w:pPr>
        <w:pStyle w:val="TextBody"/>
        <w:bidi w:val="0"/>
        <w:spacing w:lineRule="auto" w:line="288" w:before="120" w:after="283"/>
        <w:jc w:val="left"/>
        <w:rPr/>
      </w:pPr>
      <w:r>
        <w:rPr>
          <w:rFonts w:ascii="Times New Roman;serif" w:hAnsi="Times New Roman;serif"/>
          <w:b/>
          <w:color w:val="000000"/>
          <w:sz w:val="20"/>
        </w:rPr>
        <w:t>Trial Design:</w:t>
      </w:r>
      <w:r>
        <w:rPr>
          <w:color w:val="000000"/>
        </w:rPr>
        <w:t xml:space="preserve"> </w:t>
      </w:r>
      <w:r>
        <w:rPr>
          <w:rFonts w:ascii="Times New Roman;serif" w:hAnsi="Times New Roman;serif"/>
          <w:b w:val="false"/>
          <w:color w:val="000000"/>
          <w:sz w:val="20"/>
        </w:rPr>
        <w:t xml:space="preserve">Phase 2 Single Arm Trial </w:t>
      </w:r>
    </w:p>
    <w:p>
      <w:pPr>
        <w:pStyle w:val="TextBody"/>
        <w:bidi w:val="0"/>
        <w:spacing w:lineRule="auto" w:line="288" w:before="120" w:after="283"/>
        <w:jc w:val="left"/>
        <w:rPr/>
      </w:pPr>
      <w:r>
        <w:rPr>
          <w:rFonts w:ascii="Times New Roman;serif" w:hAnsi="Times New Roman;serif"/>
          <w:b/>
          <w:color w:val="000000"/>
          <w:sz w:val="20"/>
        </w:rPr>
        <w:t>Enrollment:</w:t>
      </w:r>
      <w:r>
        <w:rPr>
          <w:color w:val="000000"/>
        </w:rPr>
        <w:t xml:space="preserve"> </w:t>
      </w:r>
      <w:r>
        <w:rPr>
          <w:rFonts w:ascii="Times New Roman;serif" w:hAnsi="Times New Roman;serif"/>
          <w:b w:val="false"/>
          <w:color w:val="000000"/>
          <w:sz w:val="20"/>
        </w:rPr>
        <w:t>20 participants at U.S. sites</w:t>
      </w:r>
    </w:p>
    <w:p>
      <w:pPr>
        <w:pStyle w:val="TextBody"/>
        <w:bidi w:val="0"/>
        <w:spacing w:lineRule="auto" w:line="288" w:before="120" w:after="283"/>
        <w:jc w:val="left"/>
        <w:rPr/>
      </w:pPr>
      <w:r>
        <w:rPr>
          <w:rFonts w:ascii="Times New Roman;serif" w:hAnsi="Times New Roman;serif"/>
          <w:b/>
          <w:color w:val="000000"/>
          <w:sz w:val="20"/>
        </w:rPr>
        <w:t>Agents:</w:t>
      </w:r>
      <w:r>
        <w:rPr>
          <w:color w:val="000000"/>
        </w:rPr>
        <w:t xml:space="preserve"> </w:t>
      </w:r>
      <w:r>
        <w:rPr>
          <w:rFonts w:ascii="Times New Roman;serif" w:hAnsi="Times New Roman;serif"/>
          <w:b w:val="false"/>
          <w:color w:val="000000"/>
          <w:sz w:val="20"/>
        </w:rPr>
        <w:t>ANKTIVA + iNKT</w:t>
      </w:r>
    </w:p>
    <w:p>
      <w:pPr>
        <w:pStyle w:val="TextBody"/>
        <w:bidi w:val="0"/>
        <w:spacing w:lineRule="auto" w:line="288" w:before="120" w:after="283"/>
        <w:jc w:val="left"/>
        <w:rPr/>
      </w:pPr>
      <w:r>
        <w:rPr>
          <w:rFonts w:ascii="Times New Roman;serif" w:hAnsi="Times New Roman;serif"/>
          <w:b/>
          <w:color w:val="000000"/>
          <w:sz w:val="20"/>
        </w:rPr>
        <w:t>Status:</w:t>
      </w:r>
      <w:r>
        <w:rPr>
          <w:color w:val="000000"/>
        </w:rPr>
        <w:t xml:space="preserve"> </w:t>
      </w:r>
      <w:r>
        <w:rPr>
          <w:rFonts w:ascii="Times New Roman;serif" w:hAnsi="Times New Roman;serif"/>
          <w:b w:val="false"/>
          <w:color w:val="000000"/>
          <w:sz w:val="20"/>
        </w:rPr>
        <w:t xml:space="preserve">Clinical trial protocol submitted to the FDA. </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Glioblastoma Multiforme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 to the American Cancer Society, an estimated 24,740 new cases of malignant brain and nervous system tumors will be diagnosed in the U.S. in 2026. GBM is the most common malignant brain tumor, representing 52% of all primary brain tumors, and has a low five-year survival rate of approximately 7%. </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QUILT-3.078: Recurrent or Progressive GBM</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 xml:space="preserve">Multi-center, open-label Phase 2/2B trial evaluating ANKTIVA, PD-L1 CAR-NK (t-haNK), bevacizumab, and TTFields.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Phase 2 portion is an open-label, single-arm study to evaluate the safety and efficacy of ANKTIVA, PD-L1 CAR-NK (t-haNK), and bevacizumab combination therapy in participants with recurrent or progressive GBM.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Phase 2B portion is an open-label, randomized study to evaluate the efficacy and safety for the following 2 experimental arms in participants with recurrent or progressive GBM: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ANKTIVA, bevacizumab, and TTFields combination therapy (Arm 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ANKTIVA, PD-L1 CAR-NK (t-haNK), bevacizumab, and TTFields combination therapy (Arm B)</w:t>
      </w:r>
    </w:p>
    <w:p>
      <w:pPr>
        <w:pStyle w:val="TextBody"/>
        <w:bidi w:val="0"/>
        <w:spacing w:lineRule="auto" w:line="288" w:before="120" w:after="283"/>
        <w:jc w:val="left"/>
        <w:rPr/>
      </w:pPr>
      <w:r>
        <w:rPr>
          <w:rFonts w:ascii="Times New Roman;serif" w:hAnsi="Times New Roman;serif"/>
          <w:b/>
          <w:color w:val="000000"/>
          <w:sz w:val="20"/>
        </w:rPr>
        <w:t>Enrollment:</w:t>
      </w:r>
      <w:r>
        <w:rPr>
          <w:color w:val="000000"/>
        </w:rPr>
        <w:t xml:space="preserve"> </w:t>
      </w:r>
      <w:r>
        <w:rPr>
          <w:rFonts w:ascii="Times New Roman;serif" w:hAnsi="Times New Roman;serif"/>
          <w:b w:val="false"/>
          <w:color w:val="000000"/>
          <w:sz w:val="20"/>
        </w:rPr>
        <w:t>14 participants were enrolled in the Phase 2 portion and 5 participants have been randomized in the Phase 2B portion. Up to 20 participants will be randomized in Phase 2B (up to 10 participants/arm)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(January 2026, N=23 in pilot portion):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Overall Survival: Not yet reached with a median follow up of 6 months in the evaluable cohort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Patients Alive: 19 of 23 enrolled (83%)</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Longest Survival from Recurrence: 12 months (ongoing)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Baseline Mean ALC: 0.9 x × 10³ cells/μL (severe lymphopenia confirmed at enrollment)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Mean ALC After One Cycle: &gt;1.4 × 10³ cells/µL (p&lt;0.001, N=14)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ALC Maintenance: Statistically significant increases from baseline at all assessments through 20 weeks (p&lt;=0.026)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Total Doses Administered: 219 doses among 41 GBM patients (2L and 3L+) across QUILT-3.078 (N=23) and single-patient INDs (N=18)</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Treatment-Related Serious Adverse Events: 3 among 41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Cytokine Release Syndrome/Immune Effector Cell-Associated Neurotoxicity Syndrome: None observed to date in this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color w:val="000000"/>
          <w:sz w:val="20"/>
        </w:rPr>
        <w:t xml:space="preserve">Next Steps: </w:t>
      </w:r>
      <w:r>
        <w:rPr>
          <w:rFonts w:ascii="Times New Roman;serif" w:hAnsi="Times New Roman;serif"/>
          <w:b w:val="false"/>
          <w:color w:val="000000"/>
          <w:sz w:val="20"/>
        </w:rPr>
        <w:t>Phase 2B cohort expansion underway with 8 patients enrolled.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Planned randomized registration trials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Randomized Trial (Neoadjuvant Glioblastoma): </w:t>
      </w:r>
      <w:r>
        <w:rPr>
          <w:rFonts w:ascii="Times New Roman;serif" w:hAnsi="Times New Roman;serif"/>
          <w:b w:val="false"/>
          <w:color w:val="000000"/>
          <w:sz w:val="20"/>
        </w:rPr>
        <w:t>ANKTIVA + CAR-NK (PD-L1 t-haNK) versus standard of care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Randomized Trial (Second Line Recurrent Glioblastoma): </w:t>
      </w:r>
      <w:r>
        <w:rPr>
          <w:rFonts w:ascii="Times New Roman;serif" w:hAnsi="Times New Roman;serif"/>
          <w:b w:val="false"/>
          <w:color w:val="000000"/>
          <w:sz w:val="20"/>
        </w:rPr>
        <w:t>ANKTIVA + CAR-NK (PD-L1 t-haNK) + bevacizumab + TTFields versus standard of care</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Non-Hodgkin Lymphoma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According to the American Cancer Society, an estimated 79,320 people will be diagnosed with NHL, and 19,970 deaths will be attributed to the disease in 2026.</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QUILT-106: Macroglobulinemia</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Open-label Phase 1 single arm trial evaluating off-the-shelf allogeneic CD19 CAR-NK (t-haNK) in combination with rituximab for relapsed/refractory NHL (including Waldenström).</w:t>
      </w:r>
    </w:p>
    <w:p>
      <w:pPr>
        <w:pStyle w:val="TextBody"/>
        <w:bidi w:val="0"/>
        <w:spacing w:lineRule="auto" w:line="288" w:before="120" w:after="283"/>
        <w:jc w:val="left"/>
        <w:rPr/>
      </w:pPr>
      <w:r>
        <w:rPr>
          <w:rFonts w:ascii="Times New Roman;serif" w:hAnsi="Times New Roman;serif"/>
          <w:b/>
          <w:color w:val="000000"/>
          <w:sz w:val="20"/>
        </w:rPr>
        <w:t>Enrollment:</w:t>
      </w:r>
      <w:r>
        <w:rPr>
          <w:color w:val="000000"/>
        </w:rPr>
        <w:t xml:space="preserve"> </w:t>
      </w:r>
      <w:r>
        <w:rPr>
          <w:rFonts w:ascii="Times New Roman;serif" w:hAnsi="Times New Roman;serif"/>
          <w:b w:val="false"/>
          <w:color w:val="000000"/>
          <w:sz w:val="20"/>
        </w:rPr>
        <w:t>Up to 10 patients.</w:t>
      </w:r>
    </w:p>
    <w:p>
      <w:pPr>
        <w:pStyle w:val="TextBody"/>
        <w:bidi w:val="0"/>
        <w:spacing w:lineRule="auto" w:line="288" w:before="120" w:after="283"/>
        <w:jc w:val="left"/>
        <w:rPr/>
      </w:pPr>
      <w:r>
        <w:rPr>
          <w:rFonts w:ascii="Times New Roman;serif" w:hAnsi="Times New Roman;serif"/>
          <w:b/>
          <w:color w:val="000000"/>
          <w:sz w:val="20"/>
        </w:rPr>
        <w:t>Results for Waldenström</w:t>
      </w:r>
      <w:r>
        <w:rPr>
          <w:color w:val="000000"/>
        </w:rPr>
        <w:t xml:space="preserve"> </w:t>
      </w:r>
      <w:r>
        <w:rPr>
          <w:rFonts w:ascii="Times New Roman;serif" w:hAnsi="Times New Roman;serif"/>
          <w:b/>
          <w:color w:val="000000"/>
          <w:sz w:val="20"/>
        </w:rPr>
        <w:t>(January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Durable Complete Responses: 7 and 15 months ongoing after only 8 doses (4 cycles)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Disease Control: 100% in the first four subjects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Administration: All outpatient therapy, no hospitalization required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Treatment-Related Serious Adverse Events: None reported to date</w:t>
      </w:r>
    </w:p>
    <w:p>
      <w:pPr>
        <w:pStyle w:val="TextBody"/>
        <w:bidi w:val="0"/>
        <w:spacing w:lineRule="auto" w:line="288" w:before="120" w:after="283"/>
        <w:jc w:val="left"/>
        <w:rPr/>
      </w:pPr>
      <w:r>
        <w:rPr>
          <w:rFonts w:ascii="Times New Roman;serif" w:hAnsi="Times New Roman;serif"/>
          <w:b/>
          <w:color w:val="000000"/>
          <w:sz w:val="20"/>
        </w:rPr>
        <w:t xml:space="preserve">Case Report: </w:t>
      </w:r>
      <w:r>
        <w:rPr>
          <w:rFonts w:ascii="Times New Roman;serif" w:hAnsi="Times New Roman;serif"/>
          <w:b w:val="false"/>
          <w:color w:val="000000"/>
          <w:sz w:val="20"/>
        </w:rPr>
        <w:t>One patient with 95% bone marrow infiltration by tumor cells achieved complete bone morphological remission after only four doses. The complete response has been maintained for 15 months with no further treatment after eight total doses.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regimen represents a chemotherapy-free and lymphodepletion-free approach, in contrast to currently approved autologous CAR-T therapies that require lymphodepleting chemotherapy and often inpatient hospitalization.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QUILT-106, based on the data and experience so far, the following trials have been initiated:</w:t>
      </w:r>
    </w:p>
    <w:p>
      <w:pPr>
        <w:pStyle w:val="TextBody"/>
        <w:bidi w:val="0"/>
        <w:spacing w:lineRule="auto" w:line="288" w:before="120" w:after="283"/>
        <w:jc w:val="left"/>
        <w:rPr>
          <w:rFonts w:ascii="Times New Roman;serif" w:hAnsi="Times New Roman;serif"/>
          <w:b/>
          <w:color w:val="1B4486"/>
          <w:sz w:val="20"/>
        </w:rPr>
      </w:pPr>
      <w:r>
        <w:rPr>
          <w:rFonts w:ascii="Times New Roman;serif" w:hAnsi="Times New Roman;serif"/>
          <w:b/>
          <w:color w:val="1B4486"/>
          <w:sz w:val="20"/>
        </w:rPr>
        <w:t xml:space="preserve">ResQ215A: Relapsed Refractory NHL </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 xml:space="preserve">Single arm trial lymphodepletion </w:t>
      </w:r>
    </w:p>
    <w:p>
      <w:pPr>
        <w:pStyle w:val="TextBody"/>
        <w:bidi w:val="0"/>
        <w:spacing w:lineRule="auto" w:line="288" w:before="120" w:after="283"/>
        <w:jc w:val="left"/>
        <w:rPr/>
      </w:pPr>
      <w:r>
        <w:rPr>
          <w:rFonts w:ascii="Times New Roman;serif" w:hAnsi="Times New Roman;serif"/>
          <w:b/>
          <w:color w:val="000000"/>
          <w:sz w:val="20"/>
        </w:rPr>
        <w:t>Agents:</w:t>
      </w:r>
      <w:r>
        <w:rPr>
          <w:color w:val="000000"/>
        </w:rPr>
        <w:t xml:space="preserve"> </w:t>
      </w:r>
      <w:r>
        <w:rPr>
          <w:rFonts w:ascii="Times New Roman;serif" w:hAnsi="Times New Roman;serif"/>
          <w:b w:val="false"/>
          <w:color w:val="000000"/>
          <w:sz w:val="20"/>
        </w:rPr>
        <w:t>Flu/Cy + CAR-NK (CD19 t-haNK) + ANKTIVA + rituximab</w:t>
      </w:r>
    </w:p>
    <w:p>
      <w:pPr>
        <w:pStyle w:val="TextBody"/>
        <w:bidi w:val="0"/>
        <w:spacing w:lineRule="auto" w:line="288" w:before="120" w:after="283"/>
        <w:jc w:val="left"/>
        <w:rPr/>
      </w:pPr>
      <w:r>
        <w:rPr>
          <w:rFonts w:ascii="Times New Roman;serif" w:hAnsi="Times New Roman;serif"/>
          <w:b/>
          <w:color w:val="000000"/>
          <w:sz w:val="20"/>
        </w:rPr>
        <w:t>Status:</w:t>
      </w:r>
      <w:r>
        <w:rPr>
          <w:color w:val="000000"/>
        </w:rPr>
        <w:t xml:space="preserve"> </w:t>
      </w:r>
      <w:r>
        <w:rPr>
          <w:rFonts w:ascii="Times New Roman;serif" w:hAnsi="Times New Roman;serif"/>
          <w:b w:val="false"/>
          <w:color w:val="000000"/>
          <w:sz w:val="20"/>
        </w:rPr>
        <w:t>Enrolling</w:t>
      </w:r>
    </w:p>
    <w:p>
      <w:pPr>
        <w:pStyle w:val="TextBody"/>
        <w:bidi w:val="0"/>
        <w:spacing w:lineRule="auto" w:line="288" w:before="120" w:after="283"/>
        <w:jc w:val="left"/>
        <w:rPr/>
      </w:pPr>
      <w:r>
        <w:rPr>
          <w:rFonts w:ascii="Times New Roman;serif" w:hAnsi="Times New Roman;serif"/>
          <w:b/>
          <w:color w:val="1B4486"/>
          <w:sz w:val="20"/>
        </w:rPr>
        <w:t>ResQ215B: Indolent Non-Hodgkin Lymphoma (Including Waldenström)</w:t>
      </w:r>
      <w:r>
        <w:rPr>
          <w:color w:val="000000"/>
        </w:rPr>
        <w:t xml:space="preserve"> </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 xml:space="preserve">Single arm trial, no lymphodepletion </w:t>
      </w:r>
    </w:p>
    <w:p>
      <w:pPr>
        <w:pStyle w:val="TextBody"/>
        <w:bidi w:val="0"/>
        <w:spacing w:lineRule="auto" w:line="288" w:before="120" w:after="283"/>
        <w:jc w:val="left"/>
        <w:rPr/>
      </w:pPr>
      <w:r>
        <w:rPr>
          <w:rFonts w:ascii="Times New Roman;serif" w:hAnsi="Times New Roman;serif"/>
          <w:b/>
          <w:color w:val="000000"/>
          <w:sz w:val="20"/>
        </w:rPr>
        <w:t>Agents:</w:t>
      </w:r>
      <w:r>
        <w:rPr>
          <w:color w:val="000000"/>
        </w:rPr>
        <w:t xml:space="preserve"> </w:t>
      </w:r>
      <w:r>
        <w:rPr>
          <w:rFonts w:ascii="Times New Roman;serif" w:hAnsi="Times New Roman;serif"/>
          <w:b w:val="false"/>
          <w:color w:val="000000"/>
          <w:sz w:val="20"/>
        </w:rPr>
        <w:t>CAR-NK (CD19 t-haNK) + ANKTIVA + rituximab</w:t>
      </w:r>
    </w:p>
    <w:p>
      <w:pPr>
        <w:pStyle w:val="TextBody"/>
        <w:bidi w:val="0"/>
        <w:spacing w:lineRule="auto" w:line="288" w:before="120" w:after="283"/>
        <w:jc w:val="left"/>
        <w:rPr/>
      </w:pPr>
      <w:r>
        <w:rPr>
          <w:rFonts w:ascii="Times New Roman;serif" w:hAnsi="Times New Roman;serif"/>
          <w:b/>
          <w:color w:val="000000"/>
          <w:sz w:val="20"/>
        </w:rPr>
        <w:t>Status:</w:t>
      </w:r>
      <w:r>
        <w:rPr>
          <w:color w:val="000000"/>
        </w:rPr>
        <w:t xml:space="preserve"> </w:t>
      </w:r>
      <w:r>
        <w:rPr>
          <w:rFonts w:ascii="Times New Roman;serif" w:hAnsi="Times New Roman;serif"/>
          <w:b w:val="false"/>
          <w:color w:val="000000"/>
          <w:sz w:val="20"/>
        </w:rPr>
        <w:t>Submitted</w:t>
      </w:r>
    </w:p>
    <w:p>
      <w:pPr>
        <w:pStyle w:val="TextBody"/>
        <w:bidi w:val="0"/>
        <w:spacing w:lineRule="auto" w:line="288" w:before="120" w:after="283"/>
        <w:jc w:val="left"/>
        <w:rPr>
          <w:rFonts w:ascii="Times New Roman;serif" w:hAnsi="Times New Roman;serif"/>
          <w:b/>
          <w:color w:val="1B4486"/>
          <w:sz w:val="20"/>
        </w:rPr>
      </w:pPr>
      <w:r>
        <w:rPr>
          <w:rFonts w:ascii="Times New Roman;serif" w:hAnsi="Times New Roman;serif"/>
          <w:b/>
          <w:color w:val="1B4486"/>
          <w:sz w:val="20"/>
        </w:rPr>
        <w:t>Planned Randomized Trial Relapsed/Refractory NHL</w:t>
      </w:r>
    </w:p>
    <w:p>
      <w:pPr>
        <w:pStyle w:val="TextBody"/>
        <w:bidi w:val="0"/>
        <w:spacing w:lineRule="auto" w:line="288" w:before="120" w:after="283"/>
        <w:jc w:val="left"/>
        <w:rPr/>
      </w:pPr>
      <w:r>
        <w:rPr>
          <w:rFonts w:ascii="Times New Roman;serif" w:hAnsi="Times New Roman;serif"/>
          <w:b/>
          <w:color w:val="000000"/>
          <w:sz w:val="20"/>
        </w:rPr>
        <w:t>Trial Design:</w:t>
      </w:r>
      <w:r>
        <w:rPr>
          <w:color w:val="000000"/>
        </w:rPr>
        <w:t xml:space="preserve"> </w:t>
      </w:r>
      <w:r>
        <w:rPr>
          <w:rFonts w:ascii="Times New Roman;serif" w:hAnsi="Times New Roman;serif"/>
          <w:b w:val="false"/>
          <w:color w:val="000000"/>
          <w:sz w:val="20"/>
        </w:rPr>
        <w:t xml:space="preserve">Randomized lymphodepletion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Agents: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Flu/Cy + CAR-NK (CD19 t-haNK) + ANKTIVA + rituximab versus;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Flu/Cy + CAR-NK (CD19 t-haNK) + rituximab</w:t>
      </w:r>
    </w:p>
    <w:p>
      <w:pPr>
        <w:pStyle w:val="TextBody"/>
        <w:bidi w:val="0"/>
        <w:spacing w:lineRule="auto" w:line="288" w:before="120" w:after="283"/>
        <w:jc w:val="left"/>
        <w:rPr>
          <w:rFonts w:ascii="Times New Roman;serif" w:hAnsi="Times New Roman;serif"/>
          <w:b/>
          <w:color w:val="1B4486"/>
          <w:sz w:val="24"/>
        </w:rPr>
      </w:pPr>
      <w:r>
        <w:rPr>
          <w:rFonts w:ascii="Times New Roman;serif" w:hAnsi="Times New Roman;serif"/>
          <w:b/>
          <w:color w:val="1B4486"/>
          <w:sz w:val="24"/>
        </w:rPr>
        <w:t>Additional Oncology Programs</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Advanced Pancreatic Cancer (QUILT-88)</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an estimated 67,530 new cases of pancreatic cancer will be diagnosed in the U.S., with 52,740 deaths. Pancreatic cancer is the third-leading cause of cancer-related deaths, with a five-year survival rate for late-stage cases of only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color w:val="000000"/>
          <w:sz w:val="20"/>
        </w:rPr>
        <w:t>Trial Design:</w:t>
      </w:r>
      <w:r>
        <w:rPr>
          <w:color w:val="000000"/>
        </w:rPr>
        <w:t xml:space="preserve"> </w:t>
      </w:r>
      <w:r>
        <w:rPr>
          <w:rFonts w:ascii="Times New Roman;serif" w:hAnsi="Times New Roman;serif"/>
          <w:b w:val="false"/>
          <w:color w:val="000000"/>
          <w:sz w:val="20"/>
        </w:rPr>
        <w:t>Single arm Third-line and beyond (Cohort C) combination of ANKTIVA with low-dose chemotherapy plus SBRT + PD-L1 t-haNK</w:t>
      </w:r>
    </w:p>
    <w:p>
      <w:pPr>
        <w:pStyle w:val="TextBody"/>
        <w:bidi w:val="0"/>
        <w:spacing w:lineRule="auto" w:line="288" w:before="120" w:after="283"/>
        <w:jc w:val="left"/>
        <w:rPr/>
      </w:pPr>
      <w:r>
        <w:rPr>
          <w:rFonts w:ascii="Times New Roman;serif" w:hAnsi="Times New Roman;serif"/>
          <w:b/>
          <w:color w:val="000000"/>
          <w:sz w:val="20"/>
        </w:rPr>
        <w:t>Primary Endpoint:</w:t>
      </w:r>
      <w:r>
        <w:rPr>
          <w:color w:val="000000"/>
        </w:rPr>
        <w:t xml:space="preserve"> </w:t>
      </w:r>
      <w:r>
        <w:rPr>
          <w:rFonts w:ascii="Times New Roman;serif" w:hAnsi="Times New Roman;serif"/>
          <w:b w:val="false"/>
          <w:color w:val="000000"/>
          <w:sz w:val="20"/>
        </w:rPr>
        <w:t>Overall survival.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Third Line and Beyond (Cohort C) Results (ASCO GI, January 2023):</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overall survival in patients with 2-6 prior lines: 5.8 months (95% CI: 4.9, 6.4) versus historical 2-3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Median overall survival in patients after 2 prior lines (N=41): 6.3 months (95% CI: 5.0, 7.2) versus historical 3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Grade 3+ treatment-related adverse events: anemia (32%), neutropenia (25%), thrombocytopenia (13%), fatigue (7%)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an update presented at ASCO 2025 (Abstracts #8054 Satoskar et al. and #2663 Saleh et al.) 86 participants with third-to-sixth-line metastatic pancreatic cancer with high tumor burden (CA19-9 levels exceeding 34,000 IU/mL) highlighted: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Lymphopenia Reversal (ALC &gt;=1 × 10³ cells/µL): Achieved in 67/86 subjects (78%)</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Survival Correlation: Subjects with lymphopenia reversal had significantly prolonged median overall survival versus those remaining in severe lymphopenia (p=0.005; hazard ratio 0.46; 95% CI: 0.26, 0.80)</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With Lymphopenia Rescue plus Lower Tumor Burden (CA19-9 &lt;34,000 IU/mL): median overall survival exceeded 10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above, in February 2025, the FDA granted us RMAT designation for ANKTIVA and PD-L1 CAR-NK (PD-L1 t-haNK) in combination with standard-of-care chemotherapy/radiotherapy for the reversal of lymphopenia and treatment of multiply relapsed locally advanced or metastatic pancreatic cancer.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also initiating several planned clinical trials targeting pancreatic cancer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ResQ108B-PANC: Neoadjuvant locally advanced First Line single arm trial of ANKTIVA + zabadinostat + sotevtamab</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Randomized First Line Metastatic Pancreatic Cancer (trial design pending finalization)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ANKTIVA + CAR-NK (PD-L1 t-haNK) + Abraxane + gemcitabine, versus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Abraxane + gemcitabine</w:t>
      </w:r>
    </w:p>
    <w:p>
      <w:pPr>
        <w:pStyle w:val="TextBody"/>
        <w:bidi w:val="0"/>
        <w:spacing w:lineRule="auto" w:line="288" w:before="240" w:after="283"/>
        <w:jc w:val="left"/>
        <w:rPr>
          <w:rFonts w:ascii="Times New Roman;serif" w:hAnsi="Times New Roman;serif"/>
          <w:b/>
          <w:color w:val="1B4486"/>
          <w:sz w:val="22"/>
        </w:rPr>
      </w:pPr>
      <w:r>
        <w:rPr>
          <w:rFonts w:ascii="Times New Roman;serif" w:hAnsi="Times New Roman;serif"/>
          <w:b/>
          <w:color w:val="1B4486"/>
          <w:sz w:val="22"/>
        </w:rPr>
        <w:t>Colorectal Cancer and Lynch Syndrome (QUILT-5015, NCI-Sponsored)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2026, an estimated 158,850 new cases of colorectal cancer will be diagnosed in the U.S., with 55,230 deaths. Notably, as of January 2026, colorectal cancer has become the leading cause of cancer death in men younger than 50 and the second leading cause in women of the same age group.</w:t>
      </w:r>
    </w:p>
    <w:p>
      <w:pPr>
        <w:pStyle w:val="TextBody"/>
        <w:bidi w:val="0"/>
        <w:spacing w:lineRule="auto" w:line="288" w:before="120" w:after="283"/>
        <w:jc w:val="left"/>
        <w:rPr/>
      </w:pPr>
      <w:r>
        <w:rPr>
          <w:rFonts w:ascii="Times New Roman;serif" w:hAnsi="Times New Roman;serif"/>
          <w:b/>
          <w:color w:val="000000"/>
          <w:sz w:val="20"/>
        </w:rPr>
        <w:t xml:space="preserve">Lynch Syndrome: </w:t>
      </w:r>
      <w:r>
        <w:rPr>
          <w:rFonts w:ascii="Times New Roman;serif" w:hAnsi="Times New Roman;serif"/>
          <w:b w:val="false"/>
          <w:color w:val="000000"/>
          <w:sz w:val="20"/>
        </w:rPr>
        <w:t>The most common cause of hereditary colorectal cancer, causing approximately 4,300 colorectal cancers per year. People with Lynch syndrome carry mutations in mismatch repair genes, and their close relatives have a 50% chance of inheriting the mutation.</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Phase 2 trial sponsored by the NCI evaluating ANKTIVA in combination with TriAd5 (human adenovirus serotype 5 (hAd5) vaccines targeting CEA, MUC1, and Brachyury) to reduce cancer onset incidence.</w:t>
      </w:r>
    </w:p>
    <w:p>
      <w:pPr>
        <w:pStyle w:val="TextBody"/>
        <w:bidi w:val="0"/>
        <w:spacing w:lineRule="auto" w:line="288" w:before="120" w:after="283"/>
        <w:jc w:val="left"/>
        <w:rPr/>
      </w:pPr>
      <w:r>
        <w:rPr>
          <w:rFonts w:ascii="Times New Roman;serif" w:hAnsi="Times New Roman;serif"/>
          <w:b/>
          <w:color w:val="000000"/>
          <w:sz w:val="20"/>
        </w:rPr>
        <w:t xml:space="preserve">Enrollment: </w:t>
      </w:r>
      <w:r>
        <w:rPr>
          <w:rFonts w:ascii="Times New Roman;serif" w:hAnsi="Times New Roman;serif"/>
          <w:b w:val="false"/>
          <w:color w:val="000000"/>
          <w:sz w:val="20"/>
        </w:rPr>
        <w:t>186 patients planned. First two open-label phases fully accrued; randomized controlled portion recruited 138 participants.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NCI Lynch syndrome trial, we are also planning a randomized Phase 3 colorectal trial (ResQ203D-CRC) in patients undergoing resection/ablation of colorectal metastases with ANKTIVA in combination with zabadinostat + TEVIMBRA (anti-PD-1). </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Human Papillomavirus (HPV) Clinical Trials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HPV-associated cancers represent a significant global public health burden, with an estimated more than 600,000 new HPV-driven cancer cases diagnosed worldwide each year, including cervical, head and neck, anal, vulvar, vaginal, and penile cancers, many of which have limited effective treatment options in the recurrent or advanced disease setting.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ImmunityBio has developed an investigational therapeutic vaccine program for HPV-associated malignancies utilizing a vector designed to deliver HPV E6 and E7 antigens and induce antigen-specific cellular immune responses in patients with established HPV driven cancers. The hAd5 platform has demonstrated the ability in preclinical models to stimulate robust innate and adaptive immune activation directed against HPV expressing tumor cells. </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QUILT-3.100 (HPV-Associated Cancers)</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 xml:space="preserve">Phase 1 open label clinical trial evaluating IBRX-042 (hAd5 [E6-E7]) in patients with HPV-associated cancers. </w:t>
      </w:r>
    </w:p>
    <w:p>
      <w:pPr>
        <w:pStyle w:val="TextBody"/>
        <w:bidi w:val="0"/>
        <w:spacing w:lineRule="auto" w:line="288" w:before="120" w:after="283"/>
        <w:jc w:val="left"/>
        <w:rPr/>
      </w:pPr>
      <w:r>
        <w:rPr>
          <w:rFonts w:ascii="Times New Roman;serif" w:hAnsi="Times New Roman;serif"/>
          <w:b/>
          <w:color w:val="000000"/>
          <w:sz w:val="20"/>
        </w:rPr>
        <w:t>Enrollment:</w:t>
      </w:r>
      <w:r>
        <w:rPr>
          <w:color w:val="1D4188"/>
        </w:rPr>
        <w:t xml:space="preserve"> </w:t>
      </w:r>
      <w:r>
        <w:rPr>
          <w:rFonts w:ascii="Times New Roman;serif" w:hAnsi="Times New Roman;serif"/>
          <w:b w:val="false"/>
          <w:color w:val="000000"/>
          <w:sz w:val="20"/>
        </w:rPr>
        <w:t>Up to 18 patients</w:t>
      </w:r>
    </w:p>
    <w:p>
      <w:pPr>
        <w:pStyle w:val="TextBody"/>
        <w:bidi w:val="0"/>
        <w:spacing w:lineRule="auto" w:line="288" w:before="120" w:after="283"/>
        <w:jc w:val="left"/>
        <w:rPr/>
      </w:pPr>
      <w:r>
        <w:rPr>
          <w:rFonts w:ascii="Times New Roman;serif" w:hAnsi="Times New Roman;serif"/>
          <w:b/>
          <w:color w:val="000000"/>
          <w:sz w:val="20"/>
        </w:rPr>
        <w:t xml:space="preserve">Results: </w:t>
      </w:r>
      <w:r>
        <w:rPr>
          <w:rFonts w:ascii="Times New Roman;serif" w:hAnsi="Times New Roman;serif"/>
          <w:b w:val="false"/>
          <w:color w:val="000000"/>
          <w:sz w:val="20"/>
        </w:rPr>
        <w:t xml:space="preserve">The trial achieved its primary objectives, with satisfactory safety and tolerability observed across evaluated dose levels, supporting advancement of the program into subsequent clinical development. </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ResQ-119A (Locally Advanced HPV-Positive Oropharyngeal Squamous Cell Carcinoma)</w:t>
      </w:r>
    </w:p>
    <w:p>
      <w:pPr>
        <w:pStyle w:val="TextBody"/>
        <w:bidi w:val="0"/>
        <w:spacing w:lineRule="auto" w:line="288" w:before="120" w:after="283"/>
        <w:jc w:val="left"/>
        <w:rPr/>
      </w:pPr>
      <w:r>
        <w:rPr>
          <w:rFonts w:ascii="Times New Roman;serif" w:hAnsi="Times New Roman;serif"/>
          <w:b/>
          <w:color w:val="000000"/>
          <w:sz w:val="20"/>
        </w:rPr>
        <w:t>Trial Design:</w:t>
      </w:r>
      <w:r>
        <w:rPr>
          <w:color w:val="000000"/>
        </w:rPr>
        <w:t xml:space="preserve"> </w:t>
      </w:r>
      <w:r>
        <w:rPr>
          <w:rFonts w:ascii="Times New Roman;serif" w:hAnsi="Times New Roman;serif"/>
          <w:b w:val="false"/>
          <w:color w:val="000000"/>
          <w:sz w:val="20"/>
        </w:rPr>
        <w:t>Randomized, Phase 2A/2 clinical trial of ANKTIVA, IBRX-042 (hAd5 [E6-E7]) and Nab-Paclitaxel in locally advanced HPV-positive oropharyngeal squamous cell carcinoma, followed by definitive de-intensified intensity-modulated radiation therapy with concurrent Cisplatin compared to standard-of-care chemo-radiation.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program exemplifies ImmunityBio’s broader strategy of leveraging viral vector technologies to activate immune mediated tumor control in cancers with significant unmet medical need.</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M-ceNK in Solid Tumors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 memory-like cytokine-enhanced natural killer cell program, referred to as M-ceNK, designed to address immune dysfunction and treatment resistance observed in advanced malignancies. The M-ceNK platform is based on the collection of peripheral blood mononuclear cells through standard apheresis procedures, which may be cryopreserved and stored for future manufacturing and clinical use, followed by ex vivo cytokine priming to induce durable metabolic and functional reprogramming of NK cells. This process results in enhanced cytotoxicity, persistence, and immune activation following administration. We have evaluated M-ceNK in early-stage clinical studies, including QUILT 3.076, which assess safety, feasibility, and immune activity of M-ceNK alone and in combination with other ImmunityBio immunotherapy platforms in patients with advanced solid tumors. </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 xml:space="preserve">Prostate Cancer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 to the American Cancer Society, one in eight men will be diagnosed with prostate cancer with an estimated 333,830 new diagnoses in 2026. Prostate cancer is the second leading cause of cancer death in men with 36,320 deaths expected in 2026. </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ResQ210 (Prostate Cancer - Biochemical Recurrence Localized Prostate)</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Randomized trial for radiation induced lymphopenia</w:t>
      </w:r>
      <w:r>
        <w:rPr>
          <w:color w:val="000000"/>
        </w:rPr>
        <w:t xml:space="preserve"> </w:t>
      </w:r>
      <w:r>
        <w:rPr>
          <w:rFonts w:ascii="Times New Roman;serif" w:hAnsi="Times New Roman;serif"/>
          <w:b w:val="false"/>
          <w:color w:val="000000"/>
          <w:sz w:val="20"/>
        </w:rPr>
        <w:t>with radiation alone versus radiation with ANKTIVA.</w:t>
      </w:r>
      <w:r>
        <w:rPr>
          <w:color w:val="000000"/>
        </w:rPr>
        <w:t xml:space="preserve"> </w:t>
      </w:r>
      <w:r>
        <w:rPr>
          <w:rFonts w:ascii="Times New Roman;serif" w:hAnsi="Times New Roman;serif"/>
          <w:b w:val="false"/>
          <w:color w:val="000000"/>
          <w:sz w:val="20"/>
        </w:rPr>
        <w:t>Trial is currently in development.</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Ovarian Cancer (ResQ209)</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According to the American Cancer Society, 21,010 women will be diagnosed with ovarian cancer, and 12,450 deaths are expected in 2026.</w:t>
      </w:r>
    </w:p>
    <w:p>
      <w:pPr>
        <w:pStyle w:val="TextBody"/>
        <w:bidi w:val="0"/>
        <w:spacing w:lineRule="auto" w:line="288" w:before="120" w:after="283"/>
        <w:jc w:val="left"/>
        <w:rPr/>
      </w:pPr>
      <w:r>
        <w:rPr>
          <w:rFonts w:ascii="Times New Roman;serif" w:hAnsi="Times New Roman;serif"/>
          <w:b/>
          <w:color w:val="000000"/>
          <w:sz w:val="20"/>
        </w:rPr>
        <w:t xml:space="preserve">Trial Design: </w:t>
      </w:r>
      <w:r>
        <w:rPr>
          <w:rFonts w:ascii="Times New Roman;serif" w:hAnsi="Times New Roman;serif"/>
          <w:b w:val="false"/>
          <w:color w:val="000000"/>
          <w:sz w:val="20"/>
        </w:rPr>
        <w:t>Open-label Phase 2 trial in patients with platinum-resistant high-grade ovarian cancer.</w:t>
      </w:r>
    </w:p>
    <w:p>
      <w:pPr>
        <w:pStyle w:val="TextBody"/>
        <w:bidi w:val="0"/>
        <w:spacing w:lineRule="auto" w:line="288" w:before="120" w:after="283"/>
        <w:jc w:val="left"/>
        <w:rPr/>
      </w:pPr>
      <w:r>
        <w:rPr>
          <w:rFonts w:ascii="Times New Roman;serif" w:hAnsi="Times New Roman;serif"/>
          <w:b/>
          <w:color w:val="000000"/>
          <w:sz w:val="20"/>
        </w:rPr>
        <w:t>Agents:</w:t>
      </w:r>
      <w:r>
        <w:rPr>
          <w:color w:val="000000"/>
        </w:rPr>
        <w:t xml:space="preserve"> </w:t>
      </w:r>
      <w:r>
        <w:rPr>
          <w:rFonts w:ascii="Times New Roman;serif" w:hAnsi="Times New Roman;serif"/>
          <w:b w:val="false"/>
          <w:color w:val="000000"/>
          <w:sz w:val="20"/>
        </w:rPr>
        <w:t>Apheresis followed by M-ceNK + ANKTIVA + gemcitabine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evaluating M-ceNK in recurrent platinum-resistant high grade ovarian cancer in a Phase 2, open label, single arm trial that combines autologous M-ceNK adoptive cell therapy with a fixed dose of ANKTIVA and gemcitabine. The trial is designed to assess safety and preliminary efficacy in a high unmet need population, with subjects undergoing standard apheresis for collection of mononuclear cells used to manufacture the M-ceNK product, which may be cryopreserved for administration per protocol.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Other indications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ImmunityBio is also evaluating ANKTIVA and other agents in multiple myeloma, HCC, and TNBC. We are currently planning a single arm trial in relapsed multiple myeloma of a bispecific antibody and ANKTIVA (Mount Sinai Multiple Myeloma Network, Samir Parekh). In addition, we plan to initiate a randomized Second line or greater HCC trial including ANKTIVA, zabadinostat and a CPI. Finally, separately we completed QUILT-3.067 in TNBC which included ANKTIVA with our haNK in a single arm trial. Based on these results we are initiating a new Second Line or greater randomized TNBC trial that includes ANKTIVA, our PD-L1 CAR-NK (t-haNK) and a TROP2 antibody. Trial design is pending finalization.</w:t>
      </w: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INFECTIOUS DISEASE PROGRAMS</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HIV</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HIV affects tens of millions of people globally. While ART has increased survival, there is no cure. One research strategy is the “kick and kill” approach: induce HIV out of its latent state to reveal infected cells, then eliminate them via immune response.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ANKTIVA’s mechanism of action may support this approach by activating viral transcription in CD4+ T cells, strongly activating CD8+ effector memory cells and NK cells, and promoting their trafficking to viral reservoir sites.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University of Minnesota/NIAID: Phase 1 trial in ART-suppressed patients. Results showed a small but statistically significant decrease in the frequency of cells with inducible HIV provirus.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NIAID/Rockefeller University (HIV Cure Study): Phase 1 randomized trial (N=46) evaluating whether ANKTIVA alone or with broadly neutralizing antibodies can control HIV following ART interruption.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Thai Red Cross/U.S. Military HIV Research Program: Phase 2 trial (N=14) investigating ANKTIVA during acute HIV infection. Trial completed, data analyses ongoing.</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Long COVID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CDC has described Long COVID as a chronic condition that remains a public health concern. Long COVID may be linked to the persistence of SARS-CoV-2 in tissues, with aberrant NK and T cell function leading to persistent inflammation.</w:t>
      </w:r>
    </w:p>
    <w:p>
      <w:pPr>
        <w:pStyle w:val="TextBody"/>
        <w:bidi w:val="0"/>
        <w:spacing w:lineRule="auto" w:line="288" w:before="120" w:after="283"/>
        <w:jc w:val="left"/>
        <w:rPr/>
      </w:pPr>
      <w:r>
        <w:rPr>
          <w:rFonts w:ascii="Times New Roman;serif" w:hAnsi="Times New Roman;serif"/>
          <w:b/>
          <w:color w:val="000000"/>
          <w:sz w:val="20"/>
        </w:rPr>
        <w:t xml:space="preserve">COVID-4.019-Long: </w:t>
      </w:r>
      <w:r>
        <w:rPr>
          <w:rFonts w:ascii="Times New Roman;serif" w:hAnsi="Times New Roman;serif"/>
          <w:b w:val="false"/>
          <w:color w:val="000000"/>
          <w:sz w:val="20"/>
        </w:rPr>
        <w:t>Phase 2 study (announced August 2025) assessing ANKTIVA in patients meeting World Health Organization Long COVID criteria. Single-arm safety study with up to 40 participants.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MANUFACTURING AND DISTRIBUTION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adopted a strategic position to be vertically-integrated and are committed to the goal of developing our products in compliance with the FDA’s GMP standards for large-scale manufacturing, even during Phase 2 clinical trial development. Biological upstream and downstream manufacturing capabilities, with their attendant know-how and regulatory compliance for approval, have long lead times. We have adopted an approach for preparedness to provide our vaccine, immunotherapy, and cell therapy products at a global scale. As such, we have established our own plants and have access to facilities on a global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create an efficient manufacturing process and supply chain will be important in enabling us to develop novel therapies. Our strategy is to anticipate the needs of our early-stage research and development initiatives for preclinical and eventual clinical product candidates with a focus on rapid capability to produce at scale fusion proteins, hAd5, protein subunits, toll receptor activators, and NK cell products. We believe members of our management team, many of whom have experience in both nanoparticle commercialization and large-scale injectable drug production, are capable of constructing the processes and commissioning the facilities necessary to meet our development and commercialization goals. For well-known processes, we currently work and plan to continue working with established third-party CMOs to produce drug substance and drug products. In addition, we plan to further enhance our in-house manufacturing capabilities for drug substance, drug products, and labeling and packaging.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Overview of our Manufacturing Model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manufacturing capabilities include advanced facilities that produce and test various drug substances, drug products, and cell therapies. Our experienced operations and quality team focuses on internal manufacturing and testing with a commitment to creating robust, high quality, efficient and consistent supply that meets target product profiles. We believe our Phase 1 manufacturing process is engineered to scale efficiently through all clinical-development stages to commercial production.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cGMP Production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the FDA approved our product, ANKTIVA with BCG for the treatment of adult patients with BCG-unresponsive NMIBC CIS with or without papillary tumors. We have contracted with multiple multi-national biologics manufacturers with several cGMP-compliant facilities in the U.S., Europe and Asia for production of ANKTIVA for commercial sale and for use in our clinical trials. While we believe the overall experience of these multi-national biologics manufacturers is important, the work they perform for us may involve only one of their facilities. We believe the facilities used for our commercial sales and clinical trials have robust process development and validation and quality oversight with high-capacity production suites operating multiple 2,000-20,000L production bioreactors and high-capacity fill lines.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Clinical Trial GMP Antibody and Fusion Protein Production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remain committed to establishing a cGMP-compliant multi-platform facility that will house large-scale production of antibodies and fusion proteins (including ANKTIVA) for oncology and infectious disease indications. The facility will feature fully-integrated upstream and downstream biologic production suites and a quality assurance/quality control release laboratory. We may also engage CMOs for select fusion protein candidates.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Clinical Trial GMP Adenovirus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other facilities for adenovirus production in multiple sites in California and a site in Colorado for oncology and infectious diseases. We are committed to the goal of complying with cGMP at these facilities. We believe we possess adequate inventory to supply our ongoing adenovirus-related clinical trial activities for the foreseeable future. We may determine to outsource manufacturing to a third-party CMO beyond the clinical phase. These facilities generally have fully-integrated biologic upstream and downstream production suites and quality assurance/quality control release laboratories for high capacity, continuous, or personalized just-in-time vaccine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Clinical Trial GMP NK Cell Therapy Production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established NK cell therapy manufacturing facilities at multiple California sites dedicated to our oncology programs and are committed to maintaining cGMP compliance at these facilities. One site is dedicated to our off-the-shelf product candidates (including PD-L1 and CD19 CAR-NKs), while another is primarily focused on our M-ceNK product candidates and includes a training lab for our second-generation candidates. We are evaluating our expansion plans for both our CAR-NK (t-haNK) and M-ceNK manufacturing capacity in both the U.S. and globally to enhance our ability to supply our clinical trials, and where appropriate RMAT designation and EAPs, as applicable. We believe we are at the forefront of cell therapy innovation and are working to aggressively implement mass scaling robotic and automation technology along with artificial intelligence to scale our platform globally.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cGMP ISO Class 5 Manufacturing Facility</w:t>
      </w:r>
    </w:p>
    <w:p>
      <w:pPr>
        <w:pStyle w:val="TextBody"/>
        <w:bidi w:val="0"/>
        <w:spacing w:lineRule="auto" w:line="288" w:before="120" w:after="283"/>
        <w:jc w:val="left"/>
        <w:rPr/>
      </w:pPr>
      <w:r>
        <w:rPr>
          <w:rFonts w:ascii="Times New Roman;serif" w:hAnsi="Times New Roman;serif"/>
          <w:b w:val="false"/>
          <w:color w:val="000000"/>
          <w:sz w:val="20"/>
        </w:rPr>
        <w:t xml:space="preserve">We believe our leasehold interest in the Dunkirk Facility has the potential to provide us with a state-of-the-art biotech production center that will expand and diversify our existing manufacturing capacity in the U.S. and the ability to scale production associated with certain of our product candidates. See Item 1A. </w:t>
      </w:r>
      <w:r>
        <w:rPr>
          <w:color w:val="000000"/>
        </w:rPr>
        <w:t>“</w:t>
      </w:r>
      <w:r>
        <w:rPr>
          <w:rFonts w:ascii="Times New Roman;serif" w:hAnsi="Times New Roman;serif"/>
          <w:b w:val="false"/>
          <w:i/>
          <w:color w:val="000000"/>
          <w:sz w:val="20"/>
        </w:rPr>
        <w:t>Risk Factors—</w:t>
      </w:r>
      <w:hyperlink w:anchor="i3bdb262bfe7a4b1abf2baedb35b201e6_368039">
        <w:r>
          <w:rPr>
            <w:rStyle w:val="InternetLink"/>
            <w:rFonts w:ascii="Times New Roman;serif" w:hAnsi="Times New Roman;serif"/>
            <w:b w:val="false"/>
            <w:i/>
            <w:color w:val="0000FF"/>
            <w:sz w:val="20"/>
            <w:u w:val="single"/>
          </w:rPr>
          <w:t>We are party to a public-private partnership regarding our manufacturing facility in Dunkirk, New York, and our failure to meet the obligations of those agreements could materially impact our development, operations and prospects.</w:t>
        </w:r>
      </w:hyperlink>
      <w:r>
        <w:rPr>
          <w:color w:val="000000"/>
        </w:rPr>
        <w:t xml:space="preserv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Manufacture of Platform Product Candidates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diverse pipeline of products and candidates requires a broad knowledge of various manufacturing and quality assurance methods. We have invested heavily in the processes, systems, and technology to establish an extensive range of manufacturing programs spanning various levels of development from IND-enablement through BLA preparation for our Cancer BioShield platform. We believe our strategy of selectively leveraging third-party CMOs for certain of our assets at various stages, coupled with internal development, gives us assurance that any products will have backup manufacturing options.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Marketing and Distribution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approval of our product, ANKTIVA, by the FDA in April 2024, we continue building out our differentiated commercial infrastructure, including seasoned branding, marketing, sales, medical affairs, and market access teams initially focused in the urology space. We began commercial distribution of our approved product in May 2024 and have engaged a leading third-party logistics provider in a title model to enable commercial distribution. We have contracted with large specialty distributors and a large specialty pharmacy provider to make our commercial product available across relevant clinics, hospitals, infusion centers, and government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COMPETITION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intensely competitive. We face competition from major, specialty, and biotechnology pharmaceutical companies worldwide. Our approved product and other product candidates that we successfully develop and commercialize will compete with current therapies and new therapies that may become available in the future.</w:t>
      </w:r>
    </w:p>
    <w:p>
      <w:pPr>
        <w:pStyle w:val="TextBody"/>
        <w:bidi w:val="0"/>
        <w:spacing w:lineRule="auto" w:line="288" w:before="120" w:after="283"/>
        <w:jc w:val="left"/>
        <w:rPr>
          <w:rFonts w:ascii="Times New Roman;serif" w:hAnsi="Times New Roman;serif"/>
          <w:b/>
          <w:color w:val="1B4486"/>
          <w:sz w:val="22"/>
        </w:rPr>
      </w:pPr>
      <w:r>
        <w:rPr>
          <w:rFonts w:ascii="Times New Roman;serif" w:hAnsi="Times New Roman;serif"/>
          <w:b/>
          <w:color w:val="1B4486"/>
          <w:sz w:val="22"/>
        </w:rPr>
        <w:t>Competitive Landscape by Indication</w:t>
      </w:r>
    </w:p>
    <w:p>
      <w:pPr>
        <w:pStyle w:val="TextBody"/>
        <w:bidi w:val="0"/>
        <w:spacing w:lineRule="auto" w:line="288" w:before="120" w:after="283"/>
        <w:jc w:val="left"/>
        <w:rPr>
          <w:rFonts w:ascii="Times New Roman;serif" w:hAnsi="Times New Roman;serif"/>
          <w:b/>
          <w:color w:val="1B4486"/>
          <w:sz w:val="20"/>
        </w:rPr>
      </w:pPr>
      <w:r>
        <w:rPr>
          <w:rFonts w:ascii="Times New Roman;serif" w:hAnsi="Times New Roman;serif"/>
          <w:b/>
          <w:color w:val="1B4486"/>
          <w:sz w:val="20"/>
        </w:rPr>
        <w:t>NMIBC</w:t>
      </w:r>
    </w:p>
    <w:p>
      <w:pPr>
        <w:pStyle w:val="TextBody"/>
        <w:bidi w:val="0"/>
        <w:spacing w:lineRule="auto" w:line="288" w:before="120" w:after="283"/>
        <w:jc w:val="left"/>
        <w:rPr/>
      </w:pPr>
      <w:r>
        <w:rPr>
          <w:rFonts w:ascii="Times New Roman;serif" w:hAnsi="Times New Roman;serif"/>
          <w:b/>
          <w:color w:val="000000"/>
          <w:sz w:val="20"/>
        </w:rPr>
        <w:t xml:space="preserve">Current Standard of Care: </w:t>
      </w:r>
      <w:r>
        <w:rPr>
          <w:rFonts w:ascii="Times New Roman;serif" w:hAnsi="Times New Roman;serif"/>
          <w:b w:val="false"/>
          <w:color w:val="000000"/>
          <w:sz w:val="20"/>
        </w:rPr>
        <w:t>BCG (TICE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BCG, Merck) has been the standard treatment for decades but is subject to chronic supply shortages.</w:t>
      </w:r>
    </w:p>
    <w:p>
      <w:pPr>
        <w:pStyle w:val="TextBody"/>
        <w:bidi w:val="0"/>
        <w:spacing w:lineRule="auto" w:line="288" w:before="120" w:after="283"/>
        <w:jc w:val="left"/>
        <w:rPr/>
      </w:pPr>
      <w:r>
        <w:rPr>
          <w:rFonts w:ascii="Times New Roman;serif" w:hAnsi="Times New Roman;serif"/>
          <w:b/>
          <w:color w:val="000000"/>
          <w:sz w:val="20"/>
        </w:rPr>
        <w:t xml:space="preserve">Approved Therapies: </w:t>
      </w:r>
      <w:r>
        <w:rPr>
          <w:rFonts w:ascii="Times New Roman;serif" w:hAnsi="Times New Roman;serif"/>
          <w:b w:val="false"/>
          <w:color w:val="000000"/>
          <w:sz w:val="20"/>
        </w:rPr>
        <w:t>Beyond ANKTIVA being approved for BCG-unresponsive NMBIC CIS with or without papillary tumors, pembrolizumab (KEYTRUDA, Merck), nadofaragene firadenovec-vncg (ADSTRILADRIN</w:t>
      </w:r>
      <w:r>
        <w:rPr>
          <w:rFonts w:ascii="Times New Roman;serif" w:hAnsi="Times New Roman;serif"/>
          <w:b w:val="false"/>
          <w:color w:val="000000"/>
          <w:sz w:val="13"/>
        </w:rPr>
        <w:t>®</w:t>
      </w:r>
      <w:r>
        <w:rPr>
          <w:rFonts w:ascii="Times New Roman;serif" w:hAnsi="Times New Roman;serif"/>
          <w:b w:val="false"/>
          <w:color w:val="000000"/>
          <w:sz w:val="20"/>
        </w:rPr>
        <w:t>, Ferring), and INLEXZO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(Janssen Biotech, Inc., a Johnson &amp; Johnson company) are approved for BCG-unresponsive NMIBC CIS in patients ineligible for, or who have elected not to undergo, cystectomy. </w:t>
      </w:r>
    </w:p>
    <w:p>
      <w:pPr>
        <w:pStyle w:val="TextBody"/>
        <w:bidi w:val="0"/>
        <w:spacing w:lineRule="auto" w:line="288" w:before="120" w:after="283"/>
        <w:jc w:val="left"/>
        <w:rPr/>
      </w:pPr>
      <w:r>
        <w:rPr>
          <w:rFonts w:ascii="Times New Roman;serif" w:hAnsi="Times New Roman;serif"/>
          <w:b/>
          <w:color w:val="000000"/>
          <w:sz w:val="20"/>
        </w:rPr>
        <w:t xml:space="preserve">Development Stage: </w:t>
      </w:r>
      <w:r>
        <w:rPr>
          <w:rFonts w:ascii="Times New Roman;serif" w:hAnsi="Times New Roman;serif"/>
          <w:b w:val="false"/>
          <w:color w:val="000000"/>
          <w:sz w:val="20"/>
        </w:rPr>
        <w:t>Several therapies are in clinical development for BCG-unresponsive NMIBC.</w:t>
      </w:r>
    </w:p>
    <w:p>
      <w:pPr>
        <w:pStyle w:val="TextBody"/>
        <w:bidi w:val="0"/>
        <w:spacing w:lineRule="auto" w:line="288" w:before="120" w:after="283"/>
        <w:jc w:val="left"/>
        <w:rPr/>
      </w:pPr>
      <w:r>
        <w:rPr>
          <w:rFonts w:ascii="Times New Roman;serif" w:hAnsi="Times New Roman;serif"/>
          <w:b/>
          <w:color w:val="000000"/>
          <w:sz w:val="20"/>
        </w:rPr>
        <w:t xml:space="preserve">Our Position: </w:t>
      </w:r>
      <w:r>
        <w:rPr>
          <w:rFonts w:ascii="Times New Roman;serif" w:hAnsi="Times New Roman;serif"/>
          <w:b w:val="false"/>
          <w:color w:val="000000"/>
          <w:sz w:val="20"/>
        </w:rPr>
        <w:t xml:space="preserve">ANKTIVA is approved in four jurisdictions for BCG-unresponsive NMIBC. Our clinical data demonstrate durable complete responses lasting up to 54 months, with high rates of bladder preservation. We believe our partnership with Serum Institute has the potential to alleviate U.S. BCG supply constraints.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1B4486"/>
          <w:sz w:val="20"/>
        </w:rPr>
      </w:pPr>
      <w:r>
        <w:rPr>
          <w:rFonts w:ascii="Times New Roman;serif" w:hAnsi="Times New Roman;serif"/>
          <w:b/>
          <w:color w:val="1B4486"/>
          <w:sz w:val="20"/>
        </w:rPr>
        <w:t>NSCLC</w:t>
      </w:r>
    </w:p>
    <w:p>
      <w:pPr>
        <w:pStyle w:val="TextBody"/>
        <w:bidi w:val="0"/>
        <w:spacing w:lineRule="auto" w:line="288" w:before="120" w:after="283"/>
        <w:jc w:val="left"/>
        <w:rPr/>
      </w:pPr>
      <w:r>
        <w:rPr>
          <w:rFonts w:ascii="Times New Roman;serif" w:hAnsi="Times New Roman;serif"/>
          <w:b/>
          <w:color w:val="000000"/>
          <w:sz w:val="20"/>
        </w:rPr>
        <w:t xml:space="preserve">Established Therapies: </w:t>
      </w:r>
      <w:r>
        <w:rPr>
          <w:rFonts w:ascii="Times New Roman;serif" w:hAnsi="Times New Roman;serif"/>
          <w:b w:val="false"/>
          <w:color w:val="000000"/>
          <w:sz w:val="20"/>
        </w:rPr>
        <w:t>CPIs, including pembrolizumab (KEYTRUDA, Merck), nivolumab (OPDIVO</w:t>
      </w:r>
      <w:r>
        <w:rPr>
          <w:rFonts w:ascii="Times New Roman;serif" w:hAnsi="Times New Roman;serif"/>
          <w:b w:val="false"/>
          <w:color w:val="000000"/>
          <w:sz w:val="13"/>
        </w:rPr>
        <w:t>®</w:t>
      </w:r>
      <w:r>
        <w:rPr>
          <w:rFonts w:ascii="Times New Roman;serif" w:hAnsi="Times New Roman;serif"/>
          <w:b w:val="false"/>
          <w:color w:val="000000"/>
          <w:sz w:val="20"/>
        </w:rPr>
        <w:t>, Bristol Myers Squibb), and atezolizumab (TECENTRIQ</w:t>
      </w:r>
      <w:r>
        <w:rPr>
          <w:rFonts w:ascii="Times New Roman;serif" w:hAnsi="Times New Roman;serif"/>
          <w:b w:val="false"/>
          <w:color w:val="000000"/>
          <w:sz w:val="13"/>
        </w:rPr>
        <w:t>®</w:t>
      </w:r>
      <w:r>
        <w:rPr>
          <w:rFonts w:ascii="Times New Roman;serif" w:hAnsi="Times New Roman;serif"/>
          <w:b w:val="false"/>
          <w:color w:val="000000"/>
          <w:sz w:val="20"/>
        </w:rPr>
        <w:t>, Roche), are established treatments for NSCLC.</w:t>
      </w:r>
    </w:p>
    <w:p>
      <w:pPr>
        <w:pStyle w:val="TextBody"/>
        <w:bidi w:val="0"/>
        <w:spacing w:lineRule="auto" w:line="288" w:before="120" w:after="283"/>
        <w:jc w:val="left"/>
        <w:rPr/>
      </w:pPr>
      <w:r>
        <w:rPr>
          <w:rFonts w:ascii="Times New Roman;serif" w:hAnsi="Times New Roman;serif"/>
          <w:b/>
          <w:color w:val="000000"/>
          <w:sz w:val="20"/>
        </w:rPr>
        <w:t xml:space="preserve">Emerging Therapies: </w:t>
      </w:r>
      <w:r>
        <w:rPr>
          <w:rFonts w:ascii="Times New Roman;serif" w:hAnsi="Times New Roman;serif"/>
          <w:b w:val="false"/>
          <w:color w:val="000000"/>
          <w:sz w:val="20"/>
        </w:rPr>
        <w:t>Various combination regimens and bispecific antibodies are in development.</w:t>
      </w:r>
    </w:p>
    <w:p>
      <w:pPr>
        <w:pStyle w:val="TextBody"/>
        <w:bidi w:val="0"/>
        <w:spacing w:lineRule="auto" w:line="288" w:before="120" w:after="283"/>
        <w:jc w:val="left"/>
        <w:rPr/>
      </w:pPr>
      <w:r>
        <w:rPr>
          <w:rFonts w:ascii="Times New Roman;serif" w:hAnsi="Times New Roman;serif"/>
          <w:b/>
          <w:color w:val="000000"/>
          <w:sz w:val="20"/>
        </w:rPr>
        <w:t xml:space="preserve">Our Position: </w:t>
      </w:r>
      <w:r>
        <w:rPr>
          <w:rFonts w:ascii="Times New Roman;serif" w:hAnsi="Times New Roman;serif"/>
          <w:b w:val="false"/>
          <w:color w:val="000000"/>
          <w:sz w:val="20"/>
        </w:rPr>
        <w:t>ANKTIVA received accelerated approval from the SFDA in January 2026 for the treatment of metastatic NSCLC in combination with CPIs. Our clinical data demonstrate an association between lymphocyte restoration and improved survival, supporting a differentiated mechanism of action.</w:t>
      </w:r>
    </w:p>
    <w:p>
      <w:pPr>
        <w:pStyle w:val="TextBody"/>
        <w:bidi w:val="0"/>
        <w:spacing w:lineRule="auto" w:line="288" w:before="240" w:after="283"/>
        <w:jc w:val="left"/>
        <w:rPr>
          <w:rFonts w:ascii="Times New Roman;serif" w:hAnsi="Times New Roman;serif"/>
          <w:b/>
          <w:color w:val="1B4486"/>
          <w:sz w:val="20"/>
        </w:rPr>
      </w:pPr>
      <w:r>
        <w:rPr>
          <w:rFonts w:ascii="Times New Roman;serif" w:hAnsi="Times New Roman;serif"/>
          <w:b/>
          <w:color w:val="1B4486"/>
          <w:sz w:val="20"/>
        </w:rPr>
        <w:t>Cell Therapy</w:t>
      </w:r>
    </w:p>
    <w:p>
      <w:pPr>
        <w:pStyle w:val="TextBody"/>
        <w:bidi w:val="0"/>
        <w:spacing w:lineRule="auto" w:line="288" w:before="120" w:after="283"/>
        <w:jc w:val="left"/>
        <w:rPr/>
      </w:pPr>
      <w:r>
        <w:rPr>
          <w:rFonts w:ascii="Times New Roman;serif" w:hAnsi="Times New Roman;serif"/>
          <w:b/>
          <w:color w:val="000000"/>
          <w:sz w:val="20"/>
        </w:rPr>
        <w:t xml:space="preserve">Approved CAR-T Products: </w:t>
      </w:r>
      <w:r>
        <w:rPr>
          <w:rFonts w:ascii="Times New Roman;serif" w:hAnsi="Times New Roman;serif"/>
          <w:b w:val="false"/>
          <w:color w:val="000000"/>
          <w:sz w:val="20"/>
        </w:rPr>
        <w:t>Multiple autologous CAR-T products are approved, including tisagenlecluecel (KYMRIAH</w:t>
      </w:r>
      <w:r>
        <w:rPr>
          <w:rFonts w:ascii="Times New Roman;serif" w:hAnsi="Times New Roman;serif"/>
          <w:b w:val="false"/>
          <w:color w:val="000000"/>
          <w:sz w:val="13"/>
        </w:rPr>
        <w:t>®</w:t>
      </w:r>
      <w:r>
        <w:rPr>
          <w:rFonts w:ascii="Times New Roman;serif" w:hAnsi="Times New Roman;serif"/>
          <w:b w:val="false"/>
          <w:color w:val="000000"/>
          <w:sz w:val="20"/>
        </w:rPr>
        <w:t>, Novartis), axicabtagene ciloleucel (YESCARTA</w:t>
      </w:r>
      <w:r>
        <w:rPr>
          <w:rFonts w:ascii="Times New Roman;serif" w:hAnsi="Times New Roman;serif"/>
          <w:b w:val="false"/>
          <w:color w:val="000000"/>
          <w:sz w:val="13"/>
        </w:rPr>
        <w:t>®</w:t>
      </w:r>
      <w:r>
        <w:rPr>
          <w:rFonts w:ascii="Times New Roman;serif" w:hAnsi="Times New Roman;serif"/>
          <w:b w:val="false"/>
          <w:color w:val="000000"/>
          <w:sz w:val="20"/>
        </w:rPr>
        <w:t>, Kite/Gilead), lisocabtagene maraleucel (BREYANZI</w:t>
      </w:r>
      <w:r>
        <w:rPr>
          <w:rFonts w:ascii="Times New Roman;serif" w:hAnsi="Times New Roman;serif"/>
          <w:b w:val="false"/>
          <w:color w:val="000000"/>
          <w:sz w:val="13"/>
        </w:rPr>
        <w:t>®</w:t>
      </w:r>
      <w:r>
        <w:rPr>
          <w:rFonts w:ascii="Times New Roman;serif" w:hAnsi="Times New Roman;serif"/>
          <w:b w:val="false"/>
          <w:color w:val="000000"/>
          <w:sz w:val="20"/>
        </w:rPr>
        <w:t>, Bristol Myers Squibb), idecabtagene vicleucel (ABECMA</w:t>
      </w:r>
      <w:r>
        <w:rPr>
          <w:rFonts w:ascii="Times New Roman;serif" w:hAnsi="Times New Roman;serif"/>
          <w:b w:val="false"/>
          <w:color w:val="000000"/>
          <w:sz w:val="13"/>
        </w:rPr>
        <w:t>®</w:t>
      </w:r>
      <w:r>
        <w:rPr>
          <w:rFonts w:ascii="Times New Roman;serif" w:hAnsi="Times New Roman;serif"/>
          <w:b w:val="false"/>
          <w:color w:val="000000"/>
          <w:sz w:val="20"/>
        </w:rPr>
        <w:t>, Bristol Myers Squibb), and ciltacabtagene autoleucel (CARVYKTI</w:t>
      </w:r>
      <w:r>
        <w:rPr>
          <w:rFonts w:ascii="Times New Roman;serif" w:hAnsi="Times New Roman;serif"/>
          <w:b w:val="false"/>
          <w:color w:val="000000"/>
          <w:sz w:val="13"/>
        </w:rPr>
        <w:t>®</w:t>
      </w:r>
      <w:r>
        <w:rPr>
          <w:rFonts w:ascii="Times New Roman;serif" w:hAnsi="Times New Roman;serif"/>
          <w:b w:val="false"/>
          <w:color w:val="000000"/>
          <w:sz w:val="20"/>
        </w:rPr>
        <w:t>, Janssen/Legend). These products require lymphodepleting chemotherapy and are often administered in inpatient settings.</w:t>
      </w:r>
    </w:p>
    <w:p>
      <w:pPr>
        <w:pStyle w:val="TextBody"/>
        <w:bidi w:val="0"/>
        <w:spacing w:lineRule="auto" w:line="288" w:before="120" w:after="283"/>
        <w:jc w:val="left"/>
        <w:rPr/>
      </w:pPr>
      <w:r>
        <w:rPr>
          <w:rFonts w:ascii="Times New Roman;serif" w:hAnsi="Times New Roman;serif"/>
          <w:b/>
          <w:color w:val="000000"/>
          <w:sz w:val="20"/>
        </w:rPr>
        <w:t xml:space="preserve">Our Position: </w:t>
      </w:r>
      <w:r>
        <w:rPr>
          <w:rFonts w:ascii="Times New Roman;serif" w:hAnsi="Times New Roman;serif"/>
          <w:b w:val="false"/>
          <w:color w:val="000000"/>
          <w:sz w:val="20"/>
        </w:rPr>
        <w:t>Our off-the-shelf CAR-NK platform is being evaluated in clinical trials without lymphodepleting chemotherapy and are administered in outpatient settings. To date, we have not observed cytokine release syndrome or immune effector cell-associated neurotoxicity syndrome in our CAR-NK trials, though our clinical experience remains limited.</w:t>
      </w:r>
    </w:p>
    <w:p>
      <w:pPr>
        <w:pStyle w:val="TextBody"/>
        <w:bidi w:val="0"/>
        <w:spacing w:lineRule="auto" w:line="288" w:before="240" w:after="283"/>
        <w:jc w:val="left"/>
        <w:rPr>
          <w:rFonts w:ascii="Times New Roman;serif" w:hAnsi="Times New Roman;serif"/>
          <w:b/>
          <w:color w:val="1B4486"/>
          <w:sz w:val="20"/>
        </w:rPr>
      </w:pPr>
      <w:r>
        <w:rPr>
          <w:rFonts w:ascii="Times New Roman;serif" w:hAnsi="Times New Roman;serif"/>
          <w:b/>
          <w:color w:val="1B4486"/>
          <w:sz w:val="20"/>
        </w:rPr>
        <w:t>IL-15 Agonists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based on publicly available information, ANKTIVA is the only FDA-approved IL-15 receptor superagonist. Several biotechnology companies are developing IL-15-based therapies at various stages of clinical development. There can be no assurance that we will maintain any competitive advantages as other IL-15 therapies advance in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INTELLECTUAL PROPERTY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filing patent applications in the U.S. and in jurisdictions outside of the U.S.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cancer therapeutics and immunotherapy. We expect to rely on data exclusivity, market exclusivity, patent term adjustment and patent term extensions when available, as well as on regulatory protection afforded through orphan drug designations. Our commercial success will depend in part on our ability to obtain and maintain patent and other proprietary protection for our product candidates, technology, inventions, and improvements; to preserve the confidentiality of our trade secrets; to maintain our licenses to use intellectual property owned by third parties; to defend and enforce our proprietary rights, including our patents; and to operate without infringing, misappropriating or otherwise violating the valid and enforceable patents and other proprietary rights of third parties.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acquired, and in-licensed patents and patent applications across platforms as previously described for activated NK and T cells, and memory T cell activation. With respect to activated NK and T cells, we have developed N-803, an N72D variant IL-15 complexed to a dimeric IL-15Rα/Fc fusion protein and with respect to memory T cell activation, we have developed adenoviral immunotherapies expressing TAAs such as CEA, MUC1, and Brachyury.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 patents and patent applications related to the development and commercialization of N-803 in the U.S. and jurisdictions outside of the U.S. Our owned patent portfolio is directed to compositions of matter of N-803, methods of use of N-803, and combinations with additional therapeutics. Excluding any patent term adjustment and patent term extension, the issued U.S. patents directed to N-803 are expected to expire from 2028 to 2040. If patents issue from our pending U.S. patent applications, excluding any patent term adjustment and patent term extension, such patents will be expected to expire from 2031 to 2045. For example, these patents and patent applications include claims directed to: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compositions of matter of N-803;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uses of N-803 in methods of treating cancers;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uses of N-803 in treating HIV;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combination treatments using N-803 and additional therapeutics.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submitted applications to the USPTO for the extension of the patent term of several U.S. patents directed to compositions of matter of N-803, methods of use of N-803 and methods of manufacture of N-803. These applications are currently under review by the USPTO and FDA.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 co-own, and in-license patents and patent applications related to the development and commercialization of cell-based therapies in the U.S. and jurisdictions outside of the U.S. Our owned, co-owned, and in-licensed patent portfolio is directed to compositions of matter of NK, haNK, and t-haNK cell lines, methods of use of these cells, and combinations with additional therapeutics. Excluding any patent term adjustment and patent term extension, the issued U.S. patents directed to these cell therapies, methods of use, and combinations with additional therapeutics are expected to expire from 2034 to 2040. If patents issue from our pending U.S. patent applications, excluding any patent term adjustment and patent term extension, such patents will be expected to expire from 2034 to 2045. For example, these patents and patent applications include claims directed to: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NK cells;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haNK cells;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EGFR NK-CAR;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CD19 NK-CAR;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HER2 NK-CAR;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PD-L1 CAR-NK. </w:t>
      </w:r>
    </w:p>
    <w:p>
      <w:pPr>
        <w:pStyle w:val="TextBody"/>
        <w:bidi w:val="0"/>
        <w:spacing w:lineRule="auto" w:line="288" w:before="180" w:after="283"/>
        <w:jc w:val="left"/>
        <w:rPr/>
      </w:pPr>
      <w:r>
        <w:rPr>
          <w:rFonts w:ascii="Times New Roman;serif" w:hAnsi="Times New Roman;serif"/>
          <w:b w:val="false"/>
          <w:color w:val="000000"/>
          <w:sz w:val="20"/>
        </w:rPr>
        <w:t xml:space="preserve">As of December 31, 2025, we own patents and patent applications related to development and commercialization of multi-functional antibody-based cytokine fusion proteins targeting the IL-12 pathway, the IL-15 pathway, TGF-ß, </w:t>
      </w:r>
      <w:r>
        <w:rPr>
          <w:rFonts w:ascii="Times New Roman;serif" w:hAnsi="Times New Roman;serif"/>
          <w:b w:val="false"/>
          <w:color w:val="000000"/>
          <w:sz w:val="20"/>
          <w:shd w:fill="FFFFFF" w:val="clear"/>
        </w:rPr>
        <w:t>PD-L1 and CD20</w:t>
      </w:r>
      <w:r>
        <w:rPr>
          <w:color w:val="000000"/>
        </w:rPr>
        <w:t xml:space="preserve"> </w:t>
      </w:r>
      <w:r>
        <w:rPr>
          <w:rFonts w:ascii="Times New Roman;serif" w:hAnsi="Times New Roman;serif"/>
          <w:b w:val="false"/>
          <w:color w:val="000000"/>
          <w:sz w:val="20"/>
        </w:rPr>
        <w:t xml:space="preserve">in the U.S. and jurisdictions outside of the U.S. Our owned patent portfolio is directed to compositions of matter and methods of use of these fusion proteins. Excluding any patent term adjustment and patent term extension, the issued U.S. patents directed to these fusion proteins are expected to expire from 2028 to 2039. If patents issue from our pending U.S. patent applications, excluding any patent term adjustment and patent term extension, these patents will be expected to expire from 2028 to 2044. For example, these patents and patent applications include claims directed to fusions of CPI and TAA binding antibodies and binding molecules with IL-15/IL-15Rα/Fc fusion proteins complexes.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 patents and patent applications related to development and commercialization of multi-functional cytokine fusion proteins targeting TGF-ß, the IL-15 pathway, the IL-21 pathway, and CD16 in the U.S. and jurisdictions outside of the U.S. Our owned patent portfolio is directed to compositions of matter and methods of use of these fusion proteins. Excluding any patent term adjustment and patent term extension, the issued U.S. patents directed to these fusion proteins are expected to expire from 2039 to 2041. If patents issue from our pending U.S. patent applications, excluding any patent term adjustment and patent term extension, these patents will be expected to expire from 2039 to 2045. For example, these patents and patent applications include claims directed to fusions of human transforming growth factor receptor and/or IL-15 with tissue factor.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exclusively own, and co-own with and in-license from the HHS, patents and patent applications related to the development and commercialization of adenovirus-based cancer and viral immunotherapies, in the U.S. and jurisdictions outside of the U.S. Our patent portfolio is directed to compositions of matter of adenovirus and methods of use of adenovirus in treating or preventing cancer and viral diseases. Excluding any patent term adjustment and patent term extension, the issued U.S. patents directed to adenovirus-based cancer and viral immunotherapies are expected to expire from 2028 to 2044. If patents issue from our pending U.S. patent applications, excluding any patent term adjustment and patent term extension, such patents will be expected to expire from 2030 to 2044. For example, these patents and patent applications include claims directed to: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adenovirus vectors and virus particles comprising TAAs;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uses of adenovirus vectors and virus particles in methods of treating cancers.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 U.S. patents and pending U.S. patent applications directed to therapeutics for COVID-19. Some of these patent applications are directed to the use of our adenovirus technologies for a COVID-19 vaccine. Excluding any patent term adjustment and patent term extension, the issued U.S. patents directed to therapeutics for COVID-19 are expected to expire in 2040 and 2042. If any patents issue from our pending U.S. patent applications, excluding any patent term adjustment and patent term extension, such patents will be expected to expire in 2040 and 2045.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 patents and patent applications related to the development and commercialization of GMP-in-a-Box in the U.S. and jurisdictions outside of the U.S. Our patent portfolio is directed to GMP-in-a-Box. Excluding any patent term adjustment and patent term extension, the issued U.S. patents directed to GMP-in-a-Box are expected to expire from 2030 to 2037. For example, these patents and patent applications include claims directed to methods, bioreactors, and apparatuses for monitoring and culturing cells.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individual patents extend for varying periods of time, depending upon the date of filing of the patent application, the date of patent issuance, and the legal term of patents in the countries in which they are obtained. Generally, patents issued for applications filed in the U.S. are effective for 20 years from the earliest effective filing date of a non-provisional patent application. The patent term may be adjusted to compensate for delayed patent issuance when such delays are caused by the USPTO or successful appeals against USPTO actions. There is no statutory limit on this patent term adjustment, which is generally the length of any such delays caused by the USPTO. In addition, in certain instances, a patent term can be extended to recapture a portion of the term effectively lost as a result of the FDA regulatory review period. The restoration period cannot be longer than five years, the total patent term, including the restoration period, must not exceed 14 years following FDA approval, only one patent applicable to an approved drug may be extended and only those claims covering the approved drug, a method for using it, or a method for manufacturing it may be extended. While we are seeking such patent term extensions where applicable, there is no guarantee that the USPTO and/or FDA will agree with our assessment of whether such extensions should be granted, and if granted, the length of such extensions. While we plan to seek such patent term adjustments where applicable, there is no guarantee that the USPTO will agree with our assessment of whether such adjustments should be granted, and if granted, the length of such adjustments. The duration of patents outside of the U.S. varies in accordance with provisions of applicable local law but typically is also 20 years from the earliest effective filing date. However, the actual protection afforded by a patent varies on a product-by-product and country-to-country basis and depends upon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positions of companies like ours are generally uncertain and involve complex legal and factual questions. No consistent policy regarding the scope of claims allowable in patents in the field of immunotherapy has emerged in the U.S. The patent situation outside of the U.S. is even more uncertain. Changes in either the patent laws or their interpretation in the U.S.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owned intellectual property, we cannot be sure that patents will be granted with respect to any current pending patent applications or with respect to any patent applications filed in the future, nor can we be sure that any existing patents or any patents that may be granted in the future will be commercially useful in protecting our approved product and other product candidates and the methods used to manufacture our approved product and those other product candidates. Moreover, even our issued patents do not guarantee us the right to practice our technology in relation to the commercialization of our approved product and other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candidates. The area of patent and other intellectual property rights in biotechnology is an evolving one with many risks and uncertainties, and third parties may have blocking patents that could be used to prevent us from commercializing our approved product and other product candidates and practicing our technology. Our issued patents and those that may issue in the future may be challenged, invalidated, or circumvented, which could limit our ability to stop competitors from marketing related products or limit the length of the term of patent protection that we may have for our approved product and other product candidates. In addition, the rights granted under any issued patents may not provide us with protection or competitive advantages against competitors with similar technology. Furthermore, our competitors may independently develop similar technologies. For these reasons, we may have competition for our approved product and other product candidates. Moreover, because of the extensive time required for development, testing and regulatory review of a potential product candidate, it is possible that, before any particular product candidate can be commercialized, any related patent may expire or remain in force for only a short period following commercialization, thereby reducing any advantage of the patent. </w:t>
      </w:r>
    </w:p>
    <w:p>
      <w:pPr>
        <w:pStyle w:val="TextBody"/>
        <w:bidi w:val="0"/>
        <w:spacing w:lineRule="auto" w:line="288" w:before="240" w:after="283"/>
        <w:jc w:val="left"/>
        <w:rPr/>
      </w:pPr>
      <w:r>
        <w:rPr>
          <w:rFonts w:ascii="Times New Roman;serif" w:hAnsi="Times New Roman;serif"/>
          <w:b w:val="false"/>
          <w:color w:val="000000"/>
          <w:sz w:val="20"/>
        </w:rPr>
        <w:t xml:space="preserve">Our registered trademark portfolio currently contains registered trademarks in the U.S. and in foreign jurisdictions and pending trademark applications in the U.S. and in foreign jurisdictions. We may also rely, in some circumstances, on trade secrets to protect our technology. However, trade secrets are difficult to protect. We seek to protect our trade secrets and other proprietary information,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or advisors use intellectual property owned by others in their work for us, disputes may arise as to the rights in related or resulting know-how and inventions. See Item 1A. </w:t>
      </w:r>
      <w:r>
        <w:rPr>
          <w:color w:val="000000"/>
        </w:rPr>
        <w:t>“</w:t>
      </w:r>
      <w:r>
        <w:rPr>
          <w:rFonts w:ascii="Times New Roman;serif" w:hAnsi="Times New Roman;serif"/>
          <w:b w:val="false"/>
          <w:i/>
          <w:color w:val="000000"/>
          <w:sz w:val="20"/>
        </w:rPr>
        <w:t>Risk Factors—</w:t>
      </w:r>
      <w:hyperlink w:anchor="i3bdb262bfe7a4b1abf2baedb35b201e6_368042">
        <w:r>
          <w:rPr>
            <w:rStyle w:val="InternetLink"/>
            <w:rFonts w:ascii="Times New Roman;serif" w:hAnsi="Times New Roman;serif"/>
            <w:b w:val="false"/>
            <w:i/>
            <w:color w:val="0000FF"/>
            <w:sz w:val="20"/>
            <w:u w:val="single"/>
          </w:rPr>
          <w:t>Risks Related to Intellectual Property</w:t>
        </w:r>
      </w:hyperlink>
      <w:r>
        <w:rPr>
          <w:color w:val="000000"/>
        </w:rPr>
        <w:t xml:space="preserve">” </w:t>
      </w:r>
      <w:r>
        <w:rPr>
          <w:rFonts w:ascii="Times New Roman;serif" w:hAnsi="Times New Roman;serif"/>
          <w:b w:val="false"/>
          <w:color w:val="000000"/>
          <w:sz w:val="20"/>
        </w:rPr>
        <w:t>and Item 3. </w:t>
      </w:r>
      <w:r>
        <w:rPr>
          <w:color w:val="000000"/>
        </w:rPr>
        <w:t>“</w:t>
      </w:r>
      <w:hyperlink w:anchor="i49f82bc2aa33405eae1e0b45f37d1ae6_85">
        <w:r>
          <w:rPr>
            <w:rStyle w:val="InternetLink"/>
            <w:rFonts w:ascii="Times New Roman;serif" w:hAnsi="Times New Roman;serif"/>
            <w:b w:val="false"/>
            <w:i/>
            <w:color w:val="0000FF"/>
            <w:sz w:val="20"/>
            <w:u w:val="single"/>
          </w:rPr>
          <w:t>Legal Proceedings</w:t>
        </w:r>
      </w:hyperlink>
      <w:r>
        <w:rPr>
          <w:color w:val="000000"/>
        </w:rPr>
        <w:t xml:space="preserve">” </w:t>
      </w:r>
      <w:r>
        <w:rPr>
          <w:rFonts w:ascii="Times New Roman;serif" w:hAnsi="Times New Roman;serif"/>
          <w:b w:val="false"/>
          <w:color w:val="000000"/>
          <w:sz w:val="20"/>
        </w:rPr>
        <w:t xml:space="preserve">of this Annual Report for risks related to our proprietary technology, inventions, improvements, and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COLLABORATION AND LICENSE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strategic collaborations will continue to be an integral part of our operations, providing opportunities to leverage our partners’ expertise and capabilities to gain access to new technologies and further expand the potential of our technologies and product candidates across relevant platforms. We believe we are well positioned to become a leader in immunotherapy due to our broad and vertically-integrated platforms and through complementary strategic partnerships. Agreements shown below have been arranged in alphabetical order.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certain of our collaboration and license agreements is not a comprehensive listing of all such agreements to which we are a party, and the inclusion of a description of any collaboration or license agreement is not an indication that we consider such agreement(s) to be material to our business and operations as a whole, which is a dynamic and evolving analysis and may change over time.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Collaboration Agreements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National Cancer Institute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began their relationship with HHS, as represented by the NCI of the NIH in 2015. Pursuant to the CRADAs, the NCI provides scientific staff and other support necessary to conduct research and related activities as described in the CRADAs. During the term of the initial and amended CRADAs, we collaborated with the NCI on the preclinical and clinical development of our proprietary adenovirus technology expressing TAAs for cancer immunotherapy.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2021, the CRADA was amended and the research plan was modified to include the preclinical and clinical development of ImmunityBio’s proprietary adenovirus platform expressing TAAs, proprietary agent ANKTIVA and derivatives, an antibody-based cytokine fusion protein and derivatives and/or TxM product candidates, proprietary recombinant NK cells and mAbs, proprietary adjuvants, and other proprietary agents owned or controlled by ImmunityBio for cancer immunotherapy. The term of the CRADA was extended through May 2026. Under this agreement, we agreed to pay NCI funding totaling $1.3 million per year, payable in semi-annual installments each year through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Serum Institute of India Private Limited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we announced an exclusive global arrangement with Serum Institute, the world’s largest manufacturer of vaccines by number of doses produced, to supply us with rBCG for use exclusively in combination with our ANKTIVA product, subject to regulatory approvals. We are responsible, in part, for regulatory submissions, clinical trials and commercialization efforts, and our exclusive rights under the arrangement extend to the scope of the FDA’s approval obtained by us for Serum Institute’s rBCG product in the U.S. Serum Institute’s GMP capacity to manufacture large-scale volumes of BCG, already tested for safety and efficacy in clinical trials in Europe in subjects with NMIBC, aims to address the shortage of TICE BCG, which we believe will help to ensure a reliable supply for patients in need. In February 2025, the FDA authorized an EAP (ResQ132EX-NMIBC) allowing us to provide rBCG developed by Serum Institute to urologists to address the TICE BCG shortage in all settings where the TICE BCG label is approved. Shipments of rBCG pursuant to the EAP began during the first quarter of 2025. In addition, we filed an IND, and the FDA provided a Study May Proceed Notification for a clinical trial (ResQ133A-NMIBC) of intravesical rBCG in participants with NMIBC eligible to receive TICE BCG. This initiative underscores our commitment to addressing critical supply issues and expanding the opportunity for patients and physicians to have access to high quality and quantities of BCG to initialize and maintain treatments for bladder cancer, subject to regulatory approvals.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BeOne Medicines Ltd.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we announced a collaboration and supply agreement with BeOne, a global oncology company, to conduct a confirmatory randomized Phase 3 clinical trial (ResQ201A-NSCLC), combining BeOne’s tislelizumab, a PD-1 CPI, and ANKTIVA. The Phase 3 ResQ201A-NSCLC study aims to confirm the efficacy and safety of combination ANKTIVA plus CPI therapy previously demonstrated in the QUILT-3.055 trial and provide evidence of the potential for these two immunotherapeutic agents to improve overall survival in patients with advanced or metastatic NSCLC who have acquired resistance to immune CPI therapy.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120" w:after="283"/>
        <w:jc w:val="left"/>
        <w:rPr/>
      </w:pPr>
      <w:r>
        <w:rPr>
          <w:rFonts w:ascii="Times New Roman;serif" w:hAnsi="Times New Roman;serif"/>
          <w:b w:val="false"/>
          <w:i/>
          <w:color w:val="000000"/>
          <w:sz w:val="20"/>
        </w:rPr>
        <w:t>3M IPC License Agreement</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licensed rights to 3M-052, a synthetic TLR7/8 agonist, 3M-052 formulations and related technology from 3M IPC and its affiliates and AAHI. In November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LMIC, and (2) oncology applications, when used in combination with our proprietary technology and/or IL-15 receptor superagonist. Adjuvants are either synthetic or naturally occurring molecules that activate TLRs thereby enhancing the humoral and cell-mediated immune response of vaccines. There are 10 human TLRs expressed either on the inside or outside of the immune cell and their function is to recognize foreign substances expressed by pathogens. Once activated, these TLRs stimulate danger signals to the immune cells initiating an immune response. The synthetic imidazoquinolinone 3M-052 is structurally similar to resiquimod. The 3M-052/Alum adjuvant formulation completed Phase 1 trials in the U.S. with an HIV antigen and was well-tolerated and immunogenic. In consideration for the license, we agreed to make certain periodic license payments, including $2.25 million each year through June 2025. We have also agreed to make payments upon the achievement of certain regulatory milestone events and tiered royalties ranging from the low to high single-digits as a percentage of net sales. Beginning in April 2026, the annual minimum licensing payment is $1.0 million, which can be credited against any royalty payments due under this agreement. We may terminate this license for any reason after providing 3M and AAHI sixty (60) days’ written notice.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GlobeImmune, Inc.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entered into an exclusive licensing agreement with GlobeImmune, a consolidated entity of the company, pursuant to which we obtained worldwide, exclusive licenses under certain patents, know-how, and other intellectual property to use, research, develop and commercialize products with GlobeImmune’s Tarmogen-based programs and neoepitopes programs in exchange for a license fee for the first two years of the agreement totaling $1.2 million, up to $345.0 million in milestone payments related to the successful completion of clinical and regulatory milestones and up to $240.0 million in total milestone payments based on licensed product net sales milestones, and a royalty on net sales of licensed products, on a product-by-product basis ranging in percentage from the mid-single digits to the mid-teens. We may terminate this agreement, in whole, or on a licensed-product-by-licensed-product and/or country-by-country basis, at any time upon sixty (60) days’ written notice to GlobeImmune.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Sanford Health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2017, and as amended in November 2021, we entered into a license agreement with Sanford Health pursuant to which we obtained a worldwide, exclusive license under Sanford’s applicable patent and know-how rights to use, make, have made, sell, offer to sell, export and import products for all uses and applications of polynucleotides encoding mutant E16 antigen (mutant HPV16 E6 antigen + mutant HPV16 E7 antigen) and the encoded mutant E16 antigen, in exchange for consideration that includes the amount equal to the patent prosecution costs incurred by Sanford for the prosecution of the licensed patent rights, milestone payments payable upon the achievement of certain contractual and regulatory milestones of up to $2.0 million, a low single-digit percentage royalty on net sales of the resulting licensed products, and a low to high-teen percentage share of non-royalty sublicensing revenue. Our obligation to pay royalties continues, on a licensed product-by-licensed product and country-by-country basis, until the date on which such licensed product is no longer covered by a valid claim of a patent licensed pursuant to the agreement in such country. We must use commercially reasonable efforts to develop and commercialize the licensed products. Sanford is responsible for the prosecution and maintenance of the patents licensed pursuant to the agreement. We are required to use commercially reasonable efforts to develop and make available the licensed products, which include achieving certain regulatory objectives within certain specific time periods. We have the first right to enforce the patents licensed pursuant to the agreement, subject to Sanford’s ability to exercise such right if we fail to do so. We may terminate this agreement at any time upon 60 days’ written notice to Sanford. Sanford may terminate the agreement in the event of an uncured material breach by us.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we filed an IND for QUILT-3.100 exploring the use of an hAd5 [E6/E7] construct known as IBRX-042 in a Phase 1 open-label trial to evaluate safety and determine the maximum tolerated dose in subjects with HPV-associated tumors. A first patient was enrolled in a Phase 1 trial in August 2024, satisfying the first commercial milestone. The second commercial milestone was satisfied in December 2025 related to the enrollment progress of a first patient in a Phase 2 trial.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Shenzhen Beike Biotechnology Co. Ltd. </w:t>
      </w:r>
    </w:p>
    <w:p>
      <w:pPr>
        <w:pStyle w:val="TextBody"/>
        <w:bidi w:val="0"/>
        <w:spacing w:lineRule="auto" w:line="288" w:before="120" w:after="283"/>
        <w:jc w:val="left"/>
        <w:rPr/>
      </w:pPr>
      <w:r>
        <w:rPr>
          <w:rFonts w:ascii="Times New Roman;serif" w:hAnsi="Times New Roman;serif"/>
          <w:b w:val="false"/>
          <w:color w:val="000000"/>
          <w:sz w:val="20"/>
        </w:rPr>
        <w:t xml:space="preserve">In 2014, Altor entered into a license, development and commercialization agreement with Beike, which was amended and restated in 2017, pursuant to which Altor granted to Beike an exclusive license under certain of its intellectual property rights in order to use, research, develop and commercialize products based on ANKTIVA in China for human therapeutic uses, in exchange for consideration that includes up to $195.5 million in total milestone payments based on the successful completion of regulatory and sales milestones for each resulting product, and a royalty on net sales of licensed products, on a product-by-product basis ranging in percentage from the mid-single digits to the mid-teens. Beike’s obligation to pay royalties continues, on a licensed product-by-licensed product basis, until the later of (i) the date on which such licensed product is no longer covered by a valid claim of a patent licensed pursuant to the agreement in China and (ii) ten years after the first commercial sale of such licensed product in China. Altor has the sole right to prosecute and maintain the patents licensed pursuant to the agreement. Altor has the first right to enforce the patents licensed pursuant to the agreement, subject to Beike’s ability to exercise such right if Altor fails to do so. Altor and Beike each have the right to terminate the agreement in the event of a material breach by the other party. In 2020, we received a Request for Arbitration before the International Chamber of Commerce, International Court of Arbitration, served by Beike asserting breach of contract under our subsidiary Altor’s license agreement with them. See Item 3. </w:t>
      </w:r>
      <w:r>
        <w:rPr>
          <w:color w:val="000000"/>
        </w:rPr>
        <w:t>“</w:t>
      </w:r>
      <w:hyperlink w:anchor="i49f82bc2aa33405eae1e0b45f37d1ae6_85">
        <w:r>
          <w:rPr>
            <w:rStyle w:val="InternetLink"/>
            <w:rFonts w:ascii="Times New Roman;serif" w:hAnsi="Times New Roman;serif"/>
            <w:b w:val="false"/>
            <w:i/>
            <w:color w:val="0000FF"/>
            <w:sz w:val="20"/>
            <w:u w:val="single"/>
          </w:rPr>
          <w:t>Legal Proceedings</w:t>
        </w:r>
      </w:hyperlink>
      <w:r>
        <w:rPr>
          <w:color w:val="000000"/>
        </w:rPr>
        <w:t xml:space="preserve">” </w:t>
      </w:r>
      <w:r>
        <w:rPr>
          <w:rFonts w:ascii="Times New Roman;serif" w:hAnsi="Times New Roman;serif"/>
          <w:b w:val="false"/>
          <w:color w:val="000000"/>
          <w:sz w:val="20"/>
        </w:rPr>
        <w:t xml:space="preserve">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GOVERNMENT REGULATION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U.S., the FDA regulates biopharmaceuticals under the FD&amp;C Act and the PHSA. Biopharmaceuticals are also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FDA or judicial enforcement action could have a material adverse effect on us.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CMOs often encounter difficulties involving production yields, quality control and quality assurance, as well as shortages of qualified personnel. Any of these actions or events could have a material impact on the availability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small molecule and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required by the FDA before biopharmaceutical product candidates may be marketed in the U.S. generally involves the following: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completion of preclinical laboratory tests and animal studies performed in accordance with the FDA’s Good Laboratory Practice guidelines;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submission to the FDA of an IND, which must become effective before clinical trials may begin and must be updated annually or when significant changes are made;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approval from an independent IRB or ethics committee for each clinical site before the clinical trial is begun;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performance of adequate and well-controlled human clinical trials to establish the safety, purity, and potency of the proposed biologic product candidate for its intended purpose;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preparation of and submission to the FDA of a BLA or NDA, after completion of all required clinical trials;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determination by the FDA within 60 days of its receipt of a BLA/NDA to file the application for review;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satisfactory completion of an FDA Advisory Committee review, if applicable;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satisfactory completion of an FDA pre-approval inspection of the manufacturing facility or facilities at which the proposed product is produced to assess compliance with cGMP and to assure that the facilities, methods, and controls are adequate to preserve the product candidates’ continued safety, quality, purity and potency or efficacy, and of selected clinical investigational sites to assess compliance with GCP guidelines;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FDA review and approval of the BLA or NDA to permit commercial marketing of the product for particular indications for use in the U.S.;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compliance with any post-approval requirements, including the potential requirement to implement a REMS, and the potential requirement to conduct post-approval studies.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testing and approval process requires substantial time, effort, and financial resources, and we cannot be certain that any approvals for our product candidates will be granted on a timely basis, if at all. Prior to beginning the first clinical trial with a product candidate, we must submit an IND to the FDA. An IND is a request for authorization from the FDA to administer an IND product to humans. The central focus of an IND submission is on the general investigational plan and the protocol(s) for clinical trials. The IND also includes results of animal and in vitro studies assessing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begin. The IND automatically becomes effective 30 days after receipt by the FDA, unless the FDA, within the 30-day time period, raises safety concerns or questions about the proposed clinical trial. In such a case, the IND may be placed on clinical hold, and the IND sponsor and FDA must resolve any outstanding concerns or questions before the clinical trial can begin. Submission of an IND therefore may or may not result in FDA authorization to begin a clinical trial. Further, the FDA’s “real-time” release of newly issued CRLs associated with withdrawn or abandoned applications, if applicable to any of our product candidates, can materially impact our business and competitive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a clinical trial using genetically engineered cells is conducted at, or sponsored by, institutions receiving NIH funding for wild-type DNA research, prior to the submission of an IND to the FDA, a protocol and related documentation is submitted to and the study is registered with the OBA pursuant to the NIH Guidelines. Compliance with the NIH Guidelines is mandatory for investigators at institutions receiving NIH funds for research involving wild-type DNA, and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OBA will notify the FDA of the RAC’s decision regarding the necessity for full public review of a protocol. RAC proceedings and reports are posted to the OBA web site and may be accessed by the public. If the FDA allows the IND to proceed, but the RAC decides that full public review of the protocol is warranted, the FDA will request at the completion of its IND review that sponsors delay initiation of the protocol until after completion of the RAC review process.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involve the administration of the investigational product to human subjects under the supervision of qualified investigators in accordance with GCP guidelines,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trials and clinical trial results to public registries.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BLA or NDA approval, human clinical trials are typically conducted in three sequential phases that may overlap: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Phase 1.</w:t>
      </w:r>
      <w:r>
        <w:rPr>
          <w:color w:val="000000"/>
        </w:rPr>
        <w:t xml:space="preserve"> </w:t>
      </w:r>
      <w:r>
        <w:rPr>
          <w:rFonts w:ascii="Times New Roman;serif" w:hAnsi="Times New Roman;serif"/>
          <w:b w:val="false"/>
          <w:color w:val="000000"/>
          <w:sz w:val="20"/>
        </w:rPr>
        <w:t xml:space="preserve">The investigational product is initially introduced into healthy human subjects and tested for safety. In the case of some products for severe or life-threatening diseases, the initial human testing is often conducted in patients.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Phase 2. </w:t>
      </w:r>
      <w:r>
        <w:rPr>
          <w:rFonts w:ascii="Times New Roman;serif" w:hAnsi="Times New Roman;serif"/>
          <w:b w:val="false"/>
          <w:color w:val="000000"/>
          <w:sz w:val="20"/>
        </w:rPr>
        <w:t xml:space="preserve">The investigational product is evaluated in a limited patient population to identify possible adverse effects and safety risks, to preliminarily evaluate the efficacy or potency of the product for specific targeted diseases and to determine dosage tolerance, optimal dosage, and dosing schedule.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Phase 3. </w:t>
      </w:r>
      <w:r>
        <w:rPr>
          <w:rFonts w:ascii="Times New Roman;serif" w:hAnsi="Times New Roman;serif"/>
          <w:b w:val="false"/>
          <w:color w:val="000000"/>
          <w:sz w:val="20"/>
        </w:rPr>
        <w:t xml:space="preserve">Clinical trials are undertaken to further evaluate dosage, clinical efficacy or potency, and safety in an expanded patient population at geographically dispersed clinical trial sites. These clinical trials are intended to establish the overall risk to benefit ratio of the product and provide an adequate basis for product labeling.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Phase 4. </w:t>
      </w:r>
      <w:r>
        <w:rPr>
          <w:rFonts w:ascii="Times New Roman;serif" w:hAnsi="Times New Roman;serif"/>
          <w:b w:val="false"/>
          <w:color w:val="000000"/>
          <w:sz w:val="20"/>
        </w:rPr>
        <w:t xml:space="preserve">Companies may voluntarily pursue additional clinical trials after a product is approved to gain more information about the product for that approved indication.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the FDA may require an additional trial after a product is approved, and these so-called Phase 4 trials may be a condition to approval of the BLA or NDA.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Phase 1, Phase 2, and Phase 3 testing may not be completed successfully within a specified period, if at all, and there can be no assurance that the data collected will support FDA approval or licensure of the product. Concurrently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bookmarkStart w:id="10" w:name="i10cf47cc6d3f45ffaef95cc272f0e9b4_84782"/>
      <w:bookmarkEnd w:id="10"/>
      <w:r>
        <w:rPr>
          <w:rFonts w:ascii="Times New Roman;serif" w:hAnsi="Times New Roman;serif"/>
          <w:b w:val="false"/>
          <w:i/>
          <w:color w:val="000000"/>
          <w:sz w:val="20"/>
        </w:rPr>
        <w:t>BLA/NDA Submission and Review by the FDA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Assuming successful completion of all required testing in accordance with all applicable regulatory requirements, the results of product development, nonclinical studies and clinical trials are submitted to the FDA as part of a BLA for a biologic product candidate or an NDA for a small molecule product candidate requesting approval to market the product for one or more indications. Unless agreed to in advance with the FDA, the BLA/NDA must include all data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the use of the product or from a number of alternative sources, including studies initiated by investigators, including government agencies (e.g., NIH). The submission of a BLA/NDA requires payment of a substantial user fee to the FDA, and the sponsor of an approved BLA/NDA is subject to annual product and establishment user fees. These fees typically increase annually. A waiver of user fees may be obtained under certain limited circumstances.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Within 60 days following submission of the application, the FDA reviews a BLA/NDA to determine if it is substantially complete before the agency accepts it for filing. The FDA may refuse to file any BLA or NDA that it deems incomplete or not properly reviewable at the time of submission and may request additional information. In this event, the BLA/NDA must be resubmitted with the additional information. Once a BLA/NDA has been submitted, the FDA’s goal is to review the application within ten months after it accepts the application for filing, or, if the application relates to an unmet medical need in a serious or life-threatening indication, the FDA may review the application six months after the FDA accepts the application for filing. The review process is often significantly extended by FDA requests for additional information or clarification. The FDA reviews a BLA/NDA to determine, among other things, whether a product is safe and effective, or safe, pure, and potent for the proposed indication(s) and the facility in which it is manufactured, processed, packed or held meets standards designed to assure the product’s continued safety, purity and potency or efficacy. The FDA may convene an advisory committee to provide clinical insight on application review questions. Before approving a BLA/NDA, the FDA will typically inspect the facility or facilities where the product is manufactured. The FDA will not approve an application unless it determines that the manufacturing processes and facilities comply with cGMP requirements and are adequate to assure consistent production of the product within required specifications. If applicable, FDA regulations also require tissue establishments to register and list their human cells, tissues, and cellular and tissue-based products with the FDA and to evaluate donors through screening and testing. Additionally, before approving a BLA/NDA, the FDA will typically inspect one or more clinical sites to assure compliance with GCP guidelines.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 candidates. After the FDA evaluates a BLA/NDA and conducts inspections of manufacturing facilities where the investigational product and/or its drug substance will be produced, the FDA may issue an approval letter or a CRL. An approval letter authorizes commercial marketing of the product with specific prescribing information for specific indications. A CRL indicates that the review cycle of the application is complete, and the application is not ready for approval. A CRL may request additional information or clarification. The FDA may delay or refuse approval of a BLA/NDA if applicable regulatory criteria are not satisfied, require additional testing or information and/or require post-marketing testing and surveillance to monitor safety or efficacy of a product.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regulatory approval of a product is granted, such approval may entail limitations on the indicated uses for which such product may be marketed. For example, the FDA may approve the BLA/NDA with a REMS plan to mitigate risks, which could include medication guides, physician communication plans, or other restrictions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 candidates under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A sponsor may seek approval of its product candidate under programs designed to accelerate the FDA’s review and approval of new drugs and biological products that meet certain criteria. Specifically, new drugs and biological products are eligible for</w:t>
      </w:r>
      <w:r>
        <w:rPr>
          <w:color w:val="000000"/>
        </w:rPr>
        <w:t xml:space="preserve">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 xml:space="preserve">designation if they are intended to treat a serious or life-threatening condition and demonstrate the potential to address unmet medical needs for the condition. For a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 xml:space="preserve">product, the FDA may consider sections of the BLA/NDA for review on a rolling basis before the complete application is submitted if relevant criteria are met. A </w:t>
      </w:r>
      <w:r>
        <w:rPr>
          <w:rFonts w:ascii="Times New Roman;serif" w:hAnsi="Times New Roman;serif"/>
          <w:b w:val="false"/>
          <w:i/>
          <w:color w:val="000000"/>
          <w:sz w:val="20"/>
        </w:rPr>
        <w:t>Fast Track-</w:t>
      </w:r>
      <w:r>
        <w:rPr>
          <w:rFonts w:ascii="Times New Roman;serif" w:hAnsi="Times New Roman;serif"/>
          <w:b w:val="false"/>
          <w:color w:val="000000"/>
          <w:sz w:val="20"/>
        </w:rPr>
        <w:t xml:space="preserve">designated product candidate may also qualify for priority review.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Priority review designation does not change the scientific/medical standard for approval or the quality of evidence necessary to support approval.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accelerated approval program, the FDA may approve a BLA/NDA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product’s clinical benefit in relationship to the surrogate endpoint or ultimate outcome in relationship to the clinical benefit.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w:t>
      </w:r>
    </w:p>
    <w:p>
      <w:pPr>
        <w:pStyle w:val="TextBody"/>
        <w:bidi w:val="0"/>
        <w:spacing w:lineRule="auto" w:line="288" w:before="240" w:after="283"/>
        <w:jc w:val="left"/>
        <w:rPr/>
      </w:pPr>
      <w:r>
        <w:rPr>
          <w:rFonts w:ascii="Times New Roman;serif" w:hAnsi="Times New Roman;serif"/>
          <w:b w:val="false"/>
          <w:color w:val="000000"/>
          <w:sz w:val="20"/>
        </w:rPr>
        <w:t xml:space="preserve">In addition, the FDASIA established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designation. A sponsor may seek FDA designation of its product candidate as a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at the time of, or any time after, the submission of an IND, but ideally before an end-of-Phase 2 meeting with the FDA. If the FDA designates </w:t>
      </w:r>
      <w:r>
        <w:rPr>
          <w:rFonts w:ascii="Times New Roman;serif" w:hAnsi="Times New Roman;serif"/>
          <w:b w:val="false"/>
          <w:i/>
          <w:color w:val="000000"/>
          <w:sz w:val="20"/>
        </w:rPr>
        <w:t>Breakthrough Therapy</w:t>
      </w:r>
      <w:r>
        <w:rPr>
          <w:rFonts w:ascii="Times New Roman;serif" w:hAnsi="Times New Roman;serif"/>
          <w:b w:val="false"/>
          <w:color w:val="000000"/>
          <w:sz w:val="20"/>
        </w:rPr>
        <w:t xml:space="preserve">, it may take appropriate actions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or more efficient clinical trials that require less time to complete and may minimize the number of patients exposed to a potentially less efficacious treatment.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designation also allows the sponsor to file sections of the BLA/NDA for review on a rolling basis. We may seek designation as a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for some or all of our product candidates.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21st Century Cures Act established an expedited review program for RMATs, which include cell and gene therapies, therapeutic tissue engineering products, human cell and tissue products, and combination products using any such therapies or products. This program is intended to facilitate efficient development and expedite review of regenerative medicine therapies, which are intended to treat, modify, reverse, or cure a serious or life-threatening disease or condition and qualify for RMAT designation. A sponsor may request that the FDA designate a product candidate as an RMAT concurrently with or at any time after submission of an IND. The FDA has 60 calendar days to determine whether the product candidate meets the criteria, including whether there is preliminary clinical evidence indicating that the product candidate has the potential to address unmet medical needs for a serious or life-threatening disease or condition. A BLA for a product candidate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product candidate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 xml:space="preserve">and RMAT designations and priority review do not change the standards for approval. </w:t>
      </w:r>
      <w:r>
        <w:rPr>
          <w:rFonts w:ascii="Times New Roman;serif" w:hAnsi="Times New Roman;serif"/>
          <w:b w:val="false"/>
          <w:color w:val="000000"/>
          <w:sz w:val="20"/>
          <w:shd w:fill="FFFFFF" w:val="clear"/>
        </w:rPr>
        <w:t xml:space="preserve">The receipt of </w:t>
      </w:r>
      <w:r>
        <w:rPr>
          <w:rFonts w:ascii="Times New Roman;serif" w:hAnsi="Times New Roman;serif"/>
          <w:b w:val="false"/>
          <w:color w:val="000000"/>
          <w:sz w:val="20"/>
        </w:rPr>
        <w:t xml:space="preserve">such designations may not lead to a faster development process or regulatory review and may not increase the likelihood that our product candidates will receive marketing approval.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PREA requires a sponsor to conduct pediatric clinical trials for certain drugs and biological products, for a new active ingredient, new indication, new dosage form, new dosing regimen or new route of administration. Under PREA, original NDAs/BLAs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product candidate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keeps a deferral current or fails to submit a request for approval of a pediatric formulation.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Orphan Drugs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Orphan Drug Act, the FDA may grant orphan designation to a drug or biologic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or biologic in the U.S. will be recovered from sales in the U.S. for that drug or biologic. Orphan drug designation must be requested before submitting a BLA or NDA. After the FDA grants orphan drug designation, the generic identity of the therapeutic agent and its potential orphan use are disclosed publicly by the FDA.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or NDA, to market the same biologic or drug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Post-Approval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products manufactured or distributed by us pursuant to FDA approval are subject to pervasive and continuing regulation by the FDA, including, among other things, requirements relating to record keeping, reporting of adverse experiences, periodic reporting,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Biopharmaceutical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any third-party manufacturers that we may decide to use.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cGMP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regulations and other FDA regulatory requirements. If our present or future suppliers are not able to comply with these requirements, the FDA may, among other things, halt our clinical trials, require us to recall a product from distribution, or withdraw approval of the BLA or NDA.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U.S., once a drug is approved, its manufacture is subject to comprehensive and continuing regulation by the FDA. FDA regulations require that drugs be manufactured in specific facilities per the BLA or NDA approval and in accordance with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BLA or NDA holders using CMOs,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FDA and state inspections may identify compliance issues at our facilities or at the facilities of CMOs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Post-Marketing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approval of a new drug, a biopharmaceutical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limitations on industry-sponsored scientific and educational activities, and requirements for promotional activities involving the internet.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U.S., once a drug is approved, its manufacture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its drugs in accordance with cGMP regulations. cGMP regulations require among other things, quality control and quality assurance as well as the corresponding maintenance of records and documentation and the obligation to investigate and correct any deviations from cGMP.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CMOs,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FDA may also require post-approval testing, sometimes referred to as Phase 4 testing, risk minimization action plans, and post-marketing surveillance to monitor the effects of an approved drug or place conditions on an approval that could restrict the distribution or use of the drug.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restrictions on the marketing or manufacturing of the product, complete withdrawal of the product from the market or product recalls;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fines, warning letters or holds on post-approval clinical trials;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refusal of the FDA to approve pending applications or supplements to approved applications, or suspension or revocation of product license approvals;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product seizure or detention, or refusal to permit the import or export of products;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injunctions or the imposition of civil or criminal penalties.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FDA closely regulates the marketing, labeling, advertising and promotion of biological or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and exclusion from participation in governmental health programs, like Medicare and Medicaid.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 Modifications or enhancements to the drug or its labeling or changes of the site or process of manufacture are often subject to the approval of the FDA and other regulators, which may or may not be received or may result in a lengthy review process.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PDMA, a part of the FD&amp;C Act. The DSCSA, enacted in 2013, aims to build an electronic system to identify and trace certain prescription drugs distributed in the U.S. The DSCSA mandates phased-in and resource-intensive obligations for pharmaceutical manufacturers, wholesale distributors, and dispensers.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Pre-market Clearance and Approval Requirements for Medical Devices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medical device we seek to commercially distribute in the U.S., including our bioreactors, will require a prior 510(k) clearance, unless it has received a PMA from the FDA. Generally, if a new device has a predicate that is already on the market under a 510(k) clearance, the FDA will allow that new device to be marketed under a 510(k) clearance; otherwise, a PMA is required. Medical devices are classified into one of three classes: Class 1, Class 2, or Class 3, depending on the degree of risk associated with each medical device and the extent of control needed to provide reasonable assurance of safety and effectiveness. Class 1 devices are deemed to be low risk and are subject to the general controls of the FD&amp;C Act, such as provisions that relate to: adulteration; misbranding; registration and listing; notification, including repair, replacement, or refund; records and reports; and good manufacturing practices. Most Class 1 devices are classified as exempt from pre-market notification under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510(k) of the FD&amp;C Act and therefore may be commercially distributed without obtaining 510(k) clearance from the FDA. Class 2 devices are subject to both general controls and special controls to provide reasonable assurance of safety and effectiveness. Special controls include performance standards, post market surveillance, patient registries and guidance documents. A manufacturer may be required to submit to the FDA a pre-market notification requesting permission to commercially distribute some Class 2 devices. Devices deemed by the FDA to pose the greatest risk, such as life-sustaining, life-supporting or implantable devices, or devices deemed not substantially equivalent to a previously cleared 510(k) device, are placed in Class 3. A Class 3 device cannot be marketed in the U.S. unless the FDA approves the device after submission of a PMA. However, there are some Class 3 devices for which the FDA has not yet called for a PMA. For these devices, the manufacturer must submit a pre-market notification and obtain 510(k) clearance in orders to commercially distribute these devices. The FDA can also impose sales, marketing, or other restrictions on devices in order to ensure that they are used in a safe and effective manner.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510(k) Clearance Pathway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a 510(k) clearance is required, we must submit a pre-market notification to the FDA demonstrating that our proposed device is substantially equivalent to a predicate device, which is a previously cleared and legally marketed 510(k) device or a device that was in commercial distribution before May 28, 1976. By regulation, a pre-market notification must be submitted to the FDA at least 90 days before we intend to distribute a device. As a practical matter, clearance often takes significantly longer. To demonstrate substantial equivalence, the manufacturer must show that the proposed device has the same intended use as the predicate device, and it either has the same technological characteristics, or different technological characteristics and the information in the pre-market notification demonstrates that the device is equally safe and effective and does not raise different questions of safety and effectiveness. The FDA may require further information, including clinical data, to make a determination regarding substantial equivalence. If the FDA determines that the device, or its intended use, is not substantially equivalent to a previously cleared device or use, the FDA will place the device into Class 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are three types of 510(k)s: traditional; special; and abbreviated. Special 510(k)s are for devices that are modified, and the modification needs a new 510(k) but does not affect the intended use or alter the fundamental scientific technology of the device. Abbreviated 510(k)s are for devices that conform to a recognized standard. The special and abbreviated 510(k)s are intended to streamline review, and the FDA intends to process special 510(k)s within 30 days of receipt.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 Novo Classification</w:t>
      </w:r>
    </w:p>
    <w:p>
      <w:pPr>
        <w:pStyle w:val="TextBody"/>
        <w:bidi w:val="0"/>
        <w:spacing w:lineRule="auto" w:line="288" w:before="120" w:after="283"/>
        <w:jc w:val="left"/>
        <w:rPr/>
      </w:pPr>
      <w:r>
        <w:rPr>
          <w:rFonts w:ascii="Times New Roman;serif" w:hAnsi="Times New Roman;serif"/>
          <w:b w:val="false"/>
          <w:color w:val="000000"/>
          <w:sz w:val="20"/>
        </w:rPr>
        <w:t xml:space="preserve">Medical device types that the FDA has not previously classified as Class 1, 2 or 3 are automatically classified into Class 3 regardless of the level of risk they pose. The Food and Drug Administration Modernization Act of 1997 established a new route to market for low to moderate risk medical devices that are automatically placed into Class 3 due to the absence of a predicate device, called the Request for Evaluation of Automatic Class 3 Designation (or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 </w:t>
      </w:r>
    </w:p>
    <w:p>
      <w:pPr>
        <w:pStyle w:val="TextBody"/>
        <w:bidi w:val="0"/>
        <w:spacing w:lineRule="auto" w:line="288" w:before="120" w:after="283"/>
        <w:jc w:val="left"/>
        <w:rPr/>
      </w:pPr>
      <w:r>
        <w:rPr>
          <w:rFonts w:ascii="Times New Roman;serif" w:hAnsi="Times New Roman;serif"/>
          <w:b w:val="false"/>
          <w:color w:val="000000"/>
          <w:sz w:val="20"/>
        </w:rPr>
        <w:t xml:space="preserve">This procedure allows a manufacturer whose novel device is automatically classified into Class 3 to request down-classification of its medical device into Class 1 or Class 2 on the basis that the device presents low or moderate risk, rather than requiring the submission and approval of a PMA application. Prior to the enactment of the FDASIA, a medical device could only be eligible for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if the manufacturer first submitted a 510(k) pre-market notification and received a determination from the FDA that the device was not substantially equivalent. The FDASIA streamlined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pathway by permitting manufacturers to request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directly without first submitting a 510(k) pre-market notification to the FDA and receiving a not substantially equivalent determination. Under the FDASIA, the FDA is required to classify the device within 120 days following receipt of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application. If the manufacturer seeks reclassification into Class 2,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Pre-market Approval Pathway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PMA application must be submitted to the FDA for Class 3 devices for which the FDA has required a PMA. The PMA application process is much more demanding than the 510(k) pre-market notification process. A PMA application must be supported by extensive data, including but not limited to technical, preclinical, clinical trials, manufacturing and labeling to demonstrate to the FDA’s satisfaction reasonable evidence of safety and effectiveness of the device.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After a PMA application is submitted, the FDA has 45 days to determine whether the application is sufficiently complete to permit a substantive review and thus whether the FDA will file the application for review. The FDA has 180 days to review a filed PMA application, although the review of an application generally occurs over a significantly longer period of time and can take up to several years. During this review period, the FDA may request additional information or clarification of the information already provided. Also, an advisory panel of experts from outside the FDA may be convened to review and evaluate the application and provide recommendations to the FDA as to the approvability of the device.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FDA is not bound by the advisory panel decision, the panel’s recommendations are important to the FDA’s overall decision-making process. In addition, the FDA may conduct a preapproval inspection of the manufacturing facility to ensure compliance with the QMSR that went into effect in February 2026, replacing the former QSR. The agency also may inspect one or more clinical sites to assure compliance with FDA’s regulations.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Upon completion of the PMA review, the FDA may: (i) approve the PMA application which authorizes commercial marketing with specific prescribing information for one or more indications, which can be more limited than those originally sought; (ii) issue an approvable letter which indicates the FDA’s belief that the PMA application is approvable and states what additional information the FDA requires or the post-approval commitments that must be agreed to prior to approval; (iii) issue a not approvable letter which outlines steps required for approval, but which are typically more onerous than those in an approvable letter, and may require additional clinical trials that are often expensive and time consuming and can delay approval for months or even years; or (iv) deny the application. If the FDA issues an approvable or not approvable letter, the applicant has 180 days to respond, after which the FDA’s review clock is reset.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are almost always required to support PMA and are sometimes required for 510(k) clearance. In the U.S., for significant risk devices, these trials require submission of an application for an IDE to the FDA. The IDE application must be supported by appropriate data, such as animal and laboratory testing results, showing it is safe to test the device in humans and that the testing protocol is scientifically sound. The IDE must be approved in advance by the FDA for a specific number of patients at specified trial sites. During the trial, the sponsor must comply with the FDA’s IDE requirements for investigator selection, trial monitoring, reporting and recordkeeping. The investigators must obtain patient informed consent, rigorously follow the investigational plan, and trial protocol, control the disposition of investigational devices and comply with all reporting and recordkeeping requirements. Clinical trials for significant risk devices may not begin until the IDE application is approved by the FDA and the appropriate IRBs at the clinical trial sites.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A non-significant risk device does not require FDA approval of an IDE; however, the clinical trial must still be conducted in compliance with various requirements of FDA’s IDE regulations and be approved by an IRB at the clinical trial sites. The FDA or the IRB at each site at which a clinical trial is being performed may withdraw approval of a clinical trial at any time for various reasons, including a belief that the risks to study subjects outweigh the benefits or a failure to comply with FDA or IRB requirements. Even if a trial is completed, the results of clinical testing may not demonstrate the safety and effectiveness of the device, may be equivocal or may otherwise not be sufficient to obtain approval or clearance of the product.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Sponsors of clinical trials of devices are required to register with clinical trials.gov, a public database of clinical trial information. Information related to the device, patient population, phase of investigation, study sites and investigators and other aspects of the clinical trial is made public as part of the registration.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Ongoing Medical Device Regulation by the FDA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after a device receives clearance or approval and is placed on the market, numerous regulatory requirements apply. These include: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establishment registration and device listing;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QMSR, which requires manufacturers, including third-party manufacturers, to follow stringent design, testing, control, documentation, and other quality assurance procedures during all aspects of the manufacturing process;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labeling regulations and the FDA prohibitions against the promotion of products for uncleared, unapproved or off-label uses and other requirements related to promotional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medical device reporting regulations, which require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corrections and removal reporting regulations, which require that manufacturers report to the FDA field corrections or removals if undertaken to reduce a risk to health posed by a device or to remedy a violation of the FD&amp;C Act that may present a risk to health;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post market surveillance regulations, which apply to certain Class 2 or 3 devices when necessary to protect the public health or to provide additional safety and effectiveness data for the device.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After a device receives 510(k) clearance, any modification that could significantly affect its safety or effectiveness, or that would constitute a major change in its intended use, will require a new clearance or possibly a PMA. The FDA requires each manufacturer to make this determination initially, but the FDA can review any such decision and can disagree with a manufacturer’s determination. If the FDA disagrees with the determination not to seek a new 510(k) clearance, the FDA may retroactively require the manufacturer to seek 510(k) clearance or possibly a PMA. The FDA could also require the manufacturer to cease marketing and distribution and/or recall the modified device until 510(k) clearance or PMA is obtained. Also, in these circumstances, the manufacturer may be subject to significant regulatory fines and penalties.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Some changes to an approved PMA device, including changes in indications, labeling or manufacturing processes or facilities, require submission and FDA approval of a new PMA application or PMA supplement, as appropriate, before the change can be implemented. Supplements to a PMA application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FDA regulations require us to register as a medical device manufacturer with the FDA. Additionally, some states require us to register as a medical device manufacturer within the state. Because of this, the FDA and similar state agencies may inspect us on a routine basis for compliance with the QMSR, which incorporates by reference the quality management system requirements of ISO 13458:2016. These regulations require that the manufacturer maintain proper documentation in a prescribed manner with respect to manufacturing, testing and control activities. Further, the FDA requires medical device manufacturers to comply with various FDA regulations regarding labeling.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Failure by us or by our suppliers to comply with applicable regulatory requirements can result in enforcement action by the FDA or state authorities, which may include any of the following sanctions: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warning or untitled letters, fines, injunctions, consent decrees and civil penalties;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customer notifications, voluntary or mandatory recall or seizure of our medical device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operating restrictions, partial suspension, or total shutdown of production;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delay in processing submissions or applications for new products or modifications to existing products;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withdrawing approvals that have already been granted;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criminal prosecution.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Medical Device Reporting laws and regulations require medical device manufacturers to provide information to the FDA when they receive or otherwise become aware of information that reasonably suggests the device may have caused or contributed to a death or serious injury as well as a device malfunction that likely would cause or contribute to death or serious injury if the malfunction were to recur. In addition, the FDA prohibits an approved device from being marketed for off-label use.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medical device product candidates under development. Medical device manufacturers are also subject to other federal, state, and local laws and regulations relating to safe working conditions, and laboratory and manufacturing practices.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Healthcare Laws and Compliance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sales, promotion, and other activities following drug approval are also subject to regulation by numerous regulatory authorities in addition to the FDA, including, in the U.S., CMS, other divisions of HHS, the Drug Enforcement Administration for controlled substances, the Consumer Product Safety Commission, the FTC, Occupational Safety and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distribution of pharmaceutical drugs is subject to additional requirements and regulations, including extensive record-keeping, licensing, storage, and security requirements intended to prevent the unauthorized sale of pharmaceutical drugs. 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imposed, they could adversely affect the operation of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sales, promotion, medical education, clinical research, and other activities following product approval will be subject to regulation by numerous regulatory and law enforcement authorities in the U.S. in addition to the FDA, including potentially the FTC, the Department of Justice, the CMS, other divisions of HHS and state and local governments. Our promotional and scientific/educational programs must comply with the AKS, the FCA, physician payment transparency laws, privacy laws, security laws, and additional federal and state laws similar to the foregoing. If drugs are made available to authorized users of the Federal Supply Schedule of the General Services Administration, additional laws and requirements apply. Drugs must meet applicable child-resistant packaging requirements under the U.S. Poison Prevention Packaging Act. Manufacturing, sales, promotion, and other activities are also potentially subject to federal and state consumer protection and unfair competition laws.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imposed, they could adversely affect the operation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AKS prohibits, among other things, the knowing and willing, direct or indirect offer, receipt, solicitation, or payment of remuneration in exchange for or to induce the referral of patients, including the purchase, order or lease of any good, facility, item or service that would be paid for in whole or part by Medicare, Medicaid or other federal health care programs. Remuneration has been broadly defined to include anything of value, including cash, improper discounts, and free or reduced-price items and services. The AKS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AKS has been violated. The government has enforced the AKS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AKS constitutes a false or fraudulent claim for purposes of the FCA. Many states have similar laws that apply to their state health care programs, as well as private payors.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false claims and false statement laws, including the FCA, impose liability on persons or entities that, among other things, knowingly present or cause to be presented claims that are false or fraudulent or not provided as claimed for payment or approval by a federal health care program. The FCA has been used to prosecute people or entities that cause the submission of claims for payment that are inaccurate or fraudulent, by, for example, providing inaccurate billing or coding information to customers, promoting a product off-label, submitting claims for services not provided as claimed, or submitting claims for services that were provided but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illegal sales and marketing practices. The government has obtained multi-million and multi-billion dollar settlements under the FCA in addition to individual criminal convictions under applicable criminal statutes. In addition, certain companies that were found to be in violation of the FCA have been forced to implement extensive corrective action plans and have often become subject to consent decrees or corporate integrity agreements, restricting the manner in which they conduct their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HIPAA created additional federal criminal statutes that prohibit, among other things, knowingly and willfully executing, or attempting to execute, a scheme to defraud any healthcare benefit program, including private third-party payors; knowingly and willfully falsifying, concealing or covering up a material fact or making any materially false, fictitious or fraudulent statement in connection with the delivery of or payment for healthcare benefits, items or services; and willfully obstructing a criminal investigation of a healthcare offense. Like the AKS, the ACA amended the intent standard for certain healthcare fraud statutes under HIPAA such that a person or entity no longer needs to have actual knowledge of the statute or specific intent to violate it in order to have committed a violation.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Given the significant size of actual and potential settlements, it is expected that the government will continue to devote substantial resources to investigating healthcare providers’ and manufacturers’ compliance with applicable fraud and abuse laws. In addition, many states have similar fraud and abuse statutes or regulations that may be broader in scope and may apply regardless of payor, in addition to items and services reimbursed under Medicaid and other state programs. Additionally, to the extent that our product candidates, once commercialized, are sold in a foreign country, we may be subject to similar foreign laws.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has been a recent trend of increased federal and state regulation of payments made to physicians and certain other healthcare providers and teaching hospitals. The ACA, among other things, under the federal Physician Payment Sunshine Act, imposed reporting requirements on certain manufacturers of drugs, devices, biologics and medical supplies for which payment is available under Medicare, Medicaid or the Children’s Health Insurance Program, with specific exceptions, for payments or other transfers of value made by them to certain covered recipients, including physicians and teaching hospitals, as well as ownership and investment interests held by physicians and their immediate family members. Effective January 1, 2022, these reporting obligations with respect to covered recipients have been extended to include payments and transfers of value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non-physician providers such as physician assistants and nurse practitioners. Covered manufacturers are required to collect and report detailed payment data and submit legal attestation to the accuracy of such data to the government each year. Failure to submit required information may result in civil monetary penalties for all payments, transfers of value or ownership or investment interests that are not timely, accurately, and completely reported in an annual submission. Additionally, entities that do not comply with mandatory reporting requirements may be subject to a corporate integrity agreement. Certain states also mandate implementation of commercial compliance programs, impose restrictions on covered manufacturers’ marketing practices and/or require the tracking and reporting of gifts, compensation and other remuneration to physicians and other healthcare professionals.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data privacy and security regulation by both the federal government and the states in which we conduct our business. HIPAA, as amended by HITECH and their respective implementing regulations, impose specified requirements on certain health care providers, plans, and clearinghouses, or collectively, covered entities, and their business associates, relating to the privacy, security and transmission of individually identifiable health information. Among other things, HITECH makes HIPAA’s security standards directly applicable to business associates, which includes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In addition, certain states have their own laws that govern the privacy and security of health information in certain circumstances, many of which differ from each other and/or HIPAA in significant ways and may not have the same effect, thus complicating compliance efforts.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operations are found to be in violation of any of such laws or any other governmental regulations that apply to us, we may be subject to penalties, including, without limitation, civil and criminal penalties, damages, fines, disgorgement, the curtailment or restructuring of our operations, exclusion from participation in federal and state healthcare programs, imprisonment, contractual damages, reputational harm, and diminished profits and future earnings, any of which could adversely affect our ability to operate our business and our financial results. If any of the physicians or other providers, independent contractors, or entities with whom we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ourselves against any such actions that may be brought against us, our business may be impaired.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foregoing health care laws, we are also subject to the FCPA and similar worldwide anti-bribery laws, which generally prohibit companies and their intermediaries from making improper payments to government officials or private-sector recipients for the purpose of obtaining or retaining business. The anti-corruption policy mandates compliance with the FCPA and similar anti-bribery laws applicable to our business throughout the world. However, we cannot assure you that such a policy or procedures implemented to enforce such a policy will protect us from intentional, reckless, or negligent acts committed by our employees, distributors, partners, collaborators or agents. Violations of these laws, or allegations of such violations, could result in fines, penalties or prosecution and have a negative impact on our business, results of operations and reputation.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Coverage and Reimbursement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of pharmaceutical products depend significantly on the extent to which coverage and adequate reimbursement are provided by third-party payors. Third-party payors include state and federal government health care programs, managed care providers, private health insurers and other organizations. Although we currently believe that third-party payors will provide coverage and reimbursement for our approved product and product candidates, if approved, we cannot be certain of this. Third-party payors are increasingly challenging the price, examining the cost-effectiveness, and reducing reimbursement for medical products and services. 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processes apart from Medicare determinations. Significant uncertainty exists as to the reimbursement status of newly approved healthcare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revenues and results. We may need to conduct expensive clinical trials to demonstrate the comparative cost-effectiveness of our product candidates. The product candidates that we develop may not be considered cost-effective and thus may not be covered or sufficiently reimbursed. It is time consuming and expensive for us to seek coverage and reimbursement from third-party payors, as each payor will make its own determination as to whether to cover a product and at what level of reimbursement. Thus, one payor’s decision to provide coverage and adequate reimbursement for a product does not ensure that another payor will provide coverage or that the reimbursement levels will be adequate. Moreover, a payor’s decision to provide coverage for a drug product does not imply that an adequate reimbursement rate will be approved. Reimbursement may not be available or sufficient to allow us to sell our product candidates on a competitive and profitable basis.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Healthcare Reform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U.S. and some foreign jurisdictions are considering or have enacted a number of legislative and regulatory proposals to change the healthcare system in ways that could affect our ability to sell our product candidates profitably.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way of example, in March 2010, the ACA was signed into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Among the provisions of the ACA of importance to our potential product candidates are: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annual, nondeductible fee on any entity that manufactures or imports specified branded prescription drugs and biologic agents, apportioned among these entities according to their market share in certain government healthcare programs;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increase in the statutory minimum rebates a manufacturer must pay under the Medicaid Drug Rebate Program to 23.1% and 13.0% of the average manufacturer price for branded and generic drugs, respectively;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new methodology by which rebates owed by manufacturers under the Medicaid Drug Rebate Program are calculated for drugs that are inhaled, infused, instilled, implanted or injected;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a manufacturer’s outpatient drugs to be covered under Medicare Part 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extension of a manufacturer’s Medicaid rebate liability to covered drugs dispensed to individuals who are enrolled in Medicaid managed care organizations;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expansion of the entities eligible for discounts under the Public Health Service pharmaceutical pricing program;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new Patient-Centered Outcomes Research Institute to oversee, identify priorities in, and conduct comparative clinical effectiveness research, along with funding for such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6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ACA was enacted. These changes include, among others, the Budget Control Act of 2011, which mandates aggregate reductions to Medicare payments to providers of up to 2% per fiscal year effective April 1, 2013, and, due to subsequent legislative amendments, will remain in effect through 2032. In January 2013, President Obama signed into law the ATRA, which, among other things, further reduced Medicare payments to several providers, including hospitals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 candidates, if approved, and, accordingly, our financial operations.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American Rescue Plan Act of 2021, the statutory cap on Medicaid Drug Rebate Program rebates that manufacturers pay to state Medicaid programs was eliminated. Elimination of this cap may require pharmaceutical manufacturers to pay more in rebates than they receive on the sale of products, which could have a material impact on our business. Further,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U.S.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an MFN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MFN pricing to the Medicaid program, whereby a drug manufacturer may voluntarily offer supplemental rebates to participating state Medicaid programs for a manufacturer’s covered outpatient drugs. Government agreements with pharmaceutical companies and other measures that use MFN pricing targets for prescription drugs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or the pricing of our approved product in the U.S. and in foreign countries. The impact of any future healthcare measures and agency rules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 the enactment of the ACA, there have been judicial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will impact the ACA. Complying with any new legislation or changes in healthcare regulation could be time-intensive and expensive, resulting in material adverse effect on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the state level, individual states are increasingly passing legislation and implementing regulations designed to control pharmaceutical and biological product pricing, including discounts, restrictions on certain product access and marketing cost disclosure and transparency measures.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For example, the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 These measures could reduce the demand for our products, if approved, or impose additional pricing pressures on how much we can charge for our products if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 candidates. Furthermore, the current presidential administration and Congress may continue to attempt broad sweeping changes to the current health care laws. We face uncertainties that might result from modifications or repeal of any of the provisions of the ACA, including as a result of current and future executive orders and legislative actions. The impact of those changes on us and potential effect on the pharmaceutical and biotechnology industries as a whole is currently unknown. However, any changes to the ACA are likely to have an impact on our results of operations and may have a material adverse effect on our results of operations. We cannot predict what other healthcare programs and regulations will ultimately be implemented at the federal or state level or the effect any future legislation or regulation in the U.S. may have on our business.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Regulation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Now that we have received approval by the UK MHRA and the Saudi Arabia SFDA and have been granted conditional marketing authorization from the EC (EMA) for the EU and Iceland, Liechtenstein, and Norway, we will be subject to a variety of foreign regulations governing clinical trials and commercial sales and distribution of ANKTIVA and our product candidates to the extent we choose to develop or sell any product candidates outside the U.S. The approval process varies from country to country and the time may be longer or shorter than that required to obtain FDA approval. The requirements governing the conduct of clinical trials, product licensing, pricing and reimbursement vary greatly from country to country.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HUMAN CAPITAL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ImmunityBio’s success is driven by a highly skilled workforce that designs, develops, and commercializes innovative cell and immunotherapy products to help strengthen each patient’s natural immune system, potentially enabling it to outsmart the disease and eliminate cancerous or infected cells. Our Human Resources talent strategy relies on attracting, retaining and developing top talent that align with our culture and mission to “Outsmart Your Disease.” We promote a culture that is focused on delivering treatments utilizing natural immunities, and we seek to harness our science first focus to deliver solutions to patients and families.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Leadership</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Dr. Patrick Soon-Shiong, Executive Chairman and Global Chief Scientific and Medical Officer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 Soon-Shiong is a physician-scientist, inventor, and philanthropist who has spent more than 30 years developing treatments for cancer and other diseases. He is the inventor of Abraxane, an FDA-approved chemotherapy that has treated hundreds of thousands of cancer patients worldwide. Dr. Soon-Shiong holds over 400 issued patents. His focus on restoring immune competence has guided the development of the company’s Cancer BioShield platform.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Richard Adcock, President and Chief Executive Officer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Mr. Adcock has held leadership roles in healthcare for nearly 30 years and is recognized for his expertise in building cultures that drive rapid, strategic innovation. He is a certified Six Sigma Master Black Belt. Before joining ImmunityBio, Mr. Adcock served as CEO of Verity Health System and as Executive Vice President and Chief Innovation Officer for Sanford Health, the largest rural nonprofit healthcare system in the U.S. with more than 382 locations and 28,000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Headcount and Composition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ImmunityBio employed 691 employees, of which 41% are focused on research and development, 25% on manufacturing and quality, and 34% on selling, general and administrative functions.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Full</w:t>
        <w:noBreakHyphen/>
        <w:t>time/part</w:t>
        <w:noBreakHyphen/>
        <w:t>time: 99% of the workforce is full</w:t>
        <w:noBreakHyphen/>
        <w:t xml:space="preserve">time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Geographic distribution: The majority of our employees are located in our Southern California facilities, with others in our facilities in Washington, Colorado, New Jersey, and New York. Approximately 40% of our workforce is remote.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ImmunityBio is committed to building a workplace that values diversity in thought and perspective and that reflects the patient populations we serve.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Gender: approximately 50%/50% male/female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Race: approximately 41% white; 56% other; and the remainder declined to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Talent Development, Attraction, and Retention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attract and retain top talent is essential to our strategy. Our annual performance review process helps support our commitment to develop and retain top talent by providing an opportunity to have open dialogue, establish goals, discuss milestones and continue to engage in opportunities to develop and cultivate talent. Additionally, we conduct regular employee engagement surveys, and our management team makes themselves available to all employees, including 1:1s, Department Meetings and Town Hall events.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Career development: We provide opportunities to move throughout the organization via multiple career frameworks such as scientific, manufacturing, and operations tracks.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Retention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voluntary turnover rate was 7.4% for the fiscal year ended 2025, which is less than industry benchmarks.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Well</w:t>
        <w:noBreakHyphen/>
        <w:t>being initiatives: Employees have access to wellness programs and mental</w:t>
        <w:noBreakHyphen/>
        <w:t xml:space="preserve">health resources to ensure well-rounded care and opportunities are easily available.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Compensation is designed to attract, motivate, and retain talent while aligning employee interests with shareholder value.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Compensation methodology: Utilizes benchmark data to ensure market competitiveness, in addition to a focus on pay for performance.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Incentive awards: Employees are eligible for annual cash bonuses and new hire equity and potential long</w:t>
        <w:noBreakHyphen/>
        <w:t xml:space="preserve">term discretionary equity awards that vest over 3 years.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Benefits: We offer comprehensive health, dental, vision, and retirement plans, as well as supplemental programs such as voluntary life, accident and pet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ORGANIZATION AND DEVELOPMENT OF IMMUNITYBIO, INC.</w:t>
      </w:r>
    </w:p>
    <w:p>
      <w:pPr>
        <w:pStyle w:val="TextBody"/>
        <w:bidi w:val="0"/>
        <w:spacing w:lineRule="auto" w:line="288" w:before="120" w:after="283"/>
        <w:jc w:val="left"/>
        <w:rPr/>
      </w:pPr>
      <w:r>
        <w:rPr>
          <w:rFonts w:ascii="Times New Roman;serif" w:hAnsi="Times New Roman;serif"/>
          <w:b w:val="false"/>
          <w:color w:val="000000"/>
          <w:sz w:val="20"/>
        </w:rPr>
        <w:t xml:space="preserve">ImmunityBio, Inc. is incorporated in Delaware and its principal executive offices are located in San Diego, California. The company operates in one operating and one reportable segment. </w:t>
      </w:r>
      <w:r>
        <w:rPr>
          <w:rFonts w:ascii="Times New Roman;serif" w:hAnsi="Times New Roman;serif"/>
          <w:b w:val="false"/>
          <w:color w:val="000000"/>
          <w:sz w:val="20"/>
          <w:shd w:fill="FFFFFF" w:val="clear"/>
        </w:rPr>
        <w:t xml:space="preserve">ImmunityBio, Inc. was established following a series of mergers and name changes. For more information regarding ImmunityBio’s development, see Part I, Item 1. </w:t>
      </w:r>
      <w:r>
        <w:rPr>
          <w:color w:val="000000"/>
          <w:shd w:fill="FFFFFF" w:val="clear"/>
        </w:rPr>
        <w:t>“</w:t>
      </w:r>
      <w:r>
        <w:rPr>
          <w:rFonts w:ascii="Times New Roman;serif" w:hAnsi="Times New Roman;serif"/>
          <w:b w:val="false"/>
          <w:i/>
          <w:color w:val="000000"/>
          <w:sz w:val="20"/>
          <w:shd w:fill="FFFFFF" w:val="clear"/>
        </w:rPr>
        <w:t>Business—Organization and Development of ImmunityBio, Inc.”</w:t>
      </w:r>
      <w:r>
        <w:rPr>
          <w:color w:val="000000"/>
          <w:shd w:fill="FFFFFF" w:val="clear"/>
        </w:rPr>
        <w:t xml:space="preserve"> </w:t>
      </w:r>
      <w:r>
        <w:rPr>
          <w:rFonts w:ascii="Times New Roman;serif" w:hAnsi="Times New Roman;serif"/>
          <w:b w:val="false"/>
          <w:color w:val="000000"/>
          <w:sz w:val="20"/>
        </w:rPr>
        <w:t xml:space="preserve">of our Annual Report filed with the SEC on March 19,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1B4486"/>
          <w:sz w:val="28"/>
        </w:rPr>
      </w:pPr>
      <w:r>
        <w:rPr>
          <w:rFonts w:ascii="Times New Roman;serif" w:hAnsi="Times New Roman;serif"/>
          <w:b/>
          <w:color w:val="1B4486"/>
          <w:sz w:val="28"/>
        </w:rPr>
        <w:t>AVAILABLE INFORMATION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Financial and other information about our company is available on our website at https://www.immunitybio.com. We make available on our website, free of charge, copies of our Annual Report, Quarterly Reports on Form 10-Q, Current Reports on Form 8-K and all amendments to those reports filed or furnished pursuant to Section 13(a) or 15(d) of the Exchange Act as soon as reasonably practicable after such reports are electronically filed with, or furnished to, the SEC. All reports we file with the SEC are available free of charge via EDGAR through the SEC website at https://www.sec.gov. We have included the web addresses of ImmunityBio and the SEC as inactive textual references only. Except as specifically incorporated by reference into this Annual Report, information on these websites is not part of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bookmarkStart w:id="11" w:name="i3bdb262bfe7a4b1abf2baedb35b201e6_647925"/>
      <w:bookmarkEnd w:id="11"/>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carefully consider the risks described below, any of which may be relevant to decisions regarding an investment in or ownership of our stock. The occurrence of any of these risks could have a significant adverse effect on our reputation, business, financial condition, results of operations, growth, and ability to accomplish our strategic objectives. We have organized the description of these risks into groupings in an effort to enhance readability, but many of the risks interrelate or could be grouped or ordered in other ways, so no special significance should be attributed to the groupings or order below.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are a biotechnology company with a single approved product and a limited operating history as a commercial company </w:t>
      </w:r>
      <w:r>
        <w:rPr>
          <w:rFonts w:ascii="Times New Roman;serif" w:hAnsi="Times New Roman;serif"/>
          <w:b w:val="false"/>
          <w:color w:val="000000"/>
          <w:sz w:val="20"/>
          <w:shd w:fill="FFFFFF" w:val="clear"/>
        </w:rPr>
        <w:t>and have many other product candidates at the clinical stage.</w:t>
      </w:r>
      <w:r>
        <w:rPr>
          <w:color w:val="000000"/>
        </w:rPr>
        <w:t xml:space="preserve"> </w:t>
      </w:r>
      <w:r>
        <w:rPr>
          <w:rFonts w:ascii="Times New Roman;serif" w:hAnsi="Times New Roman;serif"/>
          <w:b w:val="false"/>
          <w:color w:val="000000"/>
          <w:sz w:val="20"/>
        </w:rPr>
        <w:t>We have a history of operating losses, and we expect to continue to incur losses and may never be profitable, which, together with our limited operating history, makes it difficult to assess our future viability.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anticipate needing additional financing to fund our operations, complete the commercialization of our approved product, conduct clinical trials, and develop and commercialize our other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RIPA imposes Revenue Interest Payment obligations, which may adversely affect our financial position and results of operations, as well as affirmative and negative covenants, which restrict our business operations.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debt and revenue interest liability could adversely affect our cash flows and limit our flexibility to raise additional capital.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the Discovery, Development and Commercialization of our Approved Product and our Other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substantially dependent on the successful commercialization of our approved product and the success and regulatory approval of our other product candidates. If we are unable to successfully commercialize our approved product or successfully complete clinical development of, obtain regulatory approval for, or commercialize, our other product candidates, or if we experience delays in doing so, our business will be materially harmed.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limited experience as a commercial company and the sales, marketing, and distribution of our approved product or any future approved products may be unsuccessful or less successful than anticipated.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developed an approved product and are developing other product candidates in combination with other therapies, which expose us to additional risks.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have relied and will continue to rely on third parties and related parties to conduct some of our preclinical studies and clinical trials, manufacture products, and perform many essential services for any products that we commercialize.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successfully commercialize our approved product or any other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 </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rPr>
        <w:t xml:space="preserve">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Healthcare and Other Government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While we have one product approved by the FDA, MHRA and SFDA and we have received conditional marketing authorization from the EC (EMA) for the EU, we may be unable to obtain additional U.S. or foreign regulatory approval and, as a result, may be unable to commercialize our other product candidates. We are, and will continue to be subject to ongoing extensive regulation, regulatory obligations and continued regulatory review, which may result in significant additional expense.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Obtaining and maintaining regulatory approval of our approved product or other product candidates in one jurisdiction does not mean that we will be successful in obtaining regulatory approval in other jurisdictions.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Even though we have a regulatory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we are unable to establish adequate sales, marketing and distribution capabilities, we may not be successful commercializing our approved product or other product candidates, including in international markets, if and when they are approved.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Problems related to large-scale commercial manufacturing could cause delays in product launches, an increase in product costs, product recalls or product shortages.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obtain, maintain, protect and enforce patent protection and other proprietary rights for our approved product, other product candidates, and other technologies in development, we may not be able to compete effectively or operate profitably, and our ability to prevent our competitors from commercializing similar or identical technology would be adversely affected.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any of our owned or in-licensed patent applications do not issue as patents in any jurisdiction, we may not be able to compete effectively.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approved product and other product candidates, or may put our patents and other proprietary rights at risk.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Dr. Soon-Shiong, our Founder, Executive Chairman, Global Chief Scientific and Medical Officer and principal stockholder, has significant interests in other companies, which may conflict with our interests.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Dr. Soon-Shiong, through his voting control of the company, has the ability to control actions that require stockholder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Conversion of related-party promissory notes,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our common stock has been and may continue to be volatile, and investors may have difficulty selling their shares.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Condition and Capital Requirements </w:t>
      </w:r>
    </w:p>
    <w:p>
      <w:pPr>
        <w:pStyle w:val="TextBody"/>
        <w:bidi w:val="0"/>
        <w:spacing w:lineRule="auto" w:line="288" w:before="120" w:after="283"/>
        <w:jc w:val="left"/>
        <w:rPr/>
      </w:pPr>
      <w:r>
        <w:rPr>
          <w:rFonts w:ascii="Times New Roman;serif" w:hAnsi="Times New Roman;serif"/>
          <w:b/>
          <w:i/>
          <w:color w:val="000000"/>
          <w:sz w:val="20"/>
          <w:shd w:fill="FFFFFF" w:val="clear"/>
        </w:rPr>
        <w:t xml:space="preserve">We are a </w:t>
      </w:r>
      <w:r>
        <w:rPr>
          <w:rFonts w:ascii="Times New Roman;serif" w:hAnsi="Times New Roman;serif"/>
          <w:b/>
          <w:i/>
          <w:color w:val="000000"/>
          <w:sz w:val="20"/>
        </w:rPr>
        <w:t>biotechnology</w:t>
      </w:r>
      <w:r>
        <w:rPr>
          <w:color w:val="000000"/>
          <w:shd w:fill="FFFFFF" w:val="clear"/>
        </w:rPr>
        <w:t xml:space="preserve"> </w:t>
      </w:r>
      <w:r>
        <w:rPr>
          <w:rFonts w:ascii="Times New Roman;serif" w:hAnsi="Times New Roman;serif"/>
          <w:b/>
          <w:i/>
          <w:color w:val="000000"/>
          <w:sz w:val="20"/>
          <w:shd w:fill="FFFFFF" w:val="clear"/>
        </w:rPr>
        <w:t xml:space="preserve">company with a single approved product and a limited operating history as a commercial company and have many other product candidates at the clinical stage. </w:t>
      </w:r>
      <w:r>
        <w:rPr>
          <w:rFonts w:ascii="Times New Roman;serif" w:hAnsi="Times New Roman;serif"/>
          <w:b/>
          <w:i/>
          <w:color w:val="000000"/>
          <w:sz w:val="20"/>
        </w:rPr>
        <w:t>We have a history of operating losses, and we expect to continue to incur losses and may never be profitable, which, together with our limited operating history, makes it difficult to assess our future viability.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biotechnology company with a limited operating history as a commercial company upon which you can evaluate our business and prospects regarding the commercialization of our approved product and we have a broad portfolio of product candidates at various stages of development. 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In April 2024, the FDA approved ANKTIVA with BCG for the treatment of adult patients with BCG-unresponsive NMIBC CIS with or without papillary tumors for commercial sale, and we have begun to generate revenue, although we expect it to take some time to generate sufficient revenue from our approved product to offset expenses. We can provide no assurance when, or if, this will occur. We do not expect additional revenue from our other product candidates unless and until we obtain regulatory approval of and commercialize any of such other product candidates, and we do not know when, or if, this will occur. In addition, we have limited experience and have only recently demonstrated an ability to successfully overcome many of the risks and uncertainties frequently encountered by companies in new and rapidly evolving fields, particularly in the biotechnology industry, including in connection with obtaining marketing approvals, manufacturing a commercial-scale product or arranging for a third party to do so on our behalf, and conducting sales and marketing</w:t>
      </w:r>
      <w:r>
        <w:rPr>
          <w:color w:val="000000"/>
          <w:shd w:fill="FFFFFF" w:val="clear"/>
        </w:rPr>
        <w:t xml:space="preserve"> </w:t>
      </w:r>
      <w:r>
        <w:rPr>
          <w:rFonts w:ascii="Times New Roman;serif" w:hAnsi="Times New Roman;serif"/>
          <w:b w:val="false"/>
          <w:color w:val="000000"/>
          <w:sz w:val="20"/>
        </w:rPr>
        <w:t>activities necessary for successful product commercialization. Because of the numerous risks and uncertainties associated with the commercialization of our approved product and other development efforts, we are unable to predict when we may become profitable, if at all.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commencement of our operations, we have incurred significant losses each year, and, as of December 31, 2025, we had an accumulated deficit of $3.7 billion. We expect to continue to incur significant expenses as we seek to expand our business, including in connection with commercializing our approved product globally,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other product candidates. Our net losses may fluctuate significantly from quarter-to-quarter and year-to-year based on these variables. Furthermore, the timing and magnitude of sales of our approved product and other revenues remain uncertain and may take a significant amount of time to materialize. Since ANKTIVA is approved for use with BCG (and currently TICE BCG is the only FDA-approved strain of BCG available in the U.S., except for rBCG available in limited quantities through our agreement with Serum Institute pursuant to an EAP), any shortage or supply chain issues associated with TICE BCG could impact the demand for ANKTIVA and our ability to commercialize our approved product.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face risks associated with the shift from development to commercialization of new products based on innovative technologies. Our ability to achieve profitability, if ever, is dependent upon, among other things, obtaining regulatory approvals for additional product candidates and successfully commercializing our approved product, and other product candidates alone or with third parties. However, our operations may not become profitable even with commercial sales of our approved product or other product candidates, even if they are successfully developed, approved and thereafter commercialized. Even if we do become profitable, we may not be able to sustain or increase our profitability on a quarterly or annual basis. As a result, it may be more difficult for you to assess our future viability than it could have been if we had a longer operating history.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anticipate needing additional financing to fund our operations, complete the commercialization of our approved product, conduct clinical trials, and develop and commercialize our other product candidates. If we are unable to obtain such financing when needed or on acceptable terms, we may be unable to successfully commercialize our approved product or develop and commercialize our other product candidates. If we are unable to obtain such financing when needed or on acceptable terms, we could be forced to delay, limit, reduce, or terminate our development programs, commercialization efforts, and/or other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development of biopharmaceutical products, including conducting preclinical studies and clinical trials, is a very time-consuming, expensive and uncertain process that takes years to complete. Our operations have consumed substantial amounts of cash since inception. A significant portion of our funding has been in the form of related-party promissory notes. As of December 31, 2025, such indebtedness was comprised of a $505.0 million convertible promissory note held by an entity affiliated with Dr. Soon-Shiong.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held cash and cash equivalents, and marketable securities totaling $242.8 million. We will need to obtain additional financing to fund our future operations, including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and until we can generate a sufficient amount of revenue, we may finance future cash needs through public or private equity offerings, license agreements, debt financings, collaborations, strategic alliances or marketing and/or distribution arrangements. However, we may be unable to raise additional funds or enter into such other arrangements when needed on favorable terms, or at all.</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To the extent that we raise additional capital through the sale of equity or equity-linked securities (including warrants), convertible debt, our shelf registration statements, or other offerings, or if any of our current debt is converted into equity or if our existing warrants are exercised, your ownership interest will be diluted, and the liquidation or other preferences may adversely affect your rights as a stockholder. If we incur additional indebtedness, our fixed payment obligations will increase, and we may have to comply with certain restrictive covenants that are similar to those associated with the RIPA,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or exercise our Call Option (as defined in the RIPA) to purchase the outstanding revenue interest liability, which will require us to generate a significant amount of cash flow to offset these outflows.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See </w:t>
      </w:r>
      <w:hyperlink w:anchor="i3bdb262bfe7a4b1abf2baedb35b201e6_647926">
        <w:r>
          <w:rPr>
            <w:rStyle w:val="InternetLink"/>
            <w:color w:val="0000FF"/>
            <w:u w:val="single"/>
          </w:rPr>
          <w:t>“—</w:t>
        </w:r>
      </w:hyperlink>
      <w:hyperlink w:anchor="i3bdb262bfe7a4b1abf2baedb35b201e6_647926">
        <w:r>
          <w:rPr>
            <w:rStyle w:val="InternetLink"/>
            <w:rFonts w:ascii="Times New Roman;serif" w:hAnsi="Times New Roman;serif"/>
            <w:b w:val="false"/>
            <w:i/>
            <w:color w:val="0000FF"/>
            <w:sz w:val="20"/>
            <w:u w:val="single"/>
          </w:rPr>
          <w:t>Our payment obligations under the RIPA may adversely affect our financial position and results of operations and our ability to raise additional capital, which in turn may increase our vulnerability to adverse regulatory developments or economic or business downturns”</w:t>
        </w:r>
      </w:hyperlink>
      <w:r>
        <w:rPr>
          <w:color w:val="000000"/>
        </w:rPr>
        <w:t xml:space="preserve"> </w:t>
      </w:r>
      <w:r>
        <w:rPr>
          <w:rFonts w:ascii="Times New Roman;serif" w:hAnsi="Times New Roman;serif"/>
          <w:b w:val="false"/>
          <w:color w:val="000000"/>
          <w:sz w:val="20"/>
        </w:rPr>
        <w:t xml:space="preserve">and </w:t>
      </w:r>
      <w:hyperlink w:anchor="i49f82bc2aa33405eae1e0b45f37d1ae6_26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Revenue Interest</w:t>
      </w:r>
      <w:r>
        <w:rPr>
          <w:color w:val="000000"/>
        </w:rPr>
        <w:t xml:space="preserve"> </w:t>
      </w:r>
      <w:r>
        <w:rPr>
          <w:rFonts w:ascii="Times New Roman;serif" w:hAnsi="Times New Roman;serif"/>
          <w:b w:val="false"/>
          <w:i/>
          <w:color w:val="000000"/>
          <w:sz w:val="20"/>
        </w:rPr>
        <w:t xml:space="preserve">Purchase Agreement”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pStyle w:val="TextBody"/>
        <w:bidi w:val="0"/>
        <w:spacing w:lineRule="auto" w:line="288" w:before="240" w:after="283"/>
        <w:jc w:val="left"/>
        <w:rPr>
          <w:rFonts w:ascii="Times New Roman;serif" w:hAnsi="Times New Roman;serif"/>
          <w:b/>
          <w:i/>
          <w:color w:val="000000"/>
          <w:sz w:val="20"/>
        </w:rPr>
      </w:pPr>
      <w:bookmarkStart w:id="12" w:name="i3bdb262bfe7a4b1abf2baedb35b201e6_647926"/>
      <w:bookmarkEnd w:id="12"/>
      <w:r>
        <w:rPr>
          <w:rFonts w:ascii="Times New Roman;serif" w:hAnsi="Times New Roman;serif"/>
          <w:b/>
          <w:i/>
          <w:color w:val="000000"/>
          <w:sz w:val="20"/>
        </w:rPr>
        <w:t>Our payment obligations under the RIPA may adversely affect our financial position and results of operations and our ability to raise additional capital, which in turn may increase our vulnerability to adverse regulatory developments or economic or business downturns.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we entered into the RIPA with Infinity and Oberland. Pursuant to the RIPA, Oberland acquired certain Revenue Interests from us for a gross purchase price of $200.0 million paid on closing, less certain transaction expenses. In addition, on May 13, 2024, Oberland purchased additional Revenue Interests from us in exchange for a $100.0 million Second Payment, which we requested upon satisfaction of certain conditions specified in the RIPA, including the receipt of approval from the FDA of our BLA for ANKTIVA with BCG for the treatment of adult patients with BCG-unresponsive NMIBC CIS with or without papillary tumors on or before June 30, 2024. In consideration for the aforementioned payments, Oberland has the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to receive quarterly Revenue Interest Payments from us based on, among other things, our worldwide net sales, excluding those in China, which are tiered payments ranging from 4.50% to 10.00%, subject to increase or decrease, following December 31, 2029 depending on whether the aggregate payments made to Oberland as of that date met or exceeded the Cumulative Purchaser Payments (as defined in the RIPA). In addition, if the aggregate payments to Oberland as of December 31, 2029 do not equal or exceed the amount of the Cumulative Purchaser Payments, then we are obligated to make a one-time payment to Oberland in an amount equal to 100% of the Cumulative Purchaser Payments, less the aggregate amount of our previous payments to Oberland as of December 31, 2029 (the True-Up Payment, as defined in the RIPA). See </w:t>
      </w:r>
      <w:hyperlink w:anchor="i49f82bc2aa33405eae1e0b45f37d1ae6_26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RIPA and our payment obligations to Oberland could have important negative consequences to holders of our securities. For example, a portion of our cash flow from operations will be needed to make required payments to Oberland and will not be available to fund future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 requirements under the RIPA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sales will result in dilution to our stockholders. There is no assurance that if we are required to secure funding we can do so on terms acceptable to us, or at all. Failure to pay amounts owed to Oberland when due would result in a default under the RIPA and could result in foreclosure on all or substantially all of our assets, which would have a material adverse effect on our financial condition and business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RIPA contains affirmative and negative operational covenants and events of default, which may prevent us from capitalizing on business opportunities and taking some corporate actions and give rise to a Put Option in favor of Oberland, which could have a material adverse effect on our financial condition and business operations.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RIPA contains affirmative and negative covenants and events of default, including covenants and restrictions that, among other things, restrict our ability to incur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Additionally, Oberland has a Put Option enabling them to terminate the RIPA and to require the company to repurchase the Revenue Interests upon enumerated events such as a bankruptcy event, failure to make a payment under the RIPA, an uncured material breach, default on certain third-party agreements, a breach or default under any subordination agreements with respect to indebtedness to existing stockholders, any right to repurchase or accelerate debt instruments like permitted convertible notes, existing stockholder indebtedness, or subordinated notes during certain time periods, judgments in excess of certain amounts against us, a material adverse effect, the loss of regulatory approval of our approved product, or a change of control. The triggering of the Put Option, including by our failure to comply with these covenants, would permit Oberland to declare certain amounts to be immediately due and payable. If we were to default under the terms of the RIPA, including by failure to make such accelerated payments, Oberland could exercise remedies, including initiating foreclosure proceedings against all or substantially all of our assets.</w:t>
      </w:r>
      <w:r>
        <w:rPr>
          <w:color w:val="000000"/>
          <w:shd w:fill="FFFFFF" w:val="clear"/>
        </w:rPr>
        <w:t xml:space="preserve"> </w:t>
      </w:r>
      <w:r>
        <w:rPr>
          <w:rFonts w:ascii="Times New Roman;serif" w:hAnsi="Times New Roman;serif"/>
          <w:b w:val="false"/>
          <w:color w:val="000000"/>
          <w:sz w:val="20"/>
          <w:shd w:fill="FFFFFF" w:val="clear"/>
        </w:rPr>
        <w:t>Oberland’s right to repayment is senior to the rights of the holders of our common stock. Any triggering of the Put Option or other declaration by Oberland of an event of default under the RIPA could significantly harm our financial condition, business and prospects and could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debt and revenue interest liability could adversely affect our cash flows and limit our flexibility to raise additional capital.</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have a significant amount of debt and a revenue interest liability and may need to incur additional debt to support our growth. As of December 31, 2025, our indebtedness was comprised of a $505.0 million convertible promissory note held by an entity affiliated with Dr. Soon-Shiong and a revenue interest liability with Oberland under the RIPA in excess of $324.6 million. The total amount paid to Oberland depends on when we repay this debt, and is up to an overall cap of 195% of the Cumulative Purchase Payments as defined under the RIPA. See </w:t>
      </w:r>
      <w:hyperlink w:anchor="i49f82bc2aa33405eae1e0b45f37d1ae6_26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about the revenue interest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substantial amount of debt could have important consequences and could: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us to dedicate a substantial portion of our cash and cash equivalents to make interest and principal payments on our debt and revenue interest liability payments, reducing the availability of our cash and cash equivalents and cash flow from operations to fund future capital expenditures, working capital, execution of our strategy and other general corporate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increase our cost of borrowing and even limit our ability to access additional debt to fund future growth;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 and adverse changes in governmental regulations;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industry, which may place us at a disadvantage compared with our competitors;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limit our ability to borrow additional funds, even when necessary to maintain adequate liquidity, which would also limit our ability to further expand our business.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 foregoing factors could have a material adverse effect on our business, results of operations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can refinance the related-party promissory note or revenue interest liability or what terms will be available in the market at the time of refinancing. Furthermore, if prevailing interest rates or other factors at the time of refinancing result in higher interest rates upon refinancing, then the interest expense relating to the refinancing would increase. These risks could materially adversely affect our financial condition, cash flows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RDO transactions in the year ended December 31, 2023 and December 31, 2025, we entered into warrant agreements with certain institutional investors that allow such investors to purchase up to an aggregate total of 87,296,311 shares of our common stock, with exercise prices ranging from $3.1010 to $3.2946 per share. As of December 31, 2025, 65,053,571 warrants were exercisable with expiration dates ranging from July 24, 2026 to July 28, 2030.</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account for the warrants as derivative instruments, and changes in the fair value of the warrants are included in </w:t>
      </w:r>
      <w:r>
        <w:rPr>
          <w:rFonts w:ascii="Times New Roman;serif" w:hAnsi="Times New Roman;serif"/>
          <w:b w:val="false"/>
          <w:i/>
          <w:color w:val="000000"/>
          <w:sz w:val="20"/>
          <w:shd w:fill="FFFFFF" w:val="clear"/>
        </w:rPr>
        <w:t>other income (expense), net</w:t>
      </w:r>
      <w:r>
        <w:rPr>
          <w:rFonts w:ascii="Times New Roman;serif" w:hAnsi="Times New Roman;serif"/>
          <w:b w:val="false"/>
          <w:color w:val="000000"/>
          <w:sz w:val="20"/>
        </w:rPr>
        <w:t>, on the consolidated statement of operations for each reporting period. As of December 31, 2025, the fair value of warrant liabilities included in the consolidated balance sheet was $84.4 million. We use the Black-Scholes option pricing model to determine the fair value of the warrants. As a result, the valuation of these derivative instruments is subjective, and the Black-Scholes option pricing model requires the input of subjective assumptions, including the expected stock price volatility and probability of a fundamental transaction (a strategic merger or sale). Changes in these assumptions can materially affect the fair value estimate. We could, at any point in time, ultimately incur amounts different than the carrying value, which could have a significant impact on our results of operations and financial position.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the revenue interest liability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consolidated statement of operations. The interest rate on the liability and the underlying value of the bifurcated embedded derivative may vary during the term of the agreement depending on a number of factors, including the level of actual and forecasted net sales, and in the case of the derivative, specific probabilities associated with RIPA Put/Call events or Test Date payments underlying our Monte Carlo Simulation valuation technique. The company evaluates the interest rate quarterly based on actual and forecasted net sales utilizing the prospective method. A significant increase or decrease in actual or forecasted net sales will materially impact the revenue interest liability and/or the bifurcated embedded derivative, interest expense, and the time period for repayment.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Fluctuations in warrant, revenue interest liability, and derivative values, and changes in the assumptions and factors used in the model may impact our operating results, making it difficult to forecast our operating results and making period-to-period comparisons less predictive of future performance. In one or more future quarters, our results of operations may fall below the expectations of securities analysts and investors. In that event, the market price of our common stock could decline. In addition, the market price of our common stock may fluctuate or decline regardless of our operating performance</w:t>
      </w:r>
      <w:r>
        <w:rPr>
          <w:rFonts w:ascii="Times New Roman;serif" w:hAnsi="Times New Roman;serif"/>
          <w:b w:val="false"/>
          <w:color w:val="373739"/>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the fair value of our convertible promissory note could have a material effect on our reported financial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a second amended and restated promissory note with Nant Capital on December 10, 2024 in connection with an equity offering. Pursuant to the terms of the second amended and restated promissory note, Tranche 1 of the prior promissory note (the December 2023 Promissory Note) with a principal amount of $125.0 million and Tranche 2 of the December 2023 Promissory Note with a principal amount of $380.0 million were combined into one convertible promissory note with a principal amount of $505.0 million (the December 2024 Promissory Note).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The December 2024 Promissory Note was accounted for as part of a debt extinguishment in accordance with ASC 470-50 as the terms of the December 2024 Promissory Note were substantially different than the terms of the December 2023 Promissory Note. The company elected the fair value option of accounting under</w:t>
      </w:r>
      <w:r>
        <w:rPr>
          <w:color w:val="000000"/>
          <w:shd w:fill="FFFFFF" w:val="clear"/>
        </w:rPr>
        <w:t xml:space="preserve"> </w:t>
      </w:r>
      <w:r>
        <w:rPr>
          <w:rFonts w:ascii="Times New Roman;serif" w:hAnsi="Times New Roman;serif"/>
          <w:b w:val="false"/>
          <w:color w:val="000000"/>
          <w:sz w:val="20"/>
          <w:shd w:fill="FFFFFF" w:val="clear"/>
        </w:rPr>
        <w:t xml:space="preserve">ASC 825 </w:t>
      </w:r>
      <w:r>
        <w:rPr>
          <w:rFonts w:ascii="Times New Roman;serif" w:hAnsi="Times New Roman;serif"/>
          <w:b w:val="false"/>
          <w:color w:val="000000"/>
          <w:sz w:val="20"/>
        </w:rPr>
        <w:t xml:space="preserve">for the December 2024 Promissory Note. As a result of the fair value option election, the December 2024 Promissory Note and the embedded derivative were accounted for as a single instrument in accordance with ASC 815. Changes in fair value of the December 2024 Promissory Note are recorded as a component of </w:t>
      </w: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on the consolidated statement of operations. There is no current observable market for the December 2024 Promissory Note and, as such, we determined the fair value by using the binomial lattice model with key assumptions including an expected market yield, an expected volatility, and a risk-free rate. The changes in fair value of the December 2024 Promissory Note may have a substantial effect and may have a negative impact on our statement of financial position and statement of operations. It is difficult to predict the effect on our future financial results as the significant inputs are outside of our control.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invest our cash on hand in various financial instruments which are subject to risks that could adversely affect our business, results of operations, liquidity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typically invested our cash in a variety of financial instruments, including investment-grade short- to intermediate-term corporate debt securities, government-sponsored securities and European bonds; however, after our entry into the RIPA, we can no longer invest our excess funds in corporate or European bonds. Certain of our investments are subject to credit, liquidity, market, and interest rate risk. Such risks, including the failure or severe financial distress of the financial institutions that hold our cash and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To manage the risk to our investments, we maintain an investment policy that, among other things, limits the amount that we may invest in any one issue or any single issuer and requires us to only invest in high credit quality securities to preserve liquidity.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NOLs and research and development credits to offset future taxable income may be subject to certain limitations.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general, under Sections 382 and 383 of the Code, a corporation that undergoes an ownership change is subject to limitations on its ability to utilize its pre-change NOLs or credits to offset future taxable income or taxes. For these purposes, an ownership change generally occurs when the aggregate stock ownership of one or more stockholders or groups of stockholders who own at least 5% of a corporation’s stock increases its ownership by more than 50 percentage points over its lowest ownership percentage within a specified testing period (“ownership change”). We have not conducted a complete study to assess whether an ownership change has occurred or whether there have been multiple ownership changes since inception due to the significant complexity and cost associated with such a study. If we have experienced an ownership change, as defined by Section 382, at any time since inception (including as a result of the March 2021 merger which </w:t>
      </w:r>
      <w:r>
        <w:rPr>
          <w:rFonts w:ascii="Times New Roman;serif" w:hAnsi="Times New Roman;serif"/>
          <w:b w:val="false"/>
          <w:color w:val="000000"/>
          <w:sz w:val="20"/>
          <w:shd w:fill="FFFFFF" w:val="clear"/>
        </w:rPr>
        <w:t>pursuant to which NantKwest and NantCell combined their businesses</w:t>
      </w:r>
      <w:r>
        <w:rPr>
          <w:rFonts w:ascii="Times New Roman;serif" w:hAnsi="Times New Roman;serif"/>
          <w:b w:val="false"/>
          <w:color w:val="000000"/>
          <w:sz w:val="20"/>
        </w:rPr>
        <w:t>),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 In addition, our NOLs or credits may also be impaired under state law. Accordingly, we may not be able to utilize a material portion of our NOLs or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7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we will need to raise substantial additional funding to finance our operations, we may experience further ownership changes in the future, some of which may be outside of our control. Limits on our ability to use our pre-change NOLs or credits to offset U.S. federal taxable income could potentially result in increased future tax liability to us if we earn net taxable income in the future. In addition, under the legislation commonly referred to as the TCJA, as modified by the Coronavirus Aid, Relief, and Economic Security Act, the amount of NOLs generated in taxable periods beginning after December 31, 2017, that we are permitted to deduct in any taxable year beginning after December 31, 2020 is limited to 80% of our taxable income in such year, where taxable income is determined without regard to the NOL deduction itself. The TCJA allows post-2017 unused NOLs to be carried forward indefinitely. Similar rules apply under state tax laws. In addition, some states may suspend the use of NOL carryovers (e.g., as California has done for taxable years 2024 through 2026) that may result in state taxable income and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transfer pricing policies may be subject to challenge by the Internal Revenue Service or other taxing authorities.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intercompany relationships are subject to complex transfer pricing regulations administered by taxing authorities in various jurisdictions. The relevant tax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consolidated financial statements reflect adequate reserves to cover such a contingency, but there can be no assurances in that regard.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Unanticipated changes in effective tax rates or adverse outcomes resulting from new tax statutes or regulations, examination of our income or other tax returns could expose us to greater than anticipated tax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tax laws applicable to our business, including the laws of the U.S. and other jurisdictions, are subject to change, interpretation and certain jurisdictions may aggressively interpret their laws to raise additional tax revenue. It is possible that tax authorities may disagree with certain positions we have taken, are currently taking or will take,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the consolidated financial statements and may materially affect our financial results in the period or periods for which such determination is made.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tax laws are dynamic and subject to change as new laws are passed and new interpretations of the law are issued or applied. For example, in August 2022, the U.S. enacted the IRA, which imposes a 15% minimum tax on the adjusted financial statement income of certain large corporations, as well as a 1% excise tax on corporate stock repurchases by publicly traded companies. Additionally, for taxable years beginning on or after January 1, 2022, the Code eliminated the right to deduct research and development expenditures currently and requires taxpayers to capitalize and amortize U.S. and foreign research and development expenditures over 5 and 15 tax years, respectively. However, on July 4, 2025, the U.S. enacted federal tax legislation commonly referred to as the OBBB Act, that revised these rules and permitted the deduction of certain U.S. research and development expenditures incurred in tax years beginning on or after January 1, 2025, while expenditures attributable to research and development conducted outside the U.S. must continue to be capitalized and amortized over a 15-year period. The OBBB Act additionally made changes to the calculation and deductibility of global intangible low-taxed income (renamed Net CFC Tested Income) and foreign-derived intangible income (renamed Foreign-Derived Deduction Eligible Income), in each case, a portion of which is generally deductible for U.S. federal income tax purposes for corporate taxpayers. We have evaluated the impact of the OBBB Act and estimated that the impact to our tax liabilities will not be adverse. Further updates, as well as any other changes to tax laws that are enacted, could adversely affect our tax liability.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OECD also has proposals regarding the implementation of global minimum tax of at least 15% for multinationals with global revenue exceeding certain thresholds, known as “Pillar Two.” Although these rules are not currently applicable to us, we operate in participating countries that have implemented or are expected to implement these rules. On January 5, 2026, however, the OECD announced a “side-by-side” elective safe harbor that would exempt electing U.S.-parented multinational entities from the 15% global minimum tax for taxable years beginning on or after January 1, 2026. Currently, our expectation is that the Pillar Two structure will not have an adverse effect on the company’s operations outside the U.S. unless the safe harbor is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Discovery, Development and Commercialization of our Approved Product and our Other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substantially dependent on the successful commercialization of our approved product and the success and regulatory approval of our other product candidates. If we are unable to successfully commercialize our approved product or successfully complete clinical development of, obtain regulatory approval for, or commercialize, our other product candidates, or if we experience delays in doing so, our business will be materially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Now that we have received FDA approval for ANKTIVA with BCG for the treatment of adult patients with BCG-unresponsive NMIBC CIS with or without papillary tumors, we have begun to generate revenue, although we expect it to take some time to generate sufficient revenue from our approved product to offset our expenses, and we can provide no assurance when, or if, this will occur. We began commercial distribution of our approved product in May 2024; however, we can provide no assurance with respect to our future revenues, both in terms of amounts and pace, market acceptance, reimbursement from third-party payors, or the profitability of our approved product or any other product candidate for which we may obtain approval. We are required to comply with certain post-marketing commitments, including completion of our QUILT-3.032 clinical trial and annual reporting for up to four years, with a final report submission to FDA by the end of 2029. Our business currently depends heavily on our ability to successfully commercialize ANKTIVA or any future approved products in the U.S. or internationally where we may obtain marketing approval. We may never be able to successfully commercialize our approved product or meet our, or analysts or other third parties’ expectations with respect to revenues. There is no guarantee that the infrastructure, systems, processes, policies, relationships, and materials we have built for the launch and commercialization of our approved product in the U.S. or elsewhere will be sufficient for us to achieve success at the levels we expect.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encounter issues and challenges in commercializing our approved product and generating substantial revenues. We may also encounter challenges related to reimbursement of our approved product, including potential limitations in the scope, breadth, availability, or amount of reimbursement covering our approved product. Similarly, healthcare settings or patients may determine that the financial burdens of treatment are not acceptable and as a result physicians may be reluctant to recommend our approved product to their patients. We may face other limitations or issues related to the price of our approved product. Our results may also be negatively impacted if we have not adequately sized our field teams or our physician segmentation and our targeting strategy is inadequate or if we encounter deficiencies or inefficiencies in our infrastructure or processes. Other factors that may hinder our ability to successfully commercialize approved product, or any of our other product candidates if or when approved and generate substantial revenues,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acceptance of our approved product by patients and the medical community, including industry groups and third-party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ability of our third-party manufacturer(s) to manufacture commercial supplies of our approved product at acceptable costs, to remain in good standing with regulatory agencies, and to maintain commercially viable manufacturing processes that are, to the extent required, compliant with cGMP regulations;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remain compliant with laws and regulations that apply to us and our commercial activities;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FDA-mandated package-insert requirements and successful completion of FDA post-marketing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actual market size for our approved product, which may be different than expected;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length of time that patients who are prescribed our drug remain on treatment;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obtain marketing approval for our approved product outside of the U.S.;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sufficiency of our drug supply to meet commercial and clinical demands, which could be negatively impacted if our projections regarding the potential number of patients are inaccurate, we are subject to unanticipated regulatory requirements, or our current drug supply is destroyed, or negatively impacted at our manufacturing sites, storage sites, or in transit;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availability of reimbursement for our approved product and physicians’ understanding regarding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effectively compete with other therapies that may emerge for the treatment of bladder cancer;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maintain, enforce, and defend third party challenges to our intellectual property rights in and to our approved product or any of our other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issues could impair our ability to successfully commercialize our approved product or to generate substantial revenues or profits or to meet our expectations with respect to the amount or timing of revenues or profits. Any issues or hurdles related to our commercialization efforts may materially adversely affect our business, results of operations, financial condition, and prospects. There is no guarantee that we will be successful in our launch or commercialization efforts with respect to our approved product. We may also experience significant fluctuations in sales of our approved product from period to period and, ultimately, we may never generate sufficient revenues from our approved product to reach or maintain profitability or sustain our anticipated levels of operations. Any inability on our part to successfully commercialize our approved product in the U.S., and any other international markets where it may subsequently be approved, or any significant delay, could have a material adverse impact on our ability to execute upon our business strategy.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we have pursued additional regulatory submissions in the first quarter of 2025, such as an sBLA submission for BCG-unresponsive NMIBC patients in the papillary indication as discussed below, and are pursuing and anticipating certain additional regulatory submissions in 2026 and beyond following ongoing discussions with the FDA, including, potentially and without limitation, a BLA for second-line and third-line treatment of patients with NSCLC who are progressing on CPIs, and a potential BLA for the indication of reversal of lymphopenia in patients receiving standard-of-care chemotherapy/radiotherapy for the treatment of multiply relapsed locally advanced or metastatic pancreatic cancer, and/or other potential indications, the regulatory review process is dynamic and highly uncertain. Even if we are able to prepare and submit these regulatory submissions on the anticipated timeline, there can be no assurance that the FDA will accept the BLAs and other regulatory submissions for filing and review, and there can be no assurance that the FDA will ultimately approve such BLAs and submissions if accepted for filing and review.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 May 2, 2025, we received an RTF letter from the FDA for the sBLA we submitted for use of ANKTIVA plus BCG in BCG-unresponsive NMIBC for the indication of papillary disease stating that an RCT and an iPSP are required. We believe the RTF letter to be inconsistent with guidance received from members of FDA leadership during a January 2025 meeting to submit the sBLA based on the single-arm QUILT-3.032 trial, and notwithstanding this guidance, the FDA maintained that an RCT against chemotherapy is required at a June 2025 meeting held to discuss the RTF letter. We provided certain new data at the meeting.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a series of productive meetings, a December 2025 Type B meeting with senior FDA officials was held. Topics included current standards of care, challenges associated with chemotherapy, patient management considerations, and perspectives on the interpretation of the company’s data. BCG-unresponsive disease remains a serious condition, with risks of progression to muscle-invasiveness disease, higher mortality, and limited bladder-sparing treatment options for patients. After the meeting, the Agency recommended submitting certain additional information to support a potential filing and review of the sBLA. The company compiled the requested information and submitted the data to the Agency in February 2026. There can be no assurance that we will be successful in our efforts to resolve the RTF letter with the FDA and/or that our sBLA, or any newly submitted sBLA or BLA, will be accepted for filing and review in this indication in a timely manner, or at all, without the need to conduct a new RCT prior to submission, or that we will ultimately receive approval even if it is accepted for filing. Further, FDA’s “real-time” release of newly issued CRLs associated with withdrawn or abandoned applications, if applicable to any of our product candidates, could materially impact our competitive advantage and intellectual property.</w:t>
      </w:r>
    </w:p>
    <w:p>
      <w:pPr>
        <w:pStyle w:val="TextBody"/>
        <w:bidi w:val="0"/>
        <w:spacing w:lineRule="auto" w:line="288" w:before="240" w:after="283"/>
        <w:ind w:left="0" w:right="0" w:firstLine="720"/>
        <w:jc w:val="left"/>
        <w:rPr/>
      </w:pPr>
      <w:r>
        <w:rPr>
          <w:rFonts w:ascii="Times New Roman;serif" w:hAnsi="Times New Roman;serif"/>
          <w:b w:val="false"/>
          <w:color w:val="000000"/>
          <w:sz w:val="20"/>
        </w:rPr>
        <w:t>Further, we have invested a significant portion of our efforts and financial resources in the development of ANKTIVA, our novel</w:t>
      </w:r>
      <w:r>
        <w:rPr>
          <w:color w:val="000000"/>
          <w:shd w:fill="FFFFFF" w:val="clear"/>
        </w:rPr>
        <w:t xml:space="preserve"> </w:t>
      </w:r>
      <w:r>
        <w:rPr>
          <w:rFonts w:ascii="Times New Roman;serif" w:hAnsi="Times New Roman;serif"/>
          <w:b w:val="false"/>
          <w:color w:val="000000"/>
          <w:sz w:val="20"/>
          <w:shd w:fill="FFFFFF" w:val="clear"/>
        </w:rPr>
        <w:t>antibody-cytokine fusion protein</w:t>
      </w:r>
      <w:r>
        <w:rPr>
          <w:rFonts w:ascii="Times New Roman;serif" w:hAnsi="Times New Roman;serif"/>
          <w:b w:val="false"/>
          <w:color w:val="000000"/>
          <w:sz w:val="20"/>
        </w:rPr>
        <w:t>, and our other product candidates, s</w:t>
      </w:r>
      <w:r>
        <w:rPr>
          <w:rFonts w:ascii="Times New Roman;serif" w:hAnsi="Times New Roman;serif"/>
          <w:b w:val="false"/>
          <w:color w:val="000000"/>
          <w:sz w:val="20"/>
          <w:shd w:fill="FFFFFF" w:val="clear"/>
        </w:rPr>
        <w:t xml:space="preserve">econd-generation </w:t>
      </w:r>
      <w:r>
        <w:rPr>
          <w:rFonts w:ascii="Times New Roman;serif" w:hAnsi="Times New Roman;serif"/>
          <w:b w:val="false"/>
          <w:color w:val="000000"/>
          <w:sz w:val="20"/>
        </w:rPr>
        <w:t xml:space="preserve">hAd5 vaccine candidates, and our NK cell therapy candidates. Our other product candidates will require additional clinical and non-clinical development, regulatory approval, commercial manufacturing arrangements, enhancement of our commercial organization and service providers, significant marketing efforts, and further investment before we can generate any revenue from the sale of these other potential products. We expect to invest heavily in our other current product candidates and in any future product candidates that we may develop. Our product candidates are susceptible to the risks of failure inherent at any stage of product development, including the appearance of unexpected adverse events or failure to achieve primary endpoints in clinical trials. Furthermore, we cannot assure you that we will meet our timelines for current or future clinical trials, including post-market study requirements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approved product, which may be delayed or not completed for a number of reasons. Additionally, our ability to generate revenues from our approved product and any other combination therapy products will depend on the availability of the other therapies used in combination therewith, including BCG, with which our approved product and other product candidates are intended to be used. In particular, there has been a shortage of TICE BCG in the U.S. According to the American Urological Association, Merck &amp; Co., Inc. is the sole manufacturer and supplier of TICE BCG in the U.S. and many other countries around the world. Increasing demand for BCG has led to U.S. supply constraints for TICE BCG, which has provided a market headwind in our ongoing commercial launch activities and which could materially impact the demand for our approved product and our ability to commercialize our approved product, and our efforts to introduce an alternative source of BCG in connection with our collaboration with Serum Institute may not ultimately be successful in addressing this supply shortage.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limited experience as a commercial company and the sales, marketing, and distribution of our approved product or any future approved products may be unsuccessful or less successful than anticipated.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recently began commercializing our approved product in the U.S. As a company, we have no prior experience commercializing a product. The success of our commercialization efforts for our approved product and any future approved products is difficult to predict and subject to the effective execution of our business plan, including, among other things, the continued development of our internal and external sales, marketing, and distribution capabilities and our ability to navigate the significant expenses and risks involved with the development and management of such capabilities.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have hired and contracted for service providers in areas to support commercialization, including in sales management, sales representatives, marketing, access and reimbursement, sales support, and distribution. There are significant expenses and risks involved with establishing and maintaining our sales, marketing, and distribution capabilities, including our ability to hire or contract, retain, and appropriately incentivize qualified individuals, provide adequate training to sales and marketing personnel, and effectively manage geographically dispersed sales and marketing teams to generate sufficient demand. Any failure or delay in the development and maintenance of these capabilities could delay or negatively affect the success of our commercialization efforts and our business. For example, the commercialization of our approved product may not develop as planned or anticipated, which may require us to, among others, adjust or amend our business plan and incur significant expenses.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our approved product does not develop as quickly as planned, or any future approved products does not develop as planned, we may require significant additional capital and financial resources, we may not become profitable, and we may not be able to compete against more established companies in our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developed an approved product and are developing other product candidates in combination with other therapies, which expose us to additional risks.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developed an approved product and are developing other product candidates in combination with one or more other therapies. We are studying ANKTIVA therapy along with other products and product candidates, such as BCG, CPIs, hAd5 tumor-associated antigens, PD-L1 t-haNK, and M-ceNK. Since we have developed a product, or if we choose to develop other products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approved product or our other product candidates. In particular, supply chain issues or shortages of other products used in combination with our approved product or any other product candidates could impact our ability to obtain FDA regulatory approval, meet clinical trial timelines, and commercialize our approved product or other product candidates. The FDA may require us to use more complex clinical trial designs in order to evaluate the contribution of each product and product candidate to any observed effects. To the extent that we do not have rights to already approved products, this may require us to work with another company to satisfy such a requirement or increase our cost of development. It is possible that the results of these trials could show that any positive results are attributable to the already approved product. Following product approval, the FDA may require that products used in conjunction with each other be cross labeled for combined use. If the therapies we use in combination with our approved product or our other product candidates are replaced as the standard of care for the indications we choose for our approved product or any of our other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unapproved therapies face the same risks described with respect to our product candidates currently in development and clinical trials, including the potential for serious adverse effects, delays in clinical trials and lack of FDA approval. If the FDA or comparable foreign regulatory authorities do not approve or revoke their approval of these other therapies, or if safety, efficacy, quality, manufacturing or supply issues arise with, the therapies we choose to evaluate in combination with any of our product candidates, we may be unable to obtain approval of or market such other combination therapies.</w:t>
      </w:r>
    </w:p>
    <w:p>
      <w:pPr>
        <w:pStyle w:val="TextBody"/>
        <w:bidi w:val="0"/>
        <w:spacing w:lineRule="auto" w:line="288" w:before="240" w:after="283"/>
        <w:jc w:val="left"/>
        <w:rPr>
          <w:rFonts w:ascii="Times New Roman;serif" w:hAnsi="Times New Roman;serif"/>
          <w:b/>
          <w:i/>
          <w:color w:val="000000"/>
          <w:sz w:val="20"/>
        </w:rPr>
      </w:pPr>
      <w:bookmarkStart w:id="13" w:name="i3bdb262bfe7a4b1abf2baedb35b201e6_630561"/>
      <w:bookmarkEnd w:id="13"/>
      <w:r>
        <w:rPr>
          <w:rFonts w:ascii="Times New Roman;serif" w:hAnsi="Times New Roman;serif"/>
          <w:b/>
          <w:i/>
          <w:color w:val="000000"/>
          <w:sz w:val="20"/>
        </w:rPr>
        <w:t xml:space="preserve">Our clinical trials may fail to adequately demonstrate the safety and efficacy of our product candidates, which would prevent or delay regulatory approval and commercialization of other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programs of our other non-FDA-approved product candidates and ANKTIVA in new, non-FDA-approved indications, are at various stages of development. The clinical trials of our product candidates as well as the manufacturing and marketing of our product candidates will be subject to extensive and rigorous review and regulation by numerous government authorities in the U.S. and in other countries where we intend to test and market our product candidates. Before obtaining regulatory approvals for the commercial sale of any of our other product candidates, we must demonstrate through lengthy, complex, and expensive preclinical testing and clinical trials that our product candidates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or their contribution of effect may not be sufficient to obtain regulatory approval unless we can also show an adequate duration of response. The clinical trials for our product candidates under development and ANKTIVA in new, non-FDA-approved indications, may not be completed on schedule, and regulatory authorities may ultimately disagree with our chosen endpoints or may find that our studies or study results do not support product approval. The FDA or foreign regulatory authorities may not interpret the results as we do or accept the therapeutic effects as valid endpoints in clinical trials necessary for market approval, or they may find that our clinical trial design or conduct does not meet the applicable approval requirement, and more trials could be required before we submit our product candidates for approval. Success in early clinical trials does not ensure that large-scale clinical trials will be successful, nor does it predict final results. Product candidates in later stages of clinical trials may fail to show the desired safety, tolerability, and efficacy traits despite having progressed through preclinical studies and initial clinical trials and after reviewing test results, we or our collaborators may abandon projects that we might previously have believed to be promising.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ongoing shortage of TICE BCG in the U.S. may adversely impact market uptake of our approved product, ANKTIVA, and it may also delay our ability to execute our clinical trials or seek new approvals.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There is an ongoing shortage of TICE BCG in the U.S., which has provided a market headwind in our ongoing commercial launch activities and may further adversely impact market uptake and the total addressable market of our approved product. The TICE BCG shortage may impact the number of patients who are treated with BCG for NMIBC CIS with or without papillary tumors, therefore limiting the pool of BCG-unresponsive patients who may be candidates for our approved product through both the use of chemotherapy in the first-line setting and also reducing the number of patients who may have been treated with an adequate amount of BCG to be considered BCG unresponsive. In addition, the TICE BCG shortage may also constrain the number of patients we can treat with our approved product since our product is administered along with BCG. In addition, ANKTIVA was awarded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designation by the FDA for the treatment of BCG-naïve NMIBC CIS. We are currently enrolling patients in our Phase 2B blinded, randomized, two-cohort, open-label, multi-center trial of intravesical BCG with ANKTIVA versus BCG alone, in BCG-naïve patients with high-grade NMIBC CIS (Cohort A) and NMIBC with papillary tumors (Cohort B), which is impacted by the availability of TICE BCG. If we do not complete new trials in a timely manner, our ability to generate clinical safety and effectiveness data sufficient to support submission of a marketing application or commercialization of our product candidates in new indications could harm our business, operating results, prospects or financial condition. In addition, our efforts to introduce an alternative source of BCG in connection with our collaboration with Serum Institute (including an EAP approved by the FDA) and ultimately obtain regulatory approval for such alternative BCG supply may not be successful in mitigating the TICE BCG shortage,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choose to expend our limited resources on programs that do not yield successful product candidates or additional indications and may fail to capitalize on other indications and product candidates that may ultimately have been more profitable or had a greater likelihood of success.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strategic decisions as to which product candidates and indications to pursue and how much of our resources to allocate to each. Our management must also evaluate the benefits of developing in</w:t>
        <w:noBreakHyphen/>
        <w:t>licensed or jointly owned technologies, which in some circumstances we may be contractually obligated to pursue, relative to 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projections regarding the market opportunities for our approved product and our other product candidates may not be accurate, and the actual market for our approved product and other product candidates, may be smaller than we estimate.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approved product, current product candidates, and any future product candidates represent novel approaches to treating various conditions, it may be difficult to accurately estimate the potential revenues from our approved product and these other product candidates. Accordingly, we may spend significant capital trying to successfully commercialize our approved product or obtain approval for our other product candidates that have an uncertain commercial market. Our projections of addressable patient populations that may benefit from treatment with our approved product or other product candidates are based on our beliefs and estimates of the therapeutic benefit and adverse event profile of our approved product and other product candidates. These estimates, which have been derived from a variety of sources, including scientific literature, preclinical and clinical studies, surveys of clinics, patient foundations, or market research by third parties, may prove to be incorrect. Further, new studies or approvals of new therapeutics may change the estimated incidence or prevalence of these diseases. The number of patients may turn out to be lower than expected. Additionally, the potentially addressable patient population for our approved product or other product candidates may be limited or may not be amenable to treatment with our approved product or other product candidates and may also be limited by the cost of our treatments and the reimbursement of those treatment costs by third-party payors. Even if we obtain significant market share for our approved product or other product candidates, because the potential target populations may be small, we may never achieve profitability without obtaining regulatory approval for additional indications.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There can be no assurance that we will complete strategic partnerships on acceptable terms, or at 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execute and explore international strategic partnerships for the commercialization of ANKTIVA for certain indications, including new commercial partnerships with Accord Healthcare in the EU, and Cigalah Healthcare and Biopharma in the Middle East. Factors that may impact our ability, or decision, to enter into such strategic partnerships, include, without limitation, the put/call features of the RIPA that may be triggered by entry into strategic partnerships depending on their scope and terms, and ultimately there can be no assurance that we will complete transactions on acceptable terms, or at all. If we do not execute strategic partnerships in the near-term, it could eliminate or delay a potential source of near-term revenue or funding, and may impact our ability to raise additional funds to meet our business needs. In addition, there are significant risks involved with building and managing a commercial infrastructure on a stand-alone basis, which could materialize in the event we do not execute strategic partnerships, or depending on the geographic scope of any partnership.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publicly disclose preliminary, interim,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or as inclusion and exclusion criteria is discussed with regulators. We also may make assumptions, estimations, calculations, and conclusions as part of our analyses of data, and we may not have received or had the opportunity to evaluate all data fully and carefully. As a result, the interim, top-line, or preliminary results that we report may differ from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are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information we choose to publicly disclose regarding a particular study or clinical trial is typically selected from a more extensive amount of available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clinical trials may not be initiated or completed when we expect, or at all, may take longer and cost more to complete than we project, and may have higher costs than more conventional therapeutic technologies or drug products. We may be required to conduct additional clinical trials or modify current or future clinical trials based on feedback we receive from the FDA.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any current or future clinical trials will be conducted as planned or completed on schedule, if at all, or that any of our other product candidates will receive regulatory approval. A failure of one or more clinical trials can occur at any stage of the clinical trial process, other events may cause us to stop a clinical trial temporarily or permanently, and our future clinical trials may not be successful.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current product candidates include, and we expect our future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clinical trial sites outside of the U.S. may not reimburse for costs typically covered by third-party payors in the U.S. As a result, we may be required by those trial sites to pay such costs. Accordingly, our clinical trial costs are likely to be significantly higher per patient than those of more conventional therapeutic technologies or drug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Collaborations with other entities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approval and will increase our future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inability to successfully complete preclinical and clinical development could result in additional costs to us, slow down our product development and approval process, or impair our ability to commence product sales and generate revenues. In addition, if we make manufacturing changes to our approved product or other product candidates, we may be required to, or we may elect to, conduct additional trials to bridge our modified approved product or other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 development and manufacturing work, additional clinical and preclinical studies, or that results in an RTF letter or non-approval of a BLA and/or NDA.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 delays could shorten any period during which our product candidates have patent protection and may allow our competitors to bring products to market before we do, which could impair our ability to successfully commercialize our product candidates and may harm our business and results of operations. In addition, we have in the past experienced clinical holds imposed upon certain of our or investigator-led clinical trials for various reasons, and we may experience further clinical trial holds in the future. If we fail to commence or complete, or experience delays in, any of our planned clinical trials, our stock price and our ability to conduct our business as currently planned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required by the FDA or any equivalent foreign regulatory authority to perform clinical trials or studies in addition to those we currently expect to conduct, or if there are any delays in completing the clinical trials of our other product candidates, our expenses could increase substantially.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result of the FDA approval of ANKTIVA with BCG for the treatment of adult patients with BCG-unresponsive NMIBC CIS with or without papillary tumors, we are required to comply with certain post-marketing commitments, including completion of our QUILT-3.032 clinical trial and annual reporting for up to four years, with a final report submission to the FDA by the end of 2029.</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more of our product candidates are approved and commercialized, we may not become profitable.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approved for marketing by applicable regulatory authorities, our ability to generate revenues from our other product candidates will depend on our ability to: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price our other product candidates competitively such that third-party and government reimbursement leads to broad product adoption;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prepare a broad network of clinical sites for administration of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create market demand for our other product candidates through our own or our partner’s marketing and sales activities, and any other arrangements to promote these product candidates that we may otherwise establish;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receive regulatory approval for the targeted patient population(s) and claims that are necessary or desirable for successful marketing;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manufacture our other product candidates through third-party CMOs or in our own manufacturing facilities or facilities owned by entities affiliated with Dr. Soon-Shiong in sufficient quantities and at acceptable quality and manufacturing cost to meet regulatory requirements and commercial demand at launch and thereafter;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establish and maintain agreements with wholesalers, distributors, pharmacies, and group purchasing organizations on commercially reasonable terms;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obtain, maintain, protect, and enforce patent and other intellectual property protection and regulatory exclusivity for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successfully commercialize any of our other product candidates that receive regulatory approval;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maintain compliance with applicable laws, regulations, and guidance specific to commercialization including interactions with health care professionals, patient advocacy groups, and communication of health care economic information to payors and formularies;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achieve market acceptance of our other product candidates by patients, the medical community, and third-party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achieve appropriate reimbursement for our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maintain a distribution and logistics network capable of product storage within our specifications and regulatory guidelines, and further capable of timely product delivery to commercial clinical sites;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effectively compete with other therapies or competitors;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following launch, ensure that our approved product will be used as directed and that additional unexpected safety risks will not arise.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 provide no assurance with respect to the profitability or the market share that we might achieve for our product candidates, if approved. The target patient population for which we obtain approval may be narrower than we expect. Additionally, we may not be able to obtain the labeling claims necessary or desirable for the promotion of our approved product. Further, supply chain issues or shortages associated with combination products that may be used with our approved product, such as ANKTIVA plus BCG, may limit the demand for our approved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We are also party to agreements that may require substantial payments upon the occurrence of certain milestones. As an example, in connection with our 2017 acquisition of Altor, we issued CVRs under which we agreed to pay the prior stockholders of Altor approximately $304.0 million of contingent consideration upon calendar-year worldwide net sales of ANKTIVA exceed</w:t>
      </w:r>
      <w:r>
        <w:rPr>
          <w:rFonts w:ascii="Times New Roman;serif" w:hAnsi="Times New Roman;serif"/>
          <w:b w:val="false"/>
          <w:color w:val="000000"/>
          <w:sz w:val="20"/>
          <w:shd w:fill="FFFFFF" w:val="clear"/>
        </w:rPr>
        <w:t xml:space="preserve">ing </w:t>
      </w:r>
      <w:r>
        <w:rPr>
          <w:rFonts w:ascii="Times New Roman;serif" w:hAnsi="Times New Roman;serif"/>
          <w:b w:val="false"/>
          <w:color w:val="000000"/>
          <w:sz w:val="20"/>
        </w:rPr>
        <w:t>$1.0 billion prior to December 31, 2026 with amounts payable in cash or shares of our common stock or a combination thereof. As of December 31, 2025, 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If this were to occur, we may need to seek additional sources of capital and any such financing activities may be restricted by the covenants included in the terms of the RIPA. As such, we may face difficulties raising additional capital and may have to accept unfavorable terms and as a result, we may not be able to achieve profitability or positive cash flow.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financing in December 2023, we entered into the RIPA with Infinity and Oberland. Oberland has the right to receive quarterly Revenue Interest Payments from us based on, among other things, our worldwide net sales, excluding those in China, which are tiered payments ranging from 4.50% to 10.00%, subject to increase or decrease, following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payment True-Up Payment as described above. In addition to other considerations of the RIPA and the associated impact to our profitability and cash flow, if we were required to make a True-Up Payment, we may need to seek additional sources of capital, and we may not be able to achieve profitability or positive cash flow.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encounter delays or difficulties enrolling and/or maintaining patients in our clinical trials, our clinical development activities, and receipt of necessary marketing approvals could be delayed or otherwise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timely completion of clinical trials in accordance with their protocols depends, among other things, on our ability to enroll a sufficient number of patients who remain in the trial until its conclusion. At times we work with CROs, and our internal teams or CROs may experience difficulties or delays in patient enrollment and retention in our clinical trials for a variety of reasons.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In addition, in the past we have engaged, and we intend to continue to engage, in clinical trial efforts outside of the U.S., which gives rise to additional potential complexity and challenges, and further reliance upon third parties in foreign jurisdictions. Moreover, because our product candidates represent a departure from more commonly used methods for cancer and/or viral disease treatment, potential patients and their doctors may be inclined to use conventional therapies, such as chemotherapy and approved immunotherapies that have established safety and efficacy profiles, rather than enroll patients in any future clinical trial.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Delays or failures in planned patient enrollment or retention may result in increased costs or may affect the timing or outcome of the planned clinical trials, which could prevent completion of these trials and adversely affect our ability to advance the development of our product candidates or could render further development impossible.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approved product and other product candidates may cause undesirable side effects, adverse events, or have other properties or safety risks that could halt their clinical development, delay or prevent their regulatory approval, result in regulatory warning letters, product recalls, regulatory and manufacturing holds, or limit their commercial potential or result in other significant negative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Results of our trials could reveal a high and unacceptable severity and prevalence of side effects, adverse events or unexpected characteristics. Combination immunotherapy that includes our current product candidates may be associated with more frequent adverse events or additional adverse events. Undesirable side effects or unacceptable toxicities caused by our other product candidates could cause us or regulatory authorities to interrupt, delay or halt clinical trials or order our clinical trials to be placed on clinical hold, and could result in a more restrictive label or the delay or denial of regulatory approval by the FDA or other regulatory authorities for any or all targeted indications. The FDA or comparable foreign regulatory authorities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require additional data, clinical trials,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 In addition, these serious adverse effects may not be appropriately recognized or managed by the treating medical staff, as toxicities resulting from our other product candidates are not normally encountered in the general patient population and by medical personnel.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Any of these occurrences may materially harm our business,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manufacture of our approved product and other product candidates is complex, and we may encounter difficulties in production, particularly with respect to process development, quality control, cGMP compliance, or scaling-up of our manufacturing capabilities. If we or our related parties, or any of our third-party manufacturers, encounter such difficulties, our ability to gain approval, or to provide adequate supply of our product candidates for clinical trials or our products for patients, if approved, could be delayed or stopped, or we may be unable to maintain a commercially viable cost structure.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manufacture of our approved product and other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The manufacture of fusion proteins, DNA and vaccine vectors, and cell therapy products require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or other product candidates and quality assurance testing, shortages of qualified personnel, and compliance with strictly enforced federal, state, local, and foreign regulations. We may also find that the manufacture of our approved product or other product candidates is more difficult than anticipated, resulting in an inability to produce a sufficient amount of our other product candidates for our clinical trials or, if approved, commercial supply. Even minor deviations from normal manufacturing processes could result in reduced production yields, product defects, and other supply disruptions. Our approved product and other product candidates are manufactured using processes developed or modified by us, our affiliates, or by our third-party collaborators that we may not utilize for more advanced clinical trials or commercialization.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Currently we manufacture our approved product and other product candidates in our own manufacturing facilities, facilities owned by entities affiliated with Dr. Soon-Shiong and/or through third-party CMOs. Our clinical trials will need to be conducted with product candidates and materials that were produced under cGMP and/or GTP regulations, which are enforced by regulatory authorities. Our approved product and other product candidates may compete with other products and product candidates for access to manufacturing facilities. Moreover, because of the complexity and novelty of our manufacturing process, there are only a limited number of manufacturers that operate under cGMP regulations and that are both capable of manufacturing our approved product and other product candidates for us and willing to do so. If our third-party CMOs cease manufacturing for us, we would experience delays in obtaining sufficient quantities of our approved product for commercial supply and other product candidates for clinical trials and, if approved, commercial supply of such future products. Further, our third-party CMOs may breach, terminate, or not renew our agreements with them. If we were to need to find alternative manufacturing facilities or transfer between existing facilities it may take us significant time to find a replacement, if we are able to find a replacement at all and it would significantly impact our ability to develop, obtain regulatory approval for or market our approved product and/or other product candidates, if approved. The commercial terms of any new arrangement could be less favorable than our existing arrangements and the expenses relating to the transfer of necessary technology and processes could be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8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suppliers and third-party CMOs must maintain compliance with cGMP requirements and other applicable regulatory requirements. Any failure to comply with these regulations may require us to cease sales of our approved product or repeat clinical trials, which would delay the regulatory review process of our other product candidates. We may not be able to demonstrate sufficient comparability between products manufactured in different runs at the same or at different facilities to allow for inclusion of the clinical results from patients treated with products from these different runs, in our product registrations or to ensure a cGMP process to qualify our other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required to register certain clinical trials and post the results of certain completed clinical trials on a government-sponsored database, ClinicalTrials.gov, within specified timeframes. Failure to do so could result in enforcement actions and adverse publicity.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Reliance on third-party manufacturers entails exposure to risks to which we would not be subject if we manufactured the product candidate ourselves,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inability to negotiate manufacturing and quality agreements with third parties under commercially reasonable terms;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reduced day-to-day control over the manufacturing process for our other product candidates as a result of using third-party manufacturers for all aspects of manufacturing activities;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reduced control over the protection of our trade secrets, know-how, and other proprietary information from misappropriation or inadvertent disclosure or from being used in such a way as to expose us to potential litigation;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termination or non-renewal of manufacturing agreements with third parties in a manner or at a time that may be costly or damaging to us or result in delays in the development or commercialization of our approved product or other product candidates;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disruptions to the operations of our third-party manufacturers or suppliers caused by conditions unrelated to our business or operations, including the bankruptcy or personnel turnover at the manufacturer or supplier.</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any problems or delays we or our third-party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third-party CMOs fail to deliver the required commercial quantities of our product candidates on a timely basis and at reasonable costs, we would likely be unable to meet demand for our products and we would lose potential revenues. We may ultimately be unable to reduce the cost of goods for our other product candidates to levels that will allow for an attractive return on investment if and when those product candidates are commercialized.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manufacturing process and facilities for our approved product and any other products that we may develop are subject to FDA and foreign regulatory authority approval processes, and we or our third-party CMOs will need to meet all applicable FDA and foreign regulatory authority requirements, including cGMP, on an ongoing basis.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BLAs and NDAs, to the FDA. Manufacturers are also subject to continuing FDA and other regulatory authority inspections following marketing approval. Further, we and our third-party CMOs must supply all necessary Chemistry, Manufacturing and Controls documentation in support of a BLA or NDA on a timely basis. Our or our third-party CMOs’ manufacturing facilities may be unable to comply with our specifications, cGMP, and with other FDA, state, and foreign regulatory requirements, and there is no guarantee that we or our third-party CMOs will be able to successfully pass all aspects of a pre-approval or continued inspection by the FDA or other foreign regulatory authorities. For example,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 The CRL we received in response to our initial BLA submission required us to resubmit the BLA to the FDA addressing the issues in the CRL, resulting in additional expense and delay. In April 2024, the FDA approved ANKTIVA with BCG for the treatment of adult patients with BCG-unresponsive NMIBC CIS with or without papillary tumors.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Poor control of production processes can lead to the introduction of adventitious agents or other contaminants, or to inadvertent changes in the properties or stability of our product or other product candidates that may not be detectable in final product testing. If microbial, viral, environmental, or other contaminants are discovered in our product or other product candidates or in the manufacturing facilities in which our product or other product candidates are made, such manufacturing facilities may need to be closed for an extended period of time to investigate and remedy the contamination which could delay commercial sales and clinical trials and adversely harm our business. If we or our third-party CMOs are unable to reliably produce products to specifications acceptable to the FDA or other regulatory authorities, or in accordance with the strict regulatory requirements, we may not obtain or maintain the initial or continued approvals we need to commercialize such products. There is no assurance that either we or our third-party CMOs will be able to manufacture our approved product or any subsequently approved product candidate to specifications acceptable to the FDA or other regulatory authorities, to produce our product or other product candidates in sufficient quantities to meet the requirements for the launch of such products, or to meet potential future demand.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or other product candidates to perform differently and affect our commercial sales or the results of planned clinical trials or other future clinical trials conducted with the altered materials. This could cause commercial sales to cease, delay completion of clinical trials, require the conduct of bridging clinical trials or the repetition of one or more clinical trials, increase clinical trial costs, delay approval of our product candidates, and jeopardize our ability to commercialize our other product candidates, if approved, and generate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use third-party CMOs, we are ultimately responsible for the manufacture of our products, once approved, and our other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federal civil FCA, corporate integrity agreements, consent decrees, or withdrawal of product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challenges could cause us to cease commercial sales, delay completion of clinical trials, require bridging clinical trials or the repetition of one or more clinical trials, increase clinical trial costs, delay approval of our product candidate, impair commercialization efforts, increase our cost of goods, and have a material adverse effect on our business, financial condition, results of operations and growth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managing the build-out of our manufacturing facilities and associated costs or satisfying manufacturing-related regulatory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facility leases for our planned manufacturing operations and related activities under which we are responsible for the build-out of the facility space and associated costs. The build-out of these facilities and related equipment purchases are complex and specialized and will involve substantial capital expenditures, and it could take longer, and cost more, than currently expected. Significant delays and/or cost overruns would result in higher expenditures and could be disruptive to operations, any of which could have an impact on our operations and financial condition. For example, we have a leasehold interest in the Dunkirk Facility as described below. We will need to plan and fund the additional build-out of, and purchase additional equipment for, the Dunkirk Facility in connection with our plan for full manufacturing operations. In addition, it is possible that, once built, the leased facilities may prove to be less conducive to our operations than is currently anticipated, resulting in operational inefficiencies or similar difficulties that could prove difficult or impossible to remediate and result in an adverse impact on our financial condition or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may not successfully realize the anticipated benefits from the capital expenditures at such facilities based on factors such as delays and uncertainties regarding development, regulatory approval, and commercialization of our product candidates, as well as the potential to lose access to the leased facilities.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in the future if we transition from our current third-party CMOs to our own manufacturing facilities, or to alternative third-party CMOs, for one or more of our products or other product candidates, including our approved product, we will need to conduct additional preclinical, analytical and/or clinical testing and obtain FDA approval before such manufacturing changes are implemented. If we are unsuccessful in demonstrating the comparability of supplies before and after a manufacturing change, such manufacturing change can result in a delay or disruption in our clinical development plan or our ability to commercialize any approved product. Any production shortfall that impairs the supply of our product or other product candidates could negatively impact our ability to sell our approved product, complete clinical trials, obtain regulatory approval, and commercialize our other product candidates. A product shortfall could have a material adverse effect on our business, financial condition and results of operations and adversely affect our ability to satisfy demand for our product or other product candidates, which could materially and adversely affect our revenue and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planned operations, including our development, testing, and future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may have a toxic effect on reproduction, laboratory procedures and exposure to blood-borne pathogens. If we fail to comply with such laws and regulations, we could be subject to fines or other sanctions. Failure to successfully complete our build-outs and successfully operate our planned manufacturing facilities and satisfy manufacturing-related regulatory requirements could adversely affect the commercial viability of our product candidates and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approved product and any future products,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depend on a small number of suppliers for some of the materials used in, and processes required to develop, our approved product and other product candidates. For some of these reagents, equipment, and materials used in the manufacture of our approved product and other product candidates, we rely and we may in the future rely on sole source vendors or a limited number of vendors. Some of these suppliers may not have the capacity to support commercial scale or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 An inability to continue to source product from any of these suppliers could adversely affect our ability to satisfy demand for our approved product and other product candidates, which could adversely and materially affect our product sales and operating results or our ability to conduct clinical trials, either of which could significantly harm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supplier with whom we contract fails to perform its obligations, we may be forced to enter into an agreement with a different supplier, which we may not be able to do on reasonable terms, if at all. In such scenario, our product could be delayed significantly as we establish alternative supply sources. In some cases, the technical skills required to manufacture our product or product candidates may be unique or proprietary to the original supplier and we may have difficulty, or there may be contractual restrictions prohibiting us from, transferring such skills to a back-up or alternate supplier, or we may be unable to transfer such skills at all. In addition, if we are required to change suppliers for any reason, we will be required to verify that the new supplier maintains facilities and procedures that comply with quality standards and with all applicable regulations. We will also need to verify that any new manufacturing process will produce our product according to the specifications previously submitted to the FDA or another regulatory authority. This process or re-qualification could take considerable time or resources, and any delay in the availability of product could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we seek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comparability studies and to collect additional data from patients prior to undertaking more advanced clinical trials.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our approved product and other product candidates represent, and our other potential product candidates will represent, novel approaches to the treatment of disease, there are many uncertainties regarding the development, market acceptance, public opinion, third-party reimbursement coverage, and the commercial potential of our approved product and other product candidates, which may impact public perception of us and our approved product and other product candidates and which may adversely affect our ability to conduct our business and implement our business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Human immunotherapy products are a new category of therapeutics. We use relatively novel technologies involving ANKTIVA, hAd5 constructs, and cell-based therapies, and our NK cell platform utilizes a relatively novel technology involving the genetic modification of human cells and utilization of those modified cells in other individuals. Because this is a relatively new and expanding area of novel therapeutic interventions, there are many uncertainties related to development, marketing, reimbursement, and the commercial potential for our approved product and other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Adverse public attitudes may adversely impact our ability to enroll patients in clinical trials. The FDA may take longer than usual to come to a decision on any BLA and/or NDA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other product candidates is obtained. Finally, after increased usage, we may find that our product or other product candidates do not have the intended effect, do not work with other combination therapies or have unanticipated side effects, potentially jeopardizing initial or continuing regulatory approval and commercial prospects. More restrictive government regulations or negative public opinion could have an adverse effect on our business or financial condition and may delay or impair the commercialization of our approved product and development and commercialization of our product candidates or demand for our product 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assurance that the approaches offered by our approved product or other product candidates will gain broad acceptance among doctors or patients or that governmental agencies or third-party medical insurers will be willing to provide reimbursement coverage for our proposed product candidates.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our other product candidates, and could cause a decrease in the demand for our approved product and any other products we may develop. Moreover, our success will depend upon physicians specializing in the treatment of those diseases that our product or other product candidates target prescribing, and their patients being willing to receive treatments that involve the use of our product or other product candidates in lieu of, or in addition to, existing treatments they are already familiar with and for which greater clinical data may be available. The market for any products that we successfully develop will also depend on the cost of the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 or potential products, we will not become profitable, which would materially and adversely affect the value of our common stock. ANKTIVA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our approved product or other product candidates.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face an inherent risk of product liability as a result of the commercialization of our approved product and clinical development, testing and manufacturing of our other product candidates. For example, we may be sued if our approved product or other product candidates cause or are perceived to cause injury or are found to be otherwise unsuitable during clinical testing, manufacturing, marketing or sale. Any such product liability claim may include allegations of defects in manufacturing, defects in design, a failure to warn of dangers inherent in the product, negligence, strict liability, or a breach of warranties. Claims could also be asserted under state consumer protection acts. Large judgments have been awarded in class action lawsuits based on therapeutics that had unanticipated side effects. If we cannot successfully defend ourselves against product liability claims, we may incur substantial liabilities or be required to limit commercialization of our approved product or other product candidates. Even successful defense would require significant financial and management resources. Regardless of the merits or eventual outcome, liability claims may result in </w:t>
      </w:r>
      <w:r>
        <w:rPr>
          <w:rFonts w:ascii="Times New Roman;serif" w:hAnsi="Times New Roman;serif"/>
          <w:b w:val="false"/>
          <w:color w:val="000000"/>
          <w:sz w:val="20"/>
          <w:shd w:fill="FFFFFF" w:val="clear"/>
        </w:rPr>
        <w:t>a regulatory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decreased demand for our products, injury to our reputation, costs to defend the related litigation, a diversion of management’s time and our resources, substantial monetary awards to trial participants or patients and a decline in our stock price.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inability to obtain sufficient product liability insurance at an acceptable cost to protect against potential product liability claims could prevent or inhibit the commercialization of our approved product or other products we may develop, alone or with corporate collaborators. Our insurance policies may also have various exclusions, and we may be subject to product liability claims for which we have no coverage. While we have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face significant competition from other biotechnology and pharmaceutical companies and from non-profit institutions.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Competition in the field of cancer and infectious disease therapy is intense and is accentuated by the rapid pace of technological development. We compete with a variety of multi-national biopharmaceutical companies and specialized biotechnology companies, as well as technology being developed at universities and other research institutions. These competitors have developed, may develop, and are developing product candidates and processes competitive with our approved product or other product candidates. Research and discoveries by others may result in breakthroughs which may render our approved product or other product candidates obsolete even before they generate any revenues. We believe that a significant number of products are currently under development, and may become commercially available in the future, for the treatment of conditions for which our product treats or for which we are developing product candidates. Many of our competitors have several therapeutic products that have already been developed, approved and successfully commercialized, or are in the process of obtaining regulatory approval for their therapeutic products in the U.S. and internationally. Many of our competitors, either alone or with their strategic partners, have substantially greater financial, technical, and human resources than we do, as well as significantly greater experience in the discovery and development of product candidates, obtaining FDA and other regulatory approvals of treatments and commercializing those treatments. Accordingly, our competitors may be more successful in obtaining approval of treatments and achieving widespread market acceptance, rendering our treatments obsolete or non-competitive, possibly even before we are able to enter the market. Accelerated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availability and price of our competitors’ products could limit the demand and the price we are able to charge for our approved product or any of our other product candidates, if approved. The level of generic competition and the availability of reimbursement from government and other third-party payors will also significantly affect the pricing and competitiveness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implement our business plan if the acceptance of our approved product or other product candidates is inhibited by price competition or the reluctance of physicians to switch from other methods of treatment to our approved product, or if physicians switch to other new therapies, drugs or biologic products or choose to reserve our products for use in limited circumstances. We may be adversely impacted if any of these competitors gain market share as a result of new technologies, commercialization strategies or otherwise.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seek orphan drug status or Breakthrough Therapy, Fast Track or RMAT designations or other designation from the FDA or comparable non-U.S. regulatory authorities for one or more of our product candidates, but even if any such designation or status is granted, it may not lead to a faster development process or regulatory review and may not increase the likelihood that our product candidates will receive marketing approval, and we may be subject to significant costs including those associated with EAPs, and be unable to maintain any benefits associated with such designations or status, including market exclusivity.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have been awarded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RMAT designations, and may seek in the future such designations for current or future product candidates. Receipt of a designation to facilitate product candidate development is within the discretion of the FDA. Accordingly, even if we believe one of our product candidates meets the criteria for a designation, the FDA may disagree. If we are unable to obtain such approval, we may be required to conduct additional preclinical studies or clinical trials beyond those that we contemplate, which could increase the expense of obtaining, and delay the receipt of, necessary marketing approvals. In any event, the receipt of such a designation for our product candidates may not result in a faster development process, review, or approval compared to product candidates considered for approval under conventional FDA procedures and does not ensure ultimate marketing approval by the FDA. In addition, the FDA may later decide that the product candidates no longer meet the designation conditions. See Item 1. “</w:t>
      </w:r>
      <w:r>
        <w:rPr>
          <w:rFonts w:ascii="Times New Roman;serif" w:hAnsi="Times New Roman;serif"/>
          <w:b w:val="false"/>
          <w:i/>
          <w:color w:val="000000"/>
          <w:sz w:val="20"/>
        </w:rPr>
        <w:t>Business—Government Regulation—</w:t>
      </w:r>
      <w:hyperlink w:anchor="i10cf47cc6d3f45ffaef95cc272f0e9b4_84782">
        <w:r>
          <w:rPr>
            <w:rStyle w:val="InternetLink"/>
            <w:rFonts w:ascii="Times New Roman;serif" w:hAnsi="Times New Roman;serif"/>
            <w:b w:val="false"/>
            <w:i/>
            <w:color w:val="0000FF"/>
            <w:sz w:val="20"/>
            <w:u w:val="single"/>
          </w:rPr>
          <w:t>BLA/NDA Submission and Review by the FDA</w:t>
        </w:r>
      </w:hyperlink>
      <w:r>
        <w:rPr>
          <w:color w:val="000000"/>
        </w:rPr>
        <w:t xml:space="preserve">” </w:t>
      </w:r>
      <w:r>
        <w:rPr>
          <w:rFonts w:ascii="Times New Roman;serif" w:hAnsi="Times New Roman;serif"/>
          <w:b w:val="false"/>
          <w:color w:val="000000"/>
          <w:sz w:val="20"/>
        </w:rPr>
        <w:t xml:space="preserve">for additional information regarding these designations.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Accelerated approval, if granted,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the FDA has increased authority to withdraw approval of a drug granted accelerated approval on an expedited basis if the sponsor fails to conduct such studies in a timely manner, or send the necessary updates to the FDA, or if such post-approval studies fail to verify the drug’s predicted clinical benefit. Prior to seeking accelerated approval, we will seek feedback from the FDA or comparable non-U.S. regulatory authorities and will otherwise evaluate our ability to seek and receive such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comparable non-U.S.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non-U.S. regulatory authorities could also require us to provide expensive investigational drug at non-commercial pricing or at no cost as part of a designation-associated required EAP. The FDA or other comparable non-U.S.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Moreover, even if we are able to obtain accelerated approval for any of our product candidates, there is no guarantee that post-approval studies will be able to confirm the clinical benefit, which could cause the FDA to withdraw our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Orphan Drug Act, the FDA may grant orphan designation to a drug or biologic intended to treat a rare disease or condition or for which there is no reasonable expectation that the cost of developing and making available the drug or biologic will be recovered from sales in the U.S. 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drug or biologic for the same indication for seven years, except in limited circumstances. We may seek orphan drug status for one or more of our product candidates, but exclusive marketing rights in the U.S. may be lost if we seek approval for an indication broader than the orphan designated indication and may be lost if the FDA later determines that the request for designation was materially defective or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 xml:space="preserve">we are unable to assure sufficient quantities of the product to meet the needs of patients with the rare disease or condition. In response to </w:t>
      </w:r>
      <w:r>
        <w:rPr>
          <w:rFonts w:ascii="Times New Roman;serif" w:hAnsi="Times New Roman;serif"/>
          <w:b w:val="false"/>
          <w:i/>
          <w:color w:val="000000"/>
          <w:sz w:val="20"/>
        </w:rPr>
        <w:t>Catalyst Pharms., Inc. v. Becerra</w:t>
      </w:r>
      <w:r>
        <w:rPr>
          <w:rFonts w:ascii="Times New Roman;serif" w:hAnsi="Times New Roman;serif"/>
          <w:b w:val="false"/>
          <w:color w:val="000000"/>
          <w:sz w:val="20"/>
        </w:rPr>
        <w:t xml:space="preserve">, 14 F.4th 1299 (11th Cir. 2021), the FDA clarified in a January 2023 notice that it intends to continue to apply its longstanding interpretation of the regulations to matters outside of the scope of the </w:t>
      </w:r>
      <w:r>
        <w:rPr>
          <w:rFonts w:ascii="Times New Roman;serif" w:hAnsi="Times New Roman;serif"/>
          <w:b w:val="false"/>
          <w:i/>
          <w:color w:val="000000"/>
          <w:sz w:val="20"/>
        </w:rPr>
        <w:t xml:space="preserve">Catalyst </w:t>
      </w:r>
      <w:r>
        <w:rPr>
          <w:rFonts w:ascii="Times New Roman;serif" w:hAnsi="Times New Roman;serif"/>
          <w:b w:val="false"/>
          <w:color w:val="000000"/>
          <w:sz w:val="20"/>
        </w:rPr>
        <w:t>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condition of biologic licensing, the FDA is authorized to require that sponsors of approved BLAs implement various post-market requirements, including REMS and Phase 4 trials. In connection with the regulatory approval of ANKTIVA with BCG for the treatment of adult patients with BCG-unresponsive NMIBC CIS with or without papillary tumors, we are required to comply with certain post-marketing commitments, including completion of our QUILT-3.032 clinical trial and annual reporting for up to four years, with a final report submission to the FDA by the end of 2029. If we receive approval of our other product candidates, the FDA may determine that similar or additional or more burdensome post-approval requirements are necessary to ensure that our product candidates are safe, pure and potent. For example, in connection with FDA approval of another company’s drug, the FDA required significant post-marketing commitments, including a Phase 4 trial, revalidation of a test method, and a substantial REMS program that included, among other requirements, the certification of hospitals and their associated clinics that dispensed the drug, including the implementation of a training program and limited distribution only to certified hospitals and their associated clinics.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never commercialized a product candidate before our approved product, and we may lack the necessary expertise, personnel and resources to successfully commercialize any products on our own or together with suitable collaborators. We may be unable to establish effective marketing and sales capabilities or enter into agreements with third parties or related parties to market and sell our other product candidates, if they are approved, and as a result, we may be unable to generate product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little to no prior experience in the marketing, sale and distribution of biopharmaceutical products. To achieve commercial success for our approved product and other product candidates, which we may license to others, we may rely on the assistance and guidance of those collaborators. In order to commercialize our approved product and our other product candidates for which we retain commercialization rights and marketing approval, if approved, we must continue to build out our marketing, sales and distribution capabilities, including a comprehensive healthcare compliance program, and/or arrange with third parties to perform these services, which will continue to take time and require significant financial expenditures, and could delay any product launch and we may not be successful in doing so. There are significant risks involved with building and managing a commercial infrastructure. We, our collaborators and third-party contractors, have to compete with other pharmaceutical and biotechnology companies to recruit, hire, train, manage and retain medical affairs, marketing, sales and commercial support personnel. Recruiting, training, and retaining a sales force is expensive and time-consuming and could delay any product launch. If the commercial launch of our approved product or any other product candidate for which we or our third-party contractors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In the event we are unable to develop a commercial infrastructure, we may not be able to commercialize our current or future product candidates, which would limit our ability to generate product revenues. Even if we and/or our potential partners and/or third-party contractors are able to effectively establish a sales force and develop a marketing and sales infrastructure, such sales force and marketing teams may not be successful in commercializing our approved product or any other current or future product candidates. To the extent we rely on third parties to commercialize any products for which we obtain regulatory approval, which we are doing to a certain extent in connection with our approved product launch, we may have less control over their sales efforts and could be held liable if they failed to comply with applicable legal or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6"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approved product or any of our other product candidates do not achieve broad market acceptance, the revenues that we generate from their sales will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process of commercializing our approved product. Our approved product and other product candidates, if approved by the appropriate regulatory authorities for marketing and sale, may not gain acceptance among physicians, patients, third-party payors, and others in the medical community. If our approved product or any other product candidate for which we obtain regulatory approval does not gain an adequate level of market acceptance, we may not generate significant product revenues or become profitable. Market acceptance of our approved product or any other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Efforts to educate the medical community and third-party payors on the benefits of our approved product and other product candidates may require significant resources and may not be successful. Even if the medical community accepts that our approved product and other product candidates are safe and effective for their approved indications, physicians and patients may not immediately be receptive to such approved product or other product candidates and may be slow to adopt them as an accepted treatment of the approved indications, including, for example, if third-party payors require high co-payments or if physicians perceive that reimbursement will not be available on a timely basis or at all. If our product or any of our other product candidates is approved but does not achieve an adequate level of market acceptance, we may not generate significant revenues and we may not become profitable. The degree of market acceptance of our approved product or any of our other product candidates will depend on a number of factors,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continued safety and efficacy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prevalence and severity of adverse events associated with such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clinical indications for which the products are approved and the approved claims that we may make for the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limitations or warnings contained in the product’s FDA-approved labeling, including potential limitations or warnings for such products that may be more restrictive than other competitive products or distribution and use restrictions imposed by the FDA with respect to such approved product or other product candidates or to which we agree as part of a mandatory REMS or voluntary risk management plan;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the standard of care for the targeted indications for such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relative difficulty of administration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offer our approved product or other product candidates for sale at competitive prices, including the cost of treatment versus economic and clinical benefit in relation to alternative treatments or therapies;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availability of adequate coverage or reimbursement by third parties, such as insurance companies and other healthcare payors, and by government healthcare programs, including Medicare and Medicaid;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extent and strength of our marketing and distribution of such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safety, efficacy and other potential advantages over, and availability of, alternative treatments already used or that may later be approved for any of our intended indications;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timing of market introduction of our approved product or other product candidates and the availability of combination products like BCG, as well as competitive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extent and strength of our third-party manufacturer and supplier support;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adverse publicity about the product or favorable publicity about competitive products;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potential product liability claims.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approved product or any other product candidate that we commercialize fails to achieve market acceptance, it could have a material and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7"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approved product and our product candidates may face competition sooner than anticipated.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enactment of the BPCIA created an abbreviated approval pathway for biological products that are biosimilar to or interchangeable with an FDA-licensed reference biological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approved product and/or product candidates may qualify for the BPCIA’s 12-year period of exclusivity. 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our approved product or any other product candidates we may develop to be reference products for competing products, potentially creating the opportunity for generic competition sooner than anticipated. Additionally, this period of regulatory exclusivity does not block companies pursuing regulatory approval via their own traditional BLA, rather than via the abbreviated pathway. Even if we receive a period of BPCIA exclusivity for our approved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 candidates in a way that is similar to traditional generic substitution for non-biological products is subject to state pharmacy law.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small molecular product candidates, if qualified, the regulatory exclusivity period is less than for our biologic product candidates. The FD&amp;C Act provides a five-year period of non-patent marketing exclusivity within the U.S. to the first applicant to gain approval of an NDA for a drug where the FDA has not previously approved any other new drug containing the same active molecule or ion responsible for the action of the drug substance. During the exclusivity period, the FDA may not accept for review an abbreviated 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FD&amp;C Act also provides three years of marketing exclusivity for an NDA, 505(b)(2) NDA or supplement to an existing NDA if new clinical investigations, other than bioavailability studies, which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need to obtain FDA approval of any proposed branded product names, and any failure or delay associated with such approval may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name we intend to use for our product candidates in the U.S.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will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8"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bookmarkStart w:id="14" w:name="i3bdb262bfe7a4b1abf2baedb35b201e6_368035"/>
      <w:bookmarkEnd w:id="14"/>
      <w:r>
        <w:rPr>
          <w:rFonts w:ascii="Times New Roman;serif" w:hAnsi="Times New Roman;serif"/>
          <w:b/>
          <w:i/>
          <w:color w:val="000000"/>
          <w:sz w:val="20"/>
        </w:rPr>
        <w:t>Our systems, infrastructure or data, or those used by our CROs, CMOs, clinical sites or other contractors or consultants, may or may be perceived to fail or suffer a cyberattack, security breach or other incident, including a breakdown or compromise of the confidentiality, integrity and availability of our systems, networks or data, which could adversely affect the operation of our business and reputation.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and will be dependent upon information technology systems, infrastructure, and data. In the ordinary course of our business, we will directly or indirectly collect, store, transmit, and otherwise process sensitive and confidential information, including intellectual property, preclinical, and clinical trial data, proprietary business information, and personal information of our clinical trial patients and employees, including in our data centers and on our systems and networks or on those of third parties. The secure maintenance, transmission, and processing of data is critical to our operations. The multitude and complexity of our systems and those of our CROs, CMOs, clinical sites, or other contractors or consultants may subject them to various threats, including interruption, destruction, malicious intrusion, and random attack. Privacy or security breaches or other incidents, including by third parties, employees, contractors or others, may pose a risk that sensitive or confidential information, including our intellectual property, trade secrets or personal information of our employees, patients, or other business partners may be exposed to unauthorized persons or to the public. Further, as many of our employees work remotely, our reliance on our and third-party systems has increased substantially and is expected to continue to increase.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our systems, infrastructure and data, and those of our CROs, CMOs, clinical sites and other contractors and consultants, are subject to risks relating to cyberattacks, security breaches, or other incidents, including through viruses and other malware, employee error, unauthorized access, natural disasters, terrorism, war, fire, telecommunication and electrical failures, denial of service attacks, social engineering (including phishing attacks) and other means. As the cyberthreat landscape evolves, these cyberattacks are increasing in their frequency, sophistication and intensity and are becoming increasingly difficult to detect.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affect service reliability and threaten data confidentiality, integrity and availability. While we and our shared services partner, NantWorks, have invested, and continue to invest, in the protection of our data, systems, and infrastructure, there can be no assurance that our efforts, or the efforts of our partners, vendors, CROs, CMOs, clinical sites and other contractors and consultants, will be successful. Any failure or perceived failure in our systems, infrastructure or data, or to identify or prevent cyberattacks, security breaches or other incidents, including service interruptions could adversely affect our business and operations, result in the loss, unavailability, misuse, unauthorized use or acquisition, or other unauthorized processing of critical or sensitive information, and result in financial, legal, business or reputational harm. In addition, while we maintain cyber-liability insurance, our insurance may not be sufficient in type or amount to cover us against claims related to any such failures, security breaches, cyberattacks or other incidents, and there may be other losses that could potentially result from a service interruption, breach of our systems or loss of our critical or sensitive data not covered by such insurance.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such event were to occur, it could also cause interruptions in our operations, including a disruption of our product development programs. For example, the loss, corruption, or unavailability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Any such event could result in liability, delays in the development and commercialization of product candidates, claims, demands or proceedings initiated by regulatory authorities or private parties, violations of laws, including laws that protect the privacy or security of personal information, significant liabilities, including regulatory penalties, and damage to our reputation and a loss of confidence in us and our ability to conduct clinical trials. In addition, we are adopting and exploring the use of AI in our business, and as an emerging and rapidly evolving technology, our use of AI introduces potential opportunities but also presents risks that could adversely affect our operations, information security and reputation. AI systems may produce inaccurate or flawed outputs due to flawed algorithms, or insufficient and/or erroneous training data. Reliance on flawed outputs could result in lower quality decision-making or prevent us from effectively utilizing AI in our business.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99"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pandemic, epidemic or outbreak of an infectious disease, such as COVID-19, or the perception of its effects, may materially and adversely affect our business, operations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Public health outbreaks, such as epidemics or pandemics may significantly disrupt our business. Such outbreaks pose the risk that we or our employees, contractors, suppliers, and other partners may be prevented from conducting business activities for an indefinite period of time due to the spread of the disease, due to shutdowns that may be requested or mandated by federal, state, and local governmental authorities or certain employers, or due to the economic consequences associated with the pandemic. Business disruptions could include disruptions or restrictions on our ability to travel, as well as temporary closures of our facilities and the facilities of our partners, clinical trial sites, service providers, suppliers, or contract manufacturers. For example, the COVID-19 pandemic caused a temporary disruption in our ability to recruit participants for our clinical trials in the calendar year 2020 and the first quarter of 2021. While it is not possible to predict whether another pandemic, epidemic, or infectious disease outbreak similar to COVID-19 will materialize, any measures taken by governments and local authorities in response to such future health crises have the potential to disrupt and delay the initiation of new clinical trials, the progress of our ongoing clinical trials and our preclinical activities, and potentially the manufacture or shipment of both drug substance and finished drug product of our approved product and our other product candidates for preclinical testing and clinical trials, may adversely impact our business, financial condition, or operating results.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Large-scale clinical trials require significant financial and management resources. We expect to be heavily reliant on third and related parties, including medical institutions, academic institutions, clinical investigators or CROs to conduct, supervise or monitor some or all aspects of our clinical trials, and in some cases, third-party CMOs to manufacture our approved product or other product candidates, which may force us to encounter delays and challenges that are outside of our control. 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Our CROs and other third parties must communicate and coordinate with one another in order for our trials to be successful. We have a limited history of conducting clinical trials and have limited experience as a company in submitting and supporting the applications necessary to gain marketing approvals. Our relative lack of experience conducting clinical trials may contribute to our planned clinical trials not beginning or completing on time, if at all. Securing marketing approval also requires the submission of information about the product manufacturing process to, and inspection of manufacturing facilities and clinical trial sites by, applicable regulatory authorities.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will remain responsible for ensuring that each of our clinical trials is conducted in accordance with the general investigational plan and protocols for the trial and for ensuring that our preclinical studies are conducted in accordance with Good Laboratory Practice guidelines, as appropriate. Moreover, the FDA and comparable foreign regulatory authorities require us and the third parties upon which we intend to rely for conducting our clinical trials to comply with GCP guidelines for conducting, recording, and reporting the results of clinical trials to assure that data and reported results are credible and accurate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0"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guidelines or other regulatory requirements, we or they may be subject to enforcement or other legal actions, the clinical data generated in our clinical trials may be deemed unreliable and have to be repeated, and our submission of marketing applications may be delayed or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guidelines.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to manufacture, package, label, and ship our approved product and some of our other product candidates for the clinical trials that we conduct. Any performance failure on the part of these third parties could delay commercialization of our approved product or other product candidates or the clinical development or marketing approval of our product candidates producing additional losses and depriving us of potential product revenues.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conducting our clinical trials (i) do not successfully carry out their contractual duties, (ii) do not meet expected deadlines, (iii) experience work stoppages, (iv) do not conduct our clinical trials in accordance with regulatory requirements or our stated protocols, (v) need to be replaced, (vi) experience financial hardships, or (vii) terminate their agreements with us or if the quality or accuracy of the data they obtain is compromised due to the failure to adhere to our clinical trial protocols, GCP guidelines, or other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Additionally, we may need to conduct additional clinical trials or enter into new arrangements with alternative CROs, clinical investigators or other third parties, which we may not be able to do on commercially reasonable terms, or at all and which may involve additional cost and time and require management time and focus. As a result, delays could occur, which could compromise our ability to meet our desired development timelines. Furthermore, if any of the third parties conducting our clinical trials experience any financial hardships due to difficulties relating to the operation of their business, it could damage our business, financial condition, results of operations, and prospects. In addition, if an agreement with any of our collaborators terminates, our access to technology and intellectual property licensed to us by that collaborator may be restricted or terminate entirely, which may delay the continued development of our product candidates using the collaborator’s technology or intellectual property or require us to stop development of those product candidates completely.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and we expect to continue to retain third-party service providers to perform a variety of functions related to the sale of our approved product and current or future product candidates, key aspects of which will be out of our direct control. These service providers may provide key services related to sales, market access, distribution, customer service, accounts receivable management, state reporting, compliance support, and cash collection. If we retain a service provider, we will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1"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have contracted with one or more third parties to calculate and report pricing information mandated by various government programs and may enter into further contracts in the future. If a third party fails to timely report or adjust prices as required or makes a mistake in calculating government pricing information from transactional data in our financial records, it could impact our discount and rebate liabilities, and potentially subject us to regulatory sanctions or FCA lawsuits.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reliance on third and related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our proprietary technology. We may also need the cooperation of our collaborators to enforce or defend any intellectual property we contribute to or that arises out of our collaborations, which may not be provided to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anticipate that part of our strategy for pursuing the wide range of indications potentially addressed by ANKTIVA will involve further investigator-led clinical trials. While these trials generally provide us with valuable clinical data that can help form our future development strategy,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from investigator-led clinical trials, regardless of how the clinical trial was designed or conducted, could have a material adverse effect on our business and the perception of our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principal investigators for our clinical trials may serve as scientific advisors or consultants to us from time to time and receive compensation in connection with such services.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commercialize our approved product or any other product candidates,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reliance on third-party manufacturers, wholesalers, and distributors exposes us to the following risks, any of which could delay FDA approval of our product candidates and commercialization of our approved product or any other product candidates, if approved, result in higher costs, or deprive us of potential product revenues: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and may experience shortages of qualified personnel to adequately staff production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wholesalers and distributors could become unable to sell and deliver our approved product or other product candidates for regulatory, compliance, and other reasons;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wholesalers, and distributors could breach or default on their agreements with us to meet our requirements for commercialization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wholesalers, and distributors may not perform as agreed or may not remain in business for the time required to successfully produce, store, sell, and distribute our approved product or other product candidates and we may incur additional costs;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wholesalers, and distributors may misappropriate our proprietary information;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our CMOs, wholesalers, and distributors were to terminate our arrangements or fail to meet their contractual obligations, we may be forced to delay our commercial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885"/>
                <wp:effectExtent l="0" t="0" r="0" b="0"/>
                <wp:wrapNone/>
                <wp:docPr id="102"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third parties reduces our control over our approved product and other product candidate development activities but does not relieve us of our responsibility to ensure compliance with all required legal, regulatory, and industry standards. For example, the FDA and other regulatory authorities require that our approved product, other product candidates and any other products that we may eventually commercialize be manufactured according to cGMP requirements. Any failure by our third-party manufacturers to comply with cGMP or maintain a compliance status acceptable to the FDA or other regulatory authorities or failure to scale up manufacturing processes, including any failure to deliver sufficient quantities of product candidates in a timely manner, could lead to a delay in, or failure to obtain, regulatory approval of any of our product candidates.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CRL that we received in response to our initial BLA submission required us to resubmit the BLA to the FDA addressing the issues in the CRL. In April 2024, the FDA approved ANKTIVA with BCG for the treatment of adult patients with BCG-unresponsive NMIBC CIS with or without papillary tumors. Our third-party manufacturers are subject to periodic inspections by the FDA and other regulatory authorities, and failure to comply with cGMP could be the basis for the FDA to issue a warning or untitled letter, withdraw approvals for our approved product or our other product candidates previously granted to us, or take other regulatory or legal action, including a request to recall or seize our approved product or our other product candidates, total or partial suspension of production, suspension of clinical trials, refusal to approve pending applications or supplemental applications, detention of product, refusal to permit the import or export of other product candidates, injunction, imposing civil penalties or pursuing criminal prosecution.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as we scale up manufacturing of our approved product or other product candidates and conduct required stability testing, we may encounter additional challenges or cGMP issues. These issues may require refinement or resolution in order to proceed with commercial marketing of our approved product or any of our other product candidates, if approved. In addition, quality issues may arise during scale-up and validation of commercial manufacturing processes. Any issues in our manufacturing process could result in increased scrutiny by regulatory authorities, delays in our regulatory review process, increases in our operating expenses, or failure to obtain or maintain approval for our approved product or other product candidates. If such issues relate to an approved product, we may not be able to commercialize the approved product as we planned or fail to meet commercial demand, any of which can materially and adversely affect our position in the market.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Clinic has conducted, is currently conducting, and in the future may conduct clinical trials involving our product candidates. The Clinic is a related party as it is owned by an officer of the company and additionally, NantWorks manages the administrative operations of the Clinic. Prior to June 30, 2019, one of the company’s officers was an investigator or sub</w:t>
        <w:noBreakHyphen/>
        <w:t>investigator for certain of the company’s trials conducted at the Clinic. NantWorks, which is wholly owned by Dr. Soon</w:t>
        <w:noBreakHyphen/>
        <w:t xml:space="preserve">Shiong, our Founder, Executive Chairman and Global Chief Scientific and Medical Officer, provides certain administrative services (and has loaned money) to the Clinic. Under certain circumstances, we may be required to report some of these relationships to the FDA.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Relying on a related-party clinical site to develop data that is used as the basis to support regulatory approval can expose us to significant regulatory risks. The FDA may conclude that a financial relationship between us, the Clinic and/or a principal investigator has created a conflict of interest or otherwise affected interpretation of the study. The FDA or comparable regulatory authorities may therefore question the integrity of the data generated at the applicable clinical trial site and the utility of the clinical trial itself may be jeopardized. If any data integrity, or regulatory non-compliance issues occur during the study, we may not be able to use the data for our regulatory approval. This could result in a delay in approval, or rejection, of our marketing applications by the FDA and may ultimately lead to the denial of regulatory approval of one or more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3"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formed, and may in the future form or seek, strategic alliances, or enter into collaborations with third parties or additional licensing arrangements that we believe will complement or augment our development and commercialization efforts with respect to our approved product, other product candidates and any future product candidates that we may develop. We plan to collaborate with governmental, academic, and corporate partners, including affiliates, to improve and develop ANKTIVA and hAd5 constructs, and other cell therapies for new indications for use in combination with other therapies and to improve and develop other product candidates, which may expose us to additional risks, or we may not realize the benefits of such collaborations.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some of our collaborations are conducted at outside laboratories, and we do not have complete control over how the studies are conducted or reported,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 candidates or proposed indications, even if such imputation is improper. Additionally, we may use third</w:t>
        <w:noBreakHyphen/>
        <w:t>party data to analyze, reach conclusions or make predictions or decisions with respect to our product candidates that may be incomplete, inaccurate or otherwise unreliable.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plan to collaborate with governmental, academic and corporate partners, including affiliates, to improve and develop ANKTIVA and hAd5 constructs, cell therapies and other therapies for new indications for use in combination with other therapies and to improve and develop other product candidates, which may expose us to additional risks, or we may not realize the benefits of such collaborations.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Furthermore, conflicts may arise between us and our collaborators or strategic partners, and such strategic alliances, collaborations, or licensing arrangements may result in litigation, which is expensive and time consuming. For example, in 2019, Sorrento, with which we jointly established a new entity called NANTibody as a stand-alone biotechnology company, commenced litigation against us and certain of our officers and directors, alleging that we improperly caused NANTibody to acquire IgDraSol. Additionally, in 2020 we received a Request for Arbitration before the International Chamber of Commerce, International Court of Arbitration, served by Beike asserting a claim for breach of contract under our subsidiary Altor’s license agreement with them. See Item 3. </w:t>
      </w:r>
      <w:r>
        <w:rPr>
          <w:color w:val="000000"/>
        </w:rPr>
        <w:t>“</w:t>
      </w:r>
      <w:hyperlink w:anchor="i49f82bc2aa33405eae1e0b45f37d1ae6_85">
        <w:r>
          <w:rPr>
            <w:rStyle w:val="InternetLink"/>
            <w:rFonts w:ascii="Times New Roman;serif" w:hAnsi="Times New Roman;serif"/>
            <w:b w:val="false"/>
            <w:i/>
            <w:color w:val="0000FF"/>
            <w:sz w:val="20"/>
            <w:u w:val="single"/>
          </w:rPr>
          <w:t>Legal Proceedings</w:t>
        </w:r>
      </w:hyperlink>
      <w:r>
        <w:rPr>
          <w:color w:val="000000"/>
        </w:rPr>
        <w:t xml:space="preserve">” </w:t>
      </w:r>
      <w:r>
        <w:rPr>
          <w:rFonts w:ascii="Times New Roman;serif" w:hAnsi="Times New Roman;serif"/>
          <w:b w:val="false"/>
          <w:color w:val="000000"/>
          <w:sz w:val="20"/>
        </w:rPr>
        <w:t>for more information regarding these disputes. Any such developments could harm our product development efforts, and additional disputes with our licensors or strategic collaborators may be expensive and time consuming.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collaborations involving our product candidates will be subject to numerous risks, which may include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including their related or affiliated companies, may be entitled to receive exclusive rights for or involving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efforts and resources that they will apply to a collaboration;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885"/>
                <wp:effectExtent l="0" t="0" r="0" b="0"/>
                <wp:wrapNone/>
                <wp:docPr id="104"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products may not commit sufficient resources to their marketing and distribution;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an agreement with any collaborator terminates, our access to technology and intellectual property licensed to us by that collaborator may be restricted or terminate entirely, which may delay our continued development of our product candidates using the collaborator’s technology or intellectual property or require us to stop development of those product candidates completely;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own or co-own intellectual property covering our product candidates or technology that results from our collaborating with them, and in such cases, we may not have the exclusive right to commercialize such intellectual property.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conflicts arise between us and our collaborators or strategic partners, these parties may act in a manner adverse to us and could limit our ability to implement our strategies.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conflicts arise between our corporate or academic collaborators or strategic partners and us, the other party may act in a manner adverse to us and could limit our ability to implement our strategies. Some of our existing academic collaborators and strategic partners are conducting multiple product development efforts. Such current or future collaborators or strategic partners could become our competitors in the future and could develop competing products, preclude us from entering into collaborations with their competitors, fail to obtain timely regulatory approvals, terminate their agreements with us prematurely or fail to devote sufficient resources to the commercialization of our approved product and the development and commercialization of our other product candidates. Competing product candidates, either developed by the collaborators or strategic partners or to which the collaborators or strategic partners have rights, may result in the withdrawal of our collaborator’s or partner’s support for our product or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885"/>
                <wp:effectExtent l="0" t="0" r="0" b="0"/>
                <wp:wrapNone/>
                <wp:docPr id="105"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use of joint ventures, strategic partnerships, and alliances may expose us to risks associated with jointly owned investments.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may operate parts of our business through joint ventures, strategic partnerships, supply agreements, collaborations, and/or alliances with other companies. While such arrangements may, in some cases, give us access to technologies that we may not otherwise have or may give us access to capital, they involve risks not otherwise present in our own investments, including: (i) we may not control the venture, and it </w:t>
      </w:r>
      <w:r>
        <w:rPr>
          <w:rFonts w:ascii="Times New Roman;serif" w:hAnsi="Times New Roman;serif"/>
          <w:b w:val="false"/>
          <w:color w:val="000000"/>
          <w:sz w:val="20"/>
          <w:shd w:fill="FFFFFF" w:val="clear"/>
        </w:rPr>
        <w:t>may divert management time and resources</w:t>
      </w:r>
      <w:r>
        <w:rPr>
          <w:rFonts w:ascii="Times New Roman;serif" w:hAnsi="Times New Roman;serif"/>
          <w:b w:val="false"/>
          <w:color w:val="000000"/>
          <w:sz w:val="20"/>
        </w:rPr>
        <w:t xml:space="preserve">; (ii) the partner(s) may not agree to distributions that we believe are appropriate; (iii) we may experience impasses or disputes with such partner(s) on certain decisions, which could require us to expend additional resources to resolve such impasses or disputes, including litigation or arbitration; (iv) our partner(s) may become insolvent or bankrupt, fail to fund their share of required capital contributions or fail to fulfil their obligations as a venture partner; (v) the arrangements governing these relationships may contain certain conditions or milestone events that may never be satisfied or achieved; (vi) our partner(s) may have business or economic interests that are inconsistent with our interests and may take actions contrary to our interests; (vii) we may suffer losses as a result of actions taken by the partner(s); (viii) conflicts may arise leading to disputes and efforts to terminate these arrangements and seek other remedies; and (ix) it may be difficult for us to exit if an impasse arises or if we desire to sell our interest for any reason. For example, in December 2021 we established a joint venture with Amyris. However, in August 2023, Amyris announced that it had filed for Chapter 11 bankruptcy protection. As of December 31, 2025, the carrying amount of our equity investment in the joint venture was zero. There can be no guarantee that the strategic partnerships that we currently have or may enter into will be successful. Furthermore, we may, in certain circumstances, be liable for the actions of our partners. Any of the foregoing risks could have a material adverse effect on our business, financial condition and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dependent on our senior management, particularly Dr. Soon-Shiong, our Founder, Executive Chairman and Global Chief Scientific and Medical Officer, and a loss of a member of our senior management team in the future, even if only temporary, could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will be dependent upon the services of our executives and our employees who are engaged in research and development. If we lose the services of members of our senior management, particularly Dr. Soon-Shiong, our Founder, Executive Chairman and Global Chief Scientific and Medical Officer, for a short or an extended time, for any reason, we may not be able to find appropriate replacements on a timely basis, and our business, financial condition and results of operations could be materially adversely affected. Our existing operations and our future development depend to a significant extent upon the performance and active participation of certain key individuals, particularly Dr. Soon-Shiong. Although Dr. Soon-Shiong focuses heavily on our matters and is highly active in our management, he devotes a significant amount of his time to a number of different endeavors and companies, including NantHealth, Inc., NantMedia Holdings, LLC (which operates the Los Angeles Times)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do not have employment agreements with our named executive officers and do not maintain “key man” insurance policies on the lives of most of the members of our management.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need to grow the size and capabilities of our organization, and we may experience difficulties in achieving and managing this growth.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commercialize our approved product and other product candidates will depend, in part, on our ability to effectively manage any future growth, and our management may also have to divert a disproportionate amount of their attention away from day-to-day activities in order to devote a substantial amount of time to managing these growth activities. In order to develop our business in accordance with our business plan, we will have to hire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885"/>
                <wp:effectExtent l="0" t="0" r="0" b="0"/>
                <wp:wrapNone/>
                <wp:docPr id="106"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personnel in the biotechnology and pharmaceuticals industry is intense due to the limited number of individuals who possess the skills and experience required, and no assurance can be given that we will be able attract, hire, retain and motivate the highly skilled employees that we need, on acceptable terms or at all. Future growth will impose significant added responsibilities on members of management,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identifying, recruiting, integrating, maintaining, and motivating additional employees;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on economically reasonable terms, or at all.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new employees and expanding our groups of consultants and contractors, we may not be able to successfully implement the tasks necessary to further commercialize our approved product or develop and commercialize our other product candidates and, accordingly, may not achieve our research, development, and commercialization goals on a timely basis,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assimilation of operations, intellectual property, and products of an acquired company or product, including difficulties associated with integrating new personnel;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diversion of our management’s attention from our existing product programs and initiatives in pursuing such a strategic merger or acquisition;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retention of key employees, the loss of key personnel, and uncertainties in our ability to maintain key business relationships;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significant upfront milestone and/or royalty payments from which we may not realize the anticipated benefits;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inability to generate revenues from acquired technology and/or products sufficient to meet our objectives in undertaking the acquisition or even to offset the associated acquisition and maintenance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(including increased cash requirements). In addition, if we undertake acquisitions, we may issue dilutive equity securities, assume or incur additional debt obligations or contingent liabilities,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885"/>
                <wp:effectExtent l="0" t="0" r="0" b="0"/>
                <wp:wrapNone/>
                <wp:docPr id="107"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variety of risks associated with marketing our approved product and other product candidates internationally could materially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and plan to seek regulatory approval of our approved product and other product candidates outside of the U.S. and, accordingly, we expect that we will be subject to additional risks related to operating in foreign countries, both directly and through sales and distribution partnerships,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differing regulatory requirements in foreign countries;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ability of potential partners to execute on our behalf and the adequacy of agreements we enter into with such partners;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unexpected changes in tariffs, trade barriers, price and exchange controls and other regulatory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difficulties staffing and managing foreign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differing payor reimbursement regimes, governmental payors or patient self-pay systems, and price controls;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potential liability under the FCPA or comparable foreign regulations;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public health epidemics on the global economy, such as the coronavirus pandemic;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w:t>
      </w:r>
    </w:p>
    <w:p>
      <w:pPr>
        <w:pStyle w:val="TextBody"/>
        <w:bidi w:val="0"/>
        <w:spacing w:lineRule="auto" w:line="288" w:before="180" w:after="283"/>
        <w:ind w:left="0" w:right="0" w:firstLine="720"/>
        <w:jc w:val="left"/>
        <w:rPr/>
      </w:pPr>
      <w:r>
        <w:rPr>
          <w:rFonts w:ascii="Times New Roman;serif" w:hAnsi="Times New Roman;serif"/>
          <w:b w:val="false"/>
          <w:color w:val="000000"/>
          <w:sz w:val="20"/>
        </w:rPr>
        <w:t>These and other risks associated with international operations may materially adversely affect our ability to attain or maintain profitable operations. See “—</w:t>
      </w:r>
      <w:hyperlink w:anchor="i3bdb262bfe7a4b1abf2baedb35b201e6_560725">
        <w:r>
          <w:rPr>
            <w:rStyle w:val="InternetLink"/>
            <w:rFonts w:ascii="Times New Roman;serif" w:hAnsi="Times New Roman;serif"/>
            <w:b w:val="false"/>
            <w:i/>
            <w:color w:val="0000FF"/>
            <w:sz w:val="20"/>
            <w:u w:val="single"/>
          </w:rPr>
          <w:t>We are subject to U.S. and certain foreign export and import controls, sanctions, embargoes, anti-corruption, anti-money laundering, data export, and foreign investment laws and regulations.”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there is currently significant uncertainty about the future relationship between the U.S. and various other countries, including China and European countries as well as Mexico and Canada,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The current administration, including the FDA, has increased its scrutiny of foreign drug manufacturing facilities and other contractors based in China, especially with respect to the transfer of biological materials, genetic data, and other health data of American patients to parties in China. We cannot predict what actions may ultimately be taken with respect to trade relations between the U.S. and China or other countries, what products and services may become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could be materially and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885"/>
                <wp:effectExtent l="0" t="0" r="0" b="0"/>
                <wp:wrapNone/>
                <wp:docPr id="108"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bookmarkStart w:id="15" w:name="i3bdb262bfe7a4b1abf2baedb35b201e6_368039"/>
      <w:bookmarkEnd w:id="15"/>
      <w:r>
        <w:rPr>
          <w:rFonts w:ascii="Times New Roman;serif" w:hAnsi="Times New Roman;serif"/>
          <w:b/>
          <w:i/>
          <w:color w:val="000000"/>
          <w:sz w:val="20"/>
        </w:rPr>
        <w:t>We are party to a public-private partnership regarding our manufacturing facility in Dunkirk, New York, and our failure to meet the obligations of those agreements could materially impact our development,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we acquired a leasehold interest in the Dunkirk Facility from Athenex with a lease term that commenced on October 1, 2021. On December 30, 2025, we executed a second amendment to the Dunkirk lease. To the extent we are able to address existing construction needs, we believe this will provide us with a state-of-the-art biotech production center that will expand and diversify our manufacturing capacity in the U.S. and the ability to scale production associated with certain of our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paid approximately $40.0 million to Athenex, and the leasehold interest in the Dunkirk Facility was transferred to us. Pursuant to the terms of the second amendment to the Dunkirk lease, our annual lease payment is $0.5 million per year for the three-year lease term, with an option to purchase the facility for $1.00 at the end of the lease term assuming certain covenants related to capital and operational investments are met. We are eligible for certain sales-tax exemption savings during the development of the Dunkirk Facility, and certain property tax savings through at least the term of the amended lease, subject to certain terms and conditions.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that the Dunkirk Facility has construction needs that may require approximately 12 to 18 months to complete in order for it to be used as intended, and which needs remain as a result of an ongoing dispute with the Dunkirk Facility’s general contractor and stay related to Athenex’s ongoing bankruptcy proceedings, as described below.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satisfy the obligations over the lease term, including the milestones we have committed to achieve, may give rise to certain rights and remedies of the lessor and other governmental authorities including, for example, termination of the lease agreement and other related agreements and loss of certain tax benefits received, subject to the terms and conditions of the applicable agreements. If we lose access to the Dunkirk Facility and related leased equipment, it could disrupt our operations and planned manufacturing activities, causing us to divert resources to find alternative facilities and could have an impact on our operations and financial performance. We may also be subject to lawsuits or claims for damages against us if we are unable to comply with our obligations under these arrangements or in connection with other aspects of the Dunkirk Facility, which could materially and adversely affect our business, results of operations, and financial condition.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we were named as a defendant in a lawsuit filed by Exyte, the general contractor for the Dunkirk Facility, in New York state court arising from a construction agreement Exyte entered into with Athenex pertaining to construction of the Dunkirk Facility. We believe we are entitled to defense costs and indemnification and, accordingly, we have provided notice to Athenex. In 2023, Athenex, together with certain of its subsidiaries, filed voluntary petitions for relief under Chapter 11 of the United States Bankruptcy Court for the Southern District of Texas. The lawsuit with Exyte has remained stayed as a result of Athenex’s bankruptcy proceedings and the construction needs of the Dunkirk Facility remain. The extent of the impact of the Athenex proceedings and its automatic stay will have on any continuing obligations Athenex may have under the purchase agreement remain unclear. We further believe Exyte’s claims against us are without merit, and we intend to defend the claims vigorously. Further, the aforementioned litigation and bankruptcy have impacted our ability to address the construction needs at the Dunkirk Facility and may continue to have a negative impact on our efforts to operate the Dunkirk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contractors and subcontractors may place liens on our projects, and if they then successfully foreclose on such projects, we may not be able to use such assets for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general property law, any contractor or subcontractor doing work on a project may attach a lien on the property with respect to which it does work to secure the dollar value of all labor and material furnished to the project. A valid lien holder could, after the lien is perfected, institute a collection suit, according to the lien, and if it were successful in obtaining a judgment, the real property and the equipment thereon could be foreclosed upon. If a contractor were to successfully foreclose on such liens, we may not then be able to use such assets to manufacture our products, and our business could be materially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885"/>
                <wp:effectExtent l="0" t="0" r="0" b="0"/>
                <wp:wrapNone/>
                <wp:docPr id="109"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Healthcare and Other Government Regulations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While we have one product approved by the FDA, MHRA and SFDA and we have received conditional marketing authorization from the EC (EMA) for the EU, we may be unable to obtain additional U.S. or foreign regulatory approval and, as a result, may be unable to commercialize our other product candidates. We are, and will continue to be subject to ongoing extensive regulation, regulatory obligations and continued regulatory review, which may result in significant additional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approved product and other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review process are required to be successfully completed in the U.S. and in many foreign jurisdictions before a new drug or therapeutic biologic can be marketed. Satisfaction of these and other regulatory requirements is costly, lengthy, time-consuming, uncertain and subject to unanticipated delays and can vary substantially based upon the type, complexity and novelty of the products involved. We had previously received a CRL in response to our initial BLA submission, requiring us to resubmit the BLA to the FDA addressing the issues in the CRL. In April 2024, the FDA approved ANKTIVA with BCG for the treatment of adult patients with BCG-unresponsive NMIBC CIS with or without papillary tumors. We are required to comply with certain post-marketing commitments, including completion of our QUILT-3.032 clinical trial and annual reporting for up to four years, with a final report submission to the FDA by the end of 2029.</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submitted MAAs for ANKTIVA with BCG for the treatment of patients with BCG-unresponsive NMIBC CIS with or without papillary tumors to the EMA and the MHRA, which agencies accepted such MAAs for review in the first quarter of 2025. In the fourth quarter of 2025, we submitted MAAs for ANKTIVA with BCG for the treatment of adult patients with BCG-unresponsive NMIBC CIS and for ANKTIVA in combination with immune CPIs for the treatment of adult patients with metastatic NSCLC to the SFDA. These were the first such submissions for us, the regulatory review process is uncertain, and although we received approvals from the MHRA and SFDA and the EC (EMA) granted conditional marketing authorization in the EU, there can be no assurance that we will receive future approvals.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MHRA granted marketing authorization for ANKTIVA in combination with BCG for the treatment of adult patients with BCG-unresponsive NMIBC CIS with or without papillary tumors. In January 2026, the SFDA granted full approval for ANKTIVA in combination with BCG for the treatment of adult patients with high-risk BCG-unresponsive NMIBC CIS with or without papillary tumors. In January 2026, the SFDA granted conditional approval for ANKTIVA in combination with immune CPIs for the treatment of adult patients with metastatic NSCLC with disease progression on or after standard of care (immune CPIs alone or in combination with chemotherapy). In February 2026, the EC (EMA) granted conditional marketing authorization in the EU for ANKTIVA in combination with BCG for adult patients with BCG-unresponsive NMIBC CIS with or without papillary tumors.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our approved product, we have not received regulatory approval from the FDA, MHRA, SFDA or the EC (EMA) or comparable foreign authorities for any other product candidate, and we may never receive such regulatory approval for any of our other product candidates or regulatory approval that will allow us to successfully commercialize such other product candidates. In addition, regulatory agencies may lack experience with our technologies and products, which may lengthen the regulatory review process, increase our development costs and delay or prevent their commercialization.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additional government regulations may be enacted that could prevent, limit or delay regulatory approval of our other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completing development or obtaining, or failing to obtain, required approvals would have a material and adverse effect on our ability to generate revenue from the particular product candidate for which we are developing and seeking approval.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885"/>
                <wp:effectExtent l="0" t="0" r="0" b="0"/>
                <wp:wrapNone/>
                <wp:docPr id="110"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regulatory agency reorganizations, layoffs due to reduction in force initiatives, government shutdowns, a lapse of U.S. government appropriations and other similar measures, such as those implemented at the FDA during early 2025, may impact the normal operations of the FDA as well as other federal agencies. FDA staffing levels and resources may not meet current review, approval, and inspection schedules, which could delay our anticipated timelines. In addition, fewer agency guidance documents could interfere with FDA programs or lead to more CRLs or refusals to approve products. Further, the FDA’s “real-time” release of newly issued CRLs associated with withdrawn or abandoned applications, if applicable to any of our product candidates, can materially impact our competitive advantage and intellectual property. It is unclear how our industry, regulatory submissions and our clinical programs will be impacted by policies and regulations implemented under the current administration and FDA leadership. There is uncertainty in the industry regarding how federal agencies like the FDA will change in the coming years. To the extent the agency reorganization and other agency changes lead to disruptions in the FDA’s operations, our correspondence and regulatory review processes with the FDA may be materially delayed.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regulatory approval of our approved product or other product candidates in one jurisdiction does not mean that we will be successful in obtaining or maintaining regulatory approval in other jurisdictions.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approved product or other product candidates in one jurisdiction does not mean that we will be successful in obtaining or maintaining regulatory approval in other jurisdictions, however a failure or delay in obtaining regulatory approval in one jurisdiction may have a negative effect on the regulatory review process in others. Approval policies, procedures and requirements may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For example, even if the FDA grants marketing approval of a product candidate, comparable regulatory authorities in foreign jurisdictions must also approve the manufacturing, marketing and promotion of the product candidate in those countries. In many jurisdictions outside the U.S., a product candidate must be approved for reimbursement before it can be approved for sale in that jurisdiction. In some cases, the price that we intend to charge for our product candidates is also subject to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foreign regulatory approvals and establishing and maintaining compliance with foreign regulatory requirements could result in significant delays, difficulties and costs for us and could delay or prevent the introduction of our approved product or other product candidates in certain countries. If we fail to comply with the regulatory requirements in international markets and/or fail to receive applicable marketing approvals, our target market will be reduced and our ability to realize the full market potential of our approved product or other product candidates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obtain regulatory approval in any targeted jurisdiction would prevent us from marketing our products to a larger patient population and reduce our commercial opportunities.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market our products in the EU, UK, U.S. and other jurisdictions, we and any collaboration partners must obtain separate regulatory approvals and comply with numerous and varying regulatory requirements. The time required to obtain approval in other countries may differ from that required to obtain FDA approval. The foreign regulatory approval process may include all of the risks associated with obtaining FDA approval as well as additional or different risks, and we may not obtain foreign regulatory approvals on a timely basis, if at all. Approval by the European Commission, the MHRA, the SFDA, or the FDA does not ensure approval by regulatory authorities in other countries, and approval by one foreign regulatory authority does not ensure approval by regulatory authorities in other foreign countries or by the FDA. We or any collaboration partners may not be able to file for regulatory approvals and may not receive necessary approvals to commercialize our products in the EU, UK and other foreign jurisdictions or for new product candidates and/or new indications in the U.S. Failure to obtain these approvals would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885"/>
                <wp:effectExtent l="0" t="0" r="0" b="0"/>
                <wp:wrapNone/>
                <wp:docPr id="111" name="Frame1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though we have received regulatory approval for our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other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may also be subject to limitations on the approved indicated uses for which the product may be marketed, or to conditions of approval, or contain requirements for potentially costly post-marketing testing, including Phase 4 clinical trials, and surveillance to monitor safety and efficacy. In addition, the manufacturing processes, labeling, packaging, distribution, adverse event reporting, storage, advertising, promotion and recordkeeping for any approved product, including our current product, will be subject to extensive and ongoing regulatory requirements. These requirements include submissions of safety and other post-marketing information and reports, including reporting of certain adverse events as well as continued compliance with cGMP for the drug products, and GCP guidelines for any clinical trials that we conduct post-approval.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holds on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imposition of a REMS, which may include distribution or use restrictions;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requirements to conduct additional post-market clinical trials to assess the safety of the product;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revisions to the labeling, including limitation on approved uses or the addition of additional warnings, contraindications or other safety information, including boxed warnings;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manufacturing delays and supply disruptions where regulatory inspections identify observations of non-compliance requiring remediation;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fines, warning or untitled letters;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refusal by the FDA to approve pending applications or supplements to approved applications submitted by us, or withdrawal of product approvals;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 candidates;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establish sales, marketing and distribution capabilities, we may not be successful commercializing our approved product or our other product candidates, including in international markets, if and when they are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process of implementing our sales and marketing personnel hiring plan and building out key commercialization infrastructure in international markets where we have received regulatory approval for the commercialization of ANKTIVA. To achieve commercial success for any other product for which we obtain marketing approval, we may need to hire additional sales and marketing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885"/>
                <wp:effectExtent l="0" t="0" r="0" b="0"/>
                <wp:wrapNone/>
                <wp:docPr id="112"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we have built, and are continuing to build, a focused sales and marketing infrastructure to market our approved product and potentially other product candidates, if and when they are approved, including by partnering with experienced third party contractors. There are risks involved with establishing our own sales, marketing and distribution capabilities and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including failure to receive marketing approval from the FDA, we would have prematurely or unnecessarily incurred these commercialization expenses. For example, we had previously hired sales and marketing personnel for a launch of our now-approved product, but we received a CRL from the FDA in May 2023. We may also inaccurately estimate the number of representatives needed to build our sales force, which may result in unnecessary expense or the inability to scale as quickly as needed. This may be costly, and our investment would be lost if we cannot retain or reposition our sales and marketing personnel. In addition, these same risks apply to potential global sales and distribution partners now that we have received approval for ANKTIVA in the UK and Saudi Arabia, and have been granted a conditional marketing authorization from the EC (EMA) for the EU.</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Factors that may inhibit our efforts or our potential international commercial partner’s efforts to commercialize our approved product and other product candidates, if approved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to recruit, train and retain adequate numbers of effective sales, marketing, reimbursement, customer service, medical affairs, and other support personnel;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of sales personnel to obtain access to physicians or increase market acceptance of our approved product or any other product candidate, if approved;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of reimbursement professionals to negotiate arrangements for coverage or adequate reimbursement by payors for our approved product or any other product candidate, if approved;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to price our approved product or any other product candidates, if approved, at a sufficient price point to ensure an adequate and attractive level of profitability;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restricted or closed distribution channels that make it difficult to distribute our approved product or any other product candidates, if approved, to segments of the patient population;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unforeseen costs and expenses associated with creating an independent commercialization organization.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international markets where we have received regulatory approval, if we are unable to either build our own commercial infrastructure or establish infrastructure with potential partners to execute commercialization on our behalf, we may be materially adversely affected, and our operations may not be profitable. If we do not establish sales, marketing and distribution capabilities successfully, we will not be successful in commercializing our approved product or any other product candidates, if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Problems related to large-scale commercial manufacturing could cause delays in product launches, an increase in product costs, product recalls or product shortages.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Manufacturing finished drug products, especially in large quantities, is complex. Our product, and if our other product candidates receive regulatory approval, will require several manufacturing steps and may involve complex techniques to ensure quality and sufficient quantity, especially as the manufacturing scale increases. Our approved product and other product candidates will need to be made consistently and in compliance with a clearly defined manufacturing process pursuant to FDA regulations. Accordingly, it will be essential to be able to validate and control the manufacturing process to ensure that it is reproducible. Slight deviations anywhere in the manufacturing process, including obtaining materials, filling, labeling, packaging, storage, shipping, quality control and testing, may result in lot failures, delay in the release of lots, product recalls or spoilage. Success rates can vary dramatically at different stages of the manufacturing process, which can lower yields and increase costs. We may experience deviations in the manufacturing process that may take significant time and resources to resolve and, if unresolved, may affect manufacturing output and cause us to fail to satisfy contractual commitments, cause recalls, lead to delays in our clinical trials or result in litigation or regulatory action. Such actions would hinder our ability to meet contractual obligations and could cause material adverse consequences for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885"/>
                <wp:effectExtent l="0" t="0" r="0" b="0"/>
                <wp:wrapNone/>
                <wp:docPr id="113" name="Frame1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U.S. and foreign regulatory requirements, regulatory authorities could limit or withdraw any marketing or commercialization approvals we have or may receive and subject us to other penalties that could materially harm our business. For example, our GMP-in-a-Box may be regulated by the FDA as a medical device, and regulatory compliance for medical devices is expensive, complex and uncertain, and a failure to comply could lead to enforcement actions against us and other negative consequences for our business.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FDA and similar agencies regulate medical devices. All of our potential medical device products and material modifications will be subject to extensive regulation and clearance or approval from the FDA and non-U.S. regulatory agencies prior to commercial sale and distribution as well as after clearance or approval. Complying with these regulations is costly, time</w:t>
        <w:noBreakHyphen/>
        <w:t xml:space="preserve">consuming, complex and uncertain. For instance, before a new medical device, or a new intended use for an existing device, can be marketed in the U.S., a company must first submit a pre-market submission, such as a pre-market notification (510(k)),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or PMA, and receive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grant, or approval from the FDA, unless an exemption applies.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we receive for our approved product and other product candidates will require surveillance to monitor the safety and efficacy of the product. The FDA and similar agencies have significant pre- and post-market authority, including requirements related to product design, development, testing, laboratory and preclinical studies, clinical trials approval, manufacturing processes and quality (including suppliers), labeling, packaging, distribution, adverse event and deviation reporting, storage, shipping, pre-market clearance or approval, advertising, marketing, promotion, sale, import, export, product change, recalls, submissions of safety and effectiveness, post-market surveillance and reporting of deaths or serious injuries and certain malfunctions, and other post-marketing information and reports such as deviation reports, registration, product listing, annual user fees, and recordkeeping for our product candidates. The FDA may also require a REMS to approve our product candidates, which may impose further requirements or restrictions on the distribution or use of an approved drug or therapeutic biologic. The FDA may also require post-approval Phase 4 trials. Moreover, the FDA and comparable foreign regulatory authorities will continue to closely monitor the safety profile of any product even after approval.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Medical devices regulated by the FDA are subject to general controls which include: registration with the FDA; listing commercially distributed products with the FDA; complying with cGMP under QMSR; filing reports with the FDA of and keeping records relative to certain types of adverse events associated with devices under the medical device reporting regulation; assuring that device labeling complies with device labeling requirements; and reporting certain device field removals and corrections to the FDA. In addition to the general controls, some Class 2 medical devices are also subject to special controls. Most medical devices that require pre-market review by the FDA, including most Class 2 medical devices, require the submission of a 510(k) or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and obtaining 510(k) clearance or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grant prior to marketing the device. Some devices known as 510(k)-exempt devices can be marketed without prior clearance or approval from the FDA. Most Class 3 devices are subject to the FDA’s PMA requirement.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can also refuse to clear or approve pre-market submissions for any medical device we develop.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our contractors, and our collaborators are and will remain responsible for FDA compliance.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885"/>
                <wp:effectExtent l="0" t="0" r="0" b="0"/>
                <wp:wrapNone/>
                <wp:docPr id="114"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comparable foreign regulatory authorities become aware of new safety information or previously unknown problems after approval of our approved product or any of our other product candidates, including: (i) adverse events of unanticipated severity or frequency, (ii) that the product is less effective than previously thought, (iii) problems with our third-party manufacturers or manufacturing processes or (iv) failure to comply with regulatory requirements, or if we violate regulatory requirements at any stage, whether before or after marketing approval is obtained, we may face a number of regulatory consequences, including fines, warnings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or partial suspension or total shutdown of production, injunctions, consent decrees, civil penalties and criminal prosecution, among other consequences. Additionally, we may face unanticipated expenditures to address or defend such actions and customer notifications for repair, replacement or refunds. Any such restrictions could limit sales of the product. 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these events were to occur, it would have a material and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FDA and other regulatory agencies actively enforce the laws and regulations prohibiting pre-approval promotion and the promotion of off-label uses. If we or our sales and marketing partners violate these laws and regulations, we could face civil liability or encounter regulatory investigations and significant regulatory penalties and sanctions.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prohibits the pre-approval promotion of drugs as safe and effective for the purposes for which they are under investigation. Similarly, the FDA prohibits the promotion of approved drugs for new or unapproved indications. If the FDA finds that we have engaged in pre-approval promotion of our future product candidates, or if our approved product or any of our other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approved product and other product candidates, if approved. In particular, an approved product may not be promoted for uses that are not approved by the FDA or such other regulatory agencies as reflected in the product’s approved labeling. However, physicians may nevertheless prescribe our product, or any future approved product, to their patients in a manner that is inconsistent with the approved label, which is within their purview as part of their practice of medicine. If we are found to have promoted such off-label uses, however,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The FDA may also issue a public warning letter or untitled letter to the company. If we cannot successfully manage the promotion of our product or any future approved products, we could become subject to significant liability, which would materially adversely affect our business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sent us two untitled letters dated September 9, 2025 and January 7, 2026 alleging that information on our webpages regarding ANKTIVA is false and misleading. Our responses and removal of the material addressed the alleged violations in the untitled letters as stated in the FDA response letter to us on January 27, 2026 for each untitled letter.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885"/>
                <wp:effectExtent l="0" t="0" r="0" b="0"/>
                <wp:wrapNone/>
                <wp:docPr id="115" name="Frame10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Inappropriate assumptions may be drawn based on results for patients who receive access to any of our non-approved product candidates through compassionate use, EAPs, or right to try access, which should not be viewed as representative of how the product candidate will perform in a well-controlled clinical trial.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often receive requests for compassionate use access to our investigational drugs by patients that do not meet the entry criteria for enrollment into our clinical trials. Generally, patients requesting compassionate use have no other treatment alternatives for life-threatening conditions. We evaluate each compassionate use request on an individual basis, and in some cases grant access to our investigational product candidates outside of our sponsored clinical trials if a physician certifies that the patient receiving treatment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 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our compassionate use program may not be used to establish safety or efficacy or regulatory approval.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some patients who receive access to product candidates prior to their commercial approval through compassionate use, EAPs, or right to try access have life-threatening illnesses and have exhausted all other available therapies. The risk for serious adverse events in this patient population is high, which could have a negative impact on the safety profile of ANKTIVA or future product candidates, which could cause significant delays or an inability to successfully commercialize ANKTIVA or future product candidates, which could materially harm our business. We may in the future need to restructure or pause any future compassionate use and/or EAP we initiate in order to perform the controlled clinical trials required for regulatory approval and successful commercialization of ANKTIVA or future product candidates, which could prompt adverse publicity or other disruptions related to current or potential participants in such programs.</w:t>
      </w:r>
    </w:p>
    <w:p>
      <w:pPr>
        <w:pStyle w:val="TextBody"/>
        <w:bidi w:val="0"/>
        <w:spacing w:lineRule="auto" w:line="288" w:before="240" w:after="283"/>
        <w:jc w:val="left"/>
        <w:rPr>
          <w:rFonts w:ascii="Times New Roman;serif" w:hAnsi="Times New Roman;serif"/>
          <w:b/>
          <w:i/>
          <w:color w:val="000000"/>
          <w:sz w:val="20"/>
        </w:rPr>
      </w:pPr>
      <w:bookmarkStart w:id="16" w:name="i3bdb262bfe7a4b1abf2baedb35b201e6_560725"/>
      <w:bookmarkEnd w:id="16"/>
      <w:r>
        <w:rPr>
          <w:rFonts w:ascii="Times New Roman;serif" w:hAnsi="Times New Roman;serif"/>
          <w:b/>
          <w:i/>
          <w:color w:val="000000"/>
          <w:sz w:val="20"/>
        </w:rPr>
        <w:t>We are subject to U.S. and certain foreign export and import controls, sanctions, embargoes, anti-corruption, anti-money laundering, data export, and foreign investment laws and regulations. Compliance with these legal standards could impair our ability to compete in domestic and international markets. We can face criminal and/or civil liability and other serious consequences for violations, which can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approved product and our other product candidates as well as our technology is subject to export control and import laws and regulations, including the Export Administration Regulations administered by BIS, customs regulations administered by U.S. Customs and Border Protection, and various economic and trade sanctions regulations administered by the U.S. Treasury Department’s Office of Foreign Assets Control. We are also subject to the FCPA, the U.S. domestic bribery statute contained in 18 U.S.C. §201, the U.S. Travel Act, the USA PATRIOT Act and possibly other state and national anti-bribery, anti-money laundering, customs, sanctions, export control, and foreign investment laws in countries in which we conduct activities.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product candidates, and technologies are subject to export control laws and regulations and our product, product candidates, and technologies, and activities are subject to trade and economic sanctions. As such, licenses or notices may be required to import products, technologies, and services from, or export, re-export, or transfer (in-country) products, technologies, and services to, certain countries, end users, or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In addition, on January 15, 2025, BIS issued an interim final rule implementing targeted export controls on certain analytical instruments that are highly suitable for generating large, detailed biological datasets based upon the potential to exploit these techniques for asymmetric military advantage. The process for obtaining necessary licenses and making required notices may be time-consuming or unsuccessful, potentially causing delays in sales or losses of sales opportunities. Trade controls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2885"/>
                <wp:effectExtent l="0" t="0" r="0" b="0"/>
                <wp:wrapNone/>
                <wp:docPr id="116" name="Frame1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Anti-corruption laws are interpreted broadly and prohibit companies and their employees, agents, representatives, business partners and third-party intermediaries from authorizing, promising, offering or providing, directly or indirectly, improper payments or benefits to recipients in the public or private sector. We use CROs abroad for clinical trials and we may engage other third-party intermediaries to sell our approved product or other product candidates and solutions abroad once we enter a commercialization phase for our approved product or such other product candidates and/or to obtain necessary permits, licenses, and other regulatory approvals. We or our employees, agents, representatives, business partners or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business partners and agents, even if we do not explicitly authorize or have actual knowledge of such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an anti-corruption policy, which mandates compliance with the FCPA and other anti-corruption laws applicable to our business throughout the world. However, there can be no assurance that our employees, agents, representatives, business partners and third-party intermediaries will comply with this policy or such anti-corruption laws. Any allegations or violation of the FCPA or other applicable anti-corruption and anti-money laundering laws could subject us to whistleblower complaints, investigations, sanctions, settlements, prosecution, fines, damages, adverse media coverage, severe criminal or civil sanctions, enforcement actions or suspension or debarment from government contracts, all of which may have an adverse effect on our reputation, business, results of operations, prospects and financial condition. In addition, responding to any action will likely result in a materially significant diversion of management’s attention and resources and significant defense and compliance costs and other professional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negatively impact U.S. trade. 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 Other new regulations could affect the transfer of certain types of data abroad, including to China;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our business, liquidity, financial condition, and/or results of operations would be materially and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2885"/>
                <wp:effectExtent l="0" t="0" r="0" b="0"/>
                <wp:wrapNone/>
                <wp:docPr id="117" name="Frame10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and further changes in the tariff and trade policies of the U.S. or of other countries could increase manufacturing and sourcing costs, decrease demand for our offerings, disrupt supply chains, or otherwise adversely affect our business and financial condition.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There is currently significant uncertainty about the future relationship between the U.S and its trading partners, most significantly China, with respect to trade policies, tariffs, taxes, and similar policies affecting cross-border operations. For example, the U.S. government has made and continues to make significant additional changes in U.S. trade policy, specifically tariffs, and may continue to take future actions that could negatively impact our business. Beginning in 2025, the U.S. government materially escalated tariffs on the import of goods from most U.S. trading partners. For example, since February 2025, the U.S. has placed an additional 10-35% fentanyl-related tariff on most goods from China, Canada and Mexico (with an exception for goods that qualify for duty-free treatment under the USMCA). Since March 2025, the U.S. has implemented 10-50% Section 232 tariffs on various commodities, including articles of steel, aluminum, copper, wood, passenger vehicles, trucks, and automotive parts. Since April 2025, the U.S. has implemented an additional reciprocal tariff of 10-125% on most imports from U.S. trading partners other than Canada, Mexico, Russia, Belarus, North Korea, and Cuba, with higher, country-specific reciprocal tariffs for most U.S. trading partners beginning in August 2025. Since August 2025, the U.S. government has also imposed a 40% Section 301 tariff on certain imports from Brazil, an additional 25% tariff on certain imports from India, and suspended duty free entry under the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provision.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certain products were excluded from some of these reciprocal tariff measures, including items subject to Section 232 tariffs; certain pharmaceuticals and pharmaceutical products; and certain semiconductors, computers, consumer electronics, and other products derivative of critical minerals, the scope of these exclusions is subject to change. In addition, the U.S. Department of Commerce has initiated Section 232 investigations into additional products, including semiconductors and related manufacturing equipment, processed critical minerals and derivative products; commercial aircraft and engines; robotics and industrial machinery; and other items. When these investigations are complete, the U.S. government may decide to levy additional tariffs on these or other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response to these and other U.S. trade measures, China, Canada, and other affected countries have taken or threatened retaliatory actions to respond, with measures that include the imposition of retaliatory tariffs on imports of products of U.S. origin, the imposition of export controls on a wide array of products (including rare earth metals and other critical minerals), and other actions. The adoption of retaliatory actions by China has prompted the U.S. to further increase its tariff measures, and continued escalation of tariffs and trade measures could result in the outbreak of a trade war.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trade and tariff policies of the U.S. and other countries are currently fluid and subject to further changes. For example, the Court of International Trade determined that the fentanyl-related and reciprocal tariffs placed on U.S. trading partners were not legally authorized, and the United States Court of Appeals for the Federal Circuit affirmed this determination. The collection of these tariffs has continued while the litigation remains on appeal before the United States Supreme Court. If the judgment regarding the invalidity of these tariffs stands, it is unclear whether, how, or when the U.S. government may issue refunds for tariffs previously collected. The U.S. government may also impose new tariffs under new or additional authorities, the amount, scope, and duration of which are currently uncertain. The U.S. government also continues to negotiate trade policies with U.S. trading partners, which may result in further changes with respect to tariffs, export controls, and other related matters. While we will make efforts to mitigate the impacts of escalated tariffs on our business, we may be unsuccessful in fully mitigating these effects, or unable to do so at reasonable cost. Recent increases in the tariffs imposed by the U.S. or other countries may (i) have an uncertain effect on the manufacture of our products, including, without limitation, affecting the availability of our products, or of materials used in our products; (ii) affect the prices at which our products, or materials used in our products, may be obtained; (iii) result in customers delaying orders pending further clarity in the tariff landscape; and (iv) have other effects. In addition, these tariff actions may also indirectly affect our business through impacts on our customers, vendors, suppliers, and other counterparties, who may themselves be directly affected by some or all of these tariff actions, or indirectly affected by macroeconomic effects resulting from these or other tariff related actions, including potential risks associated with inflation or economic recession. Should the trade relationships between the U.S. and its trading partners remain strained or worsen, our business, liquidity, financial condition, and/or results of operations may therefore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2885"/>
                <wp:effectExtent l="0" t="0" r="0" b="0"/>
                <wp:wrapNone/>
                <wp:docPr id="118" name="Frame10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failure to comply with state, national and/or international privacy and security laws and regulations could lead to government enforcement actions and significant penalties against us and adversely impact our operating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numerous laws and regulations at the federal and state levels addressing privacy and security concerns, and some state laws apply more broadly than HIPAA and associated regulations. For example, the CCPA, which went into effect on January 1, 2020, provides, among other things, certain privacy and security obligations for covered companies and certain privacy rights to California consumers, including the right to opt out of certain sales of their personal information. The CCPA also provides for civil penalties as well as a private right of action with statutory damages for certain data breaches, thereby potentially increasing risks associated with a data breach. Although the CCPA includes limited exceptions, including for certain personal information collected as part of certain clinical trials or other biomedical research studies, it may regulate or impact our processing of personal information depending on the context. Additionally, the CPRA was approved by California voters in November 2020. The CPRA significantly modifies the CCPA, which may require us to modify our practices and policies and may further increase our compliance costs and potential liability. Certain states have also enacted or proposed privacy laws governing health information, including for example, Washington’s My Health, My Data Act and Nevada’s Senate Bill 370, and all 50 states have enacted laws imposing obligations to provide notification of certain security breaches of personal information. Additionally, several states have enacted or proposed laws similar to the CCPA, such as in in Colorado, Connecticut, Delaware, Florida, Indiana, Iowa, Kentucky, Minnesota, Montana, Nebraska, New Hampshire, New Jersey, New York, Rhode Island, Tennessee, Texas, Utah, and Virginia. These laws reflect a trend toward more stringent privacy laws in the U.S. and have prompted a number of proposals for new federal and state-level privacy laws. The U.S. Department of Justice also has issued rules regarding certain bulk sensitive personal data transfers. We cannot yet determine the impact these laws or changes may have on our business and operations but anticipate they could increase our compliance costs and potential liability, impair our ability to collect, use or otherwise process personal information, expose us to greater liability and require us to modify our practices and policies in an effort to comply.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also various laws and regulations in other jurisdictions relating to privacy and security. For example, EU member states and other foreign jurisdictions, including the UK and Switzerland, have adopted data protection laws and regulations which impose significant compliance obligations on us. The collection, use, and other processing of personal data, including patient or health data, in the European Economic Area, may be governed by the GDPR. The GDPR, which is wide-ranging in scope and applies extraterritorially, imposes, among other things, requirements relating to the consent of the individuals to whom the personal data relates, the notices provided to such individuals, the security and confidentiality of personal data, data breach notification, the adoption of appropriate privacy governance, including policies, procedures, training and audits, and the use of third-party processors in connection with the processing of personal data. The GDPR also imposes strict rules on the transfer of personal data out of the EU, including to the U.S., provides data protection authorities with enforcement authority and imposes large penalties for non-compliance, including the potential for fines of up to €20 million or up to 4% of the total worldwide annual global revenues of the noncompliant entity, whichever is greater. GDPR requirements apply not only to third-party personal data transfers, but also to transfers of personal data between us and our subsidiaries, including employee information. In addition, in January 2021, following its exit from the EU, the UK generally transposed the GDPR into its domestic law with its own version of the GDPR, referred to as the UK GDPR. The UK GDPR and separate data protection legislation, the Data Protection Act, impose obligations similar to the GDPR in most material respects and provide for fines of up £17.5 million or up to 4% of the total worldwide annual global revenues of the noncompliant entity, whichever is greater. The UK enacted the UK Data (Use and Access) Act 2025 on June 19, 2025, which made targeted amendments to the UK GDPR and the Data Protection Act. Numerous other jurisdictions worldwide maintain laws and regulations relating to cross-border data transfer, data localization, and other aspects of privacy, security, and data protection.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Complying with numerous, complex, and changing laws and regulations is expensive and difficult. Any actual or alleged failure to comply with any privacy or security law or regulation, or security breach or other incident, including those involving the misappropriation, loss, or other unauthorized use, disclosure or other processing of sensitive or confidential patient, consumer or other personal information, whether by us, one of our CROs or business associates or another third party, could adversely affect our business, financial condition, and results of operations, and could subject us to investigations, litigation, and other proceedings, material fines and penalties, compensatory, special, punitive and statutory damages,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885"/>
                <wp:effectExtent l="0" t="0" r="0" b="0"/>
                <wp:wrapNone/>
                <wp:docPr id="119" name="Frame10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injunctive relief. The enactment of, and changes to, privacy and security laws and regulations have increased our responsibility and potential liability, including in relation to the personal data that we process and our clinical trials, and we may be required to put in place additional mechanisms in an effort to comply with applicable laws and regulations, which could divert management’s attention and increase our cost of doing business. In addition, any new law or regulation relating to privacy and security, or any applicable industry standard, may increase our costs of doing business. In this regard, we expect that there will continue to be new proposed laws, regulations and industry standards relating to privacy and security in the U.S., the UK, the EU, and other jurisdictions, and we cannot determine the impact such future laws, regulations and standards may have on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assure you that our CROs or other third-party service providers with access to our or our customers’, suppliers’, trial patients’ and employees’ personal information or other sensitive or confidential information will not breach applicable laws or regulations or contractual obligations imposed by us, or that they will not experience security breaches or incidents, which could have a corresponding effect on our business, including putting us in breach of our obligations under privacy and security laws and regulations and/or which could in turn adversely affect our business, results of operations and financial condition. We cannot assure you that the measures and safeguards we have taken will protect us from the foregoing risks, any of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and our third-party contractors must comply with environmental, health and safety laws and regulations. A failure to comply with these laws and regulations could expose us to significant costs or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any of our third-party contract manufacturers or suppliers are subject to numerous environmental, health and safety laws and regulations, including those governing laboratory procedures and the handling, use, generation, manufacture, storage, treatment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such environmental, health and safety laws and regulations, we could be held liable for any resulting damages, fines and penalties associated with such liability, which could exceed our assets and resources.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will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comprehensive insurance coverage for liabilities arising from medical or hazardous materials, environmental liability or toxic tort claims that may be asserted against us in connection with our storage or disposal of biological or hazardous materials.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which could harm our business, prospects, financial condition or results of operations. Our failure to comply with these laws and regulations also may result in substantial fines, penalties or other sanctions.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approved product or other product candidates, which could make it difficult for us to sell our approved product or other product candidates profitably.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both domestic and foreign markets, sales of our approved product or other product candidates, if approved, depend on the availability of coverage and adequate reimbursement from third-party payors. Third-party payors, whether domestic or foreign, or governmental or commercial, are developing increasingly sophisticated methods of controlling healthcare costs. Regulatory authorities and third-party payors have attempted to control costs by limiting coverage and the amount of reimbursement for particular medications, which could affect our ability or that of our collaborators to sell our product candidates profitably. In addition, third</w:t>
        <w:noBreakHyphen/>
        <w:t>party payors are requiring higher levels of evidence of the benefits and clinical outcomes of new technologies and are challenging the prices charged. Patients who are provided medical treatment for their conditions generally rely on third-party payors to reimburse all or part of the costs associated with their treatment. Patients are unlikely to use our approved product or other product candidates unless coverage is provided, and reimbursement is adequate to cover a significant portion of the cost of our approved product or other product candidates. Such third-party payors include government health programs such as Medicare and Medicaid, managed care providers, private health insurers and other organizations. Obtaining coverage and adequate reimbursement from governmental healthcare programs, such as Medicare and Medicaid, and commercial payors is critical to new product acceptance. In addition, because our approved product and other product candidates represent new approaches to the treatment of cancer, we cannot accurately estimate the potential revenues from our approved product or other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2885"/>
                <wp:effectExtent l="0" t="0" r="0" b="0"/>
                <wp:wrapNone/>
                <wp:docPr id="120" name="Frame1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These payors may not view our approved product or other future products, if any, as cost-effective, and coverage and reimbursement may not be available to our customers, or those of our collaborators, or may not be sufficient to allow our approved product or other future approved products, if any, to be marketed on a competitive basis. If reimbursement is not available, or is available only to limited levels, our product and other product candidates may be competitively disadvantaged, and we, or our collaborators, may not be able to successfully commercialize our approved product or other product candidates.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approved product and our other product candidates, if approved, to each payor separately, with no assurance that coverage and adequate reimbursement will be obtained. Moreover, the factors noted above have continued to be the focus of policy and regulatory debate that has, thus far, shown the potential for movement towards permanent policy changes; this trend is likely to continue, and may result in more or less favorable impacts on pricing.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 Congress has considered and may continue to consider legislation that, if passed, could have significant impact on prices of prescription drugs covered by Medicare, including limitations on drug price increases. The impact of these regulations and any future healthcare measures and agency rules on us and the pharmaceutical industry as a whole is currently unknown. Further, changes in the leadership of the FDA and other federal agencies may lead to new policies, changes in regulations, or disruptions to the operations of the federal agencies, any of which may impact our clinical development plans. The implementation of cost containment measures or other healthcare reforms may prevent us from being able to generate revenue, attain profitability, or commercialize our approved product and other product candidates if approved. Complying with any new legislation and regulatory changes could be time-intensive and expensive, resulting in a material adverse effect on our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federal programs impose penalties on manufacturers of drugs marketed under a BLA or NDA, in the form of mandatory additional rebates and/or discounts if commercial prices increase at a rate greater than the Consumer Price Index-Urban, and these rebates and/or discounts, which can be substantial, may impact our ability to raise commercial prices. For example, under the American Rescue Plan Act of 2021, the statutory cap on Medicaid Drug Rebate Program rebates that manufacturers pay to state Medicaid programs has been eliminated. Elimination of this cap may require pharmaceutical manufacturers to pay more in rebates than they receive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2885"/>
                <wp:effectExtent l="0" t="0" r="0" b="0"/>
                <wp:wrapNone/>
                <wp:docPr id="121" name="Frame1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2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Medicare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MFN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MFN pricing to the Medicaid program, whereby a drug manufacturer may voluntarily offer supplemental rebates to participating state Medicaid programs for a manufacturer’s covered outpatient drugs. Government agreements with pharmaceutical companies and other measures that use MFN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We cannot predict the full impact of the Executive Orders and other actions focused on reducing prescription drug prices or increasing domestic drug manufacturing capacity, or other measures that may be implemented by the current administration related to drug pricing, drug supply chain and manufacturing in the U.S. The impact of ongoing and future judicial challenges, legislative, executive, and administrative actions and any future healthcare measures and agency rules on us and the pharmaceutical industry as a whole is unclear. Cost control initiatives could cause us, or our collaborators, to decrease, discount, or rebate a portion of the price we, or they, might establish for products, which could result in lower than anticipated product revenues. If the prices realized for our approved product or other product candidates, if any, decrease or if governmental and other third-party payors do not provide adequate coverage or reimbursement, our prospects for revenues and profitability will suffer.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obtain coverage for a given product, the resulting approved reimbursement payment rates might not be high enough to allow us to establish or maintain a market share sufficient to realize a sufficient return on our or their investments or achieve or sustain profitability or may require co-payments that patients find unacceptably high. If payors subject our approved product or other product candidates to maximum payment amounts or impose limitations that make it difficult to obtain reimbursement, providers may choose to use therapies which are less expensive when compared to our approved product or other product candidates. Additionally, if payors require high co-payments, beneficiaries may decline our therapies and seek alternative therapies and physicians may be reluctant to recommend our approved product to their patients. We may need to conduct post-marketing studies in order to demonstrate the cost-effectiveness of any future products to the satisfaction of physicians and other target customers and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collaborators, cannot be sure that coverage will be available for our approved product or any other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885"/>
                <wp:effectExtent l="0" t="0" r="0" b="0"/>
                <wp:wrapNone/>
                <wp:docPr id="122" name="Frame1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demand for our approved product or other product candidates if we obtain regulatory approval;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set a price that we believe is fair for our approved product and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generate revenues and achieve or maintain profitability;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level of taxes that we are required to pay;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availability of capital.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reduction in reimbursement from Medicare or other government programs may result in a similar reduction in payments from private payors, which may adversely affect our future profitability. A possible challenge for our approved product and other product candidates arises from the fact that they may potentially be used in an inpatient setting. Inpatient reimbursement generally relies on stringent packaging rules that may mean that there is no separate payment for our approved product or other product candidates. Additionally, data used to set the payment rates for inpatient admissions is usually several years old and would not take into account all of the additional therapy costs associated with the administration of our other product candidates. If special rules are not created for reimbursement for immunotherapy treatments such as our approved product or other product candidates, hospitals might not receive enough reimbursement to cover their costs of treatment, which will have a negative effect on their adoption of our approved product or other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codes used by providers to bill for our approved product could also affect reimbursement. J-codes are codes maintained by the CMS, which are a component of the HCPCS and are typically used to report injectable drugs that ordinarily cannot be self-administered. In October 2024, we were assigned a J-code for ANKTIVA, which became effective in January 2025. To date, we do not have a specific J-code for any of our other product candidates. We cannot guarantee that a J-code will be granted for any of our other product candidates, if approved. To the extent separate coverage or reimbursement is available for our product candidates, if approved, and a specific J-code is not available, physicians would need to use a non-specific miscellaneous J-code to bill third-party payors for these 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create delays in claims processing times as well as increasing the likelihood for claim denials and claim errors and as a result, we may experience slower than expected commercial sales for such product candidates if approved and until a J-code is assigned.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face difficulties from changes to current regulations and future legislation.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 number of legislative and regulatory changes and proposed changes regarding the healthcare system that could prevent or delay marketing approval of our approved product or other product candidates, restrict or regulate post-approval activities, and affect our ability, or the ability of our collaborators, to profitably sell any products for which we obtain marketing approval. We expect that current laws, as well as other federal and state healthcare reform measures that may be adopted in the future, may result in more rigorous coverage criteria, increased regulatory burdens and operating costs, decreased revenues from our biopharmaceutical product candidates, decreased potential returns from our development efforts, and additional downward pressure on the price that we, or our collaborators, may receive for any approved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enactment of the ACA in 2010, in both the U.S. and certain foreign jurisdictions, there have been a number of legislative and regulatory changes to the health care system that could impact our ability to sell our approved product or other product candidates profitably. These changes included aggregate reductions of Medicare payments to providers of up to 2% per fiscal year, effective April 1, 2013, which, due to subsequent legislative amendments, will stay in effect through 2032, with the exception of a temporary suspension implemented under various COVID</w:t>
        <w:noBreakHyphen/>
        <w:t>19 relief legislation. In January 2013, the American Taxpayer Relief Act of 2012 was approved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approved product or other product candidates, if approved, and accordingly, our financial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2885"/>
                <wp:effectExtent l="0" t="0" r="0" b="0"/>
                <wp:wrapNone/>
                <wp:docPr id="123" name="Frame1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its enactment, various portions of the ACA have been subject to judicial and constitutional challenges.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future litigation or healthcare measures will impact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approved product or other product candidates.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approved product or other product candidates, if any, may be. In addition, increased scrutiny by Congress of the FDA’s approval process may significantly delay or prevent marketing approval, as well as subject us to more stringent product labeling and post-marketing testing and other requirements. Recently, the United States Supreme Court overruled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there have been increasing legislative efforts and enforcement interest in the U.S. with respect to drug pricing practices, including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As discussed above,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have initiated lawsuits against the federal government asserting that the price negotiation provisions of the IRA are unconstitutional. The impact of these judicial challenges, future litigation in view of the Supreme Court’s overturn of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decision, legislative, executive, and administrative actions and any future healthcare measures and agency rules implemented by the government on us and the 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 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2885"/>
                <wp:effectExtent l="0" t="0" r="0" b="0"/>
                <wp:wrapNone/>
                <wp:docPr id="124" name="Frame1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Governments outside the U.S. tend to impose strict price controls, which may adversely affect our revenues, if 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noBreakHyphen/>
        <w: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or other product candidates is unavailable or limited in scope or amount, or if pricing is set at unsatisfactory levels, our business could be harmed, possibly materially.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partners, principal investigators, CROs, CMOs, suppliers and vendors may engage in misconduct or other improper activities, including non-compliance with regulatory standards and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illegal activity by our employees, independent contractors, consultants, commercial partners, principal investigators, CROs, CMOs, suppliers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 In particular, the promotion, sales and marketing of healthcare items and services, as well as certain business arrangements in the healthcare industry, are subject to extensive laws and regulations designed to prevent fraud, kickbacks, self</w:t>
        <w:noBreakHyphen/>
        <w:t>dealing and other abusive practices. These laws and regulations may restrict or prohibit a wide range of pricing, discounting, marketing and promotion, structuring and commission(s), certain customer incentive programs and other business arrangements. Activities subject to these laws also involve the improper use of information obtained in the course of patient recruitment for clinical trials, which could result in regulatory sanctions and serious harm to our reputation.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not always possible to identify and deter misconduct or other improper activities by our employees or third parties that we engage for our business operations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fines or other sanctions, including exclusion from government healthcare programs, and serious harm to our reputation. In addition, the approval and commercialization of any of our product candidates outside the U.S. will also likely subject us to foreign equivalents of the healthcare laws mentioned above, among other foreign laws. Efforts to ensure that our business arrangements will comply with applicable healthcare laws may involve substantial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relationships with health care professionals, institutional providers, principal investigators, consultants, potential customers and third-party payors are, and will continue to be, subject, directly and indirectly, to federal and state health care fraud and abuse, false claims, marketing expenditure tracking and disclosure, government price reporting, and privacy and security laws. If we are unable to comply, or have not fully complied, with such laws, we could face significant penalties and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and activities may be directly or indirectly subject to various federal and state fraud and abuse laws, including, without limitation, the federal Anti-Kickback Statute and the federal FCA.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22885"/>
                <wp:effectExtent l="0" t="0" r="0" b="0"/>
                <wp:wrapNone/>
                <wp:docPr id="125" name="Frame1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In addition, we may be subject to laws of the federal government and state governments in which we conduct our business relating to privacy and security with respect to patient or health data. The laws that may affect our ability to operate include, but are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U.S. federal Anti-Kickback Statute, which prohibits, among other things, persons and entities from soliciting, receiving or providing remuneration, directly or indirectly, to induce either the referral of an individual for a healthcare item or service, or the purchasing or ordering of an item or service, for which payment may be made under a federal healthcare program such as Medicare or Medicaid;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U.S. federal false claims and civil monetary penalties laws, including the federal civil FCA, which prohibit, among other things, individuals or entities from knowingly presenting or causing to be presented, claims for payment by government funded programs such as Medicare or Medicaid that are false or fraudulent, and which may apply to us by virtue of statements and representations made to customers or third parties;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HIPAA, which created additional federal criminal statutes that prohibit, among other things, knowingly and willfully executing or attempting to execute a scheme to defraud healthcare programs, as well 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HIPAA, as amended by HITECH, which imposes requirements on certain types of people and entities relating to the privacy, security, and transmission of PHI, and requires notification to affected individuals and regulatory authorities of certain breaches of the privacy or security of PHI, and other U.S. laws and foreign laws that govern the privacy or security of health or patient data;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certain manufacturers of drugs, devices, biologics and medical supplies for which payment is available under Medicare, Medicaid, or the Children’s Health Insurance Program, to report annually to the CMS information related to payments and other transfers of value to covered recipients, including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 which is published in a searchable form on an annual basis;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healthcare benefit program or making, or causing to be made, false statements relating to healthcare matters;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FCPA, the U.K. Bribery Act of 2010, and other local anti-corruption laws that apply to our international activities;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state laws comparable to each of the above federal laws, such as, for example, anti-kickback and false claims laws that may be broader in scope and also apply to commercial insurers and other non-federal payors, requirements for mandatory corporate regulatory compliance programs, and laws relating to patient or health data, privacy or security. Other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incur increased costs of compliance with such laws and regulations as they continue to evolve. If we or our contractors are unable to comply, or have not fully complied, with such laws, we could face penalties, including, without limitation, civil, criminal, and administrative penalties, damages, monetary fines, disgorgement, possible exclusion from participation in Medicare, Medicaid and other federal and state health care programs, contractual damages, reputational harm, diminished profits and future earnings, and curtailment or restructuring of our operations. Any of these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22885"/>
                <wp:effectExtent l="0" t="0" r="0" b="0"/>
                <wp:wrapNone/>
                <wp:docPr id="126" name="Frame1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grow our business and expand our sales organization or rely on distributors outside of the U.S.,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Personnel changes, disruptions at the FDA, the SEC and other government agencies caused by layoffs, agency reorganizations, funding cuts or shortages could hinder their ability to hire and retain key leadership and other personnel, prevent new products from being developed or commercialized in a timely manner, or otherwise prevent those agencies from performing normal business functions, which could negatively impact our business and the approval of our future BLA submissions, as well as adversely affect the U.S. and global economy and our liquidity, financial condition and earnings.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and related government shutdowns,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Changes in the leadership of the FDA and other federal agencies may also lead to new policies and changes in the regulations and operations of the FDA, including resignations, mass layoffs, Agency reorganization, and measures implemented by the Department of Government Efficiency, any of which may impact our clinical development plans.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and other agencies, including disruptions due to public health concerns, resurgence of COVID-19 cases, travel restrictions, or staffing shortages,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in some instances have had to furlough critical FDA, SEC and other government employees and stop critical activities. If a prolonged government shutdown occurs in the future, including as a result of any failure by the U.S. federal government to increase the debt ceiling,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 financial condition and results of operations and/or our BLA submissions. </w:t>
      </w:r>
    </w:p>
    <w:p>
      <w:pPr>
        <w:pStyle w:val="TextBody"/>
        <w:bidi w:val="0"/>
        <w:spacing w:lineRule="auto" w:line="288" w:before="360" w:after="283"/>
        <w:jc w:val="left"/>
        <w:rPr>
          <w:rFonts w:ascii="Times New Roman;serif" w:hAnsi="Times New Roman;serif"/>
          <w:b/>
          <w:color w:val="000000"/>
          <w:sz w:val="20"/>
        </w:rPr>
      </w:pPr>
      <w:bookmarkStart w:id="17" w:name="i3bdb262bfe7a4b1abf2baedb35b201e6_368042"/>
      <w:bookmarkEnd w:id="17"/>
      <w:r>
        <w:rPr>
          <w:rFonts w:ascii="Times New Roman;serif" w:hAnsi="Times New Roman;serif"/>
          <w:b/>
          <w:color w:val="000000"/>
          <w:sz w:val="20"/>
        </w:rPr>
        <w:t>Risks Related to Intellectual Property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unable to obtain, maintain, protect and enforce patent protection and other proprietary rights for our approved product, other product candidates, and other technologies in development, we may not be able to compete effectively or operate profitably, and our ability to prevent our competitors from commercializing similar or identical technology would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is dependent in large part on our obtaining, maintaining, protecting and enforcing patents and other proprietary rights in the U.S. and other countries with respect to our approved product and other product candidates and technology and on our ability to avoid infringing the intellectual property and other proprietary rights of others. Certain of our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and pharmaceutical companies can be highly uncertain and involve complex legal and factual questions for which important legal principles remain unresolved and has been the subject of much litigation in recent years. No consistent policy regarding the breadth of claims allowed in biotechnology patents has emerged to date. As a result, the issuance, scope, validity, enforceability, or commercial value of our patent rights remain highly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22885"/>
                <wp:effectExtent l="0" t="0" r="0" b="0"/>
                <wp:wrapNone/>
                <wp:docPr id="127" name="Frame1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future patents we obtain may not be sufficiently broad to prevent others from using our technology or from developing competing therapeutics and technology. There is no guarantee that any of our pending patent applications will result in issued or granted patents, any of our issued or granted patents will not later be found to be invalid or unenforceable, or any issued or granted patents will include claims sufficiently broad to cover our product candidates and technology, or to provide meaningful protection from our competitors. Our owned or in-licensed pending and future patent applications may not result in patents being issued that protect our ANKTIVA and hAd5 constructs, cell-based therapies or other product candidates and technologies that effectively prevent others from commercializing competitive technologies and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ANKTIVA and hAd5 constructs, cell-based therapies or other product candidates and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issuance of a patent is not conclusive as to its inventorship, scope, validity or enforceability and it is uncertain how much protection, if any, will be provided by our patents, including if they are challenged in the courts or patent offices or in other proceedings, such as re-examinations or oppositions, which may be brought in the U.S.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it is possible that competitors may infringe our patents or successfully avoid the patented technology through design innovation. To counter infringement or other unauthorized use, we may be required to file infringement claims, which can be expensive and time consuming, even if we were successful in stopping the violation of our patent rights.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or our licensors may be subject to a third-party preissuance submission of prior art to the USPTO, or become involved in opposition, derivation, revocation, reexamination, post-grant and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or interference proceedings or other similar proceedings challenging our owned or licensed patent rights. Should third parties file patent applications, or be issued patents claiming technology also used or claimed by our licensor(s) or by us in any future patent application, we, or one of our licensors,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also be required to participate in post-grant challenge proceedings, such as oppositions in a foreign patent office, which challenge our or our licensor’s priority of invention or other features of patentability with respect to our owned or in</w:t>
        <w:noBreakHyphen/>
        <w:t>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patent protection of our ANKTIVA and hAd5 constructs, cell-based therapies or other product candidates and technologies. An adverse determination in any of the type of submissions described above, proceeding or litigation could reduce the scope of, or invalidate or render unenforceable, our owned or in</w:t>
        <w:noBreakHyphen/>
        <w:t>licensed patent rights, allow third parties to commercialize our ANKTIVA and hAd5 constructs, cell-based therapies or other product candidates or technologies and compete directly with us, without payment to us, or result in our inability to manufacture or commercialize products without infringing third-party patent rights.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are unsuccessful in any such proceeding or other priority or inventorship dispute, we may be required to cease using the technology or to obtain and maintain license rights from prevailing third parties, including parties involved in any such interference proceedings or other priority or inventorship disputes.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2885"/>
                <wp:effectExtent l="0" t="0" r="0" b="0"/>
                <wp:wrapNone/>
                <wp:docPr id="128" name="Frame1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growth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any of our owned or in-licensed patent applications do not issue as patents in any jurisdiction, we may not be able to compete effectively.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 The patent prosecution process is expensive, time-consuming, and complex, and we may not be able to file, prosecute, maintain, enforce, or license all necessary or desirable patent applications at a reasonable cost or in a timely manner. Additionally, recent reforms and changes at government agencies of the U.S.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whether we or our licensors were the first to make the inventions claimed in any of our owned or licensed patents or pending patent applications, or that we or our licensors were the first to file for patent protection of such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22885"/>
                <wp:effectExtent l="0" t="0" r="0" b="0"/>
                <wp:wrapNone/>
                <wp:docPr id="129" name="Frame1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U.S. or abroad, even outside the context of litigation. Such mechanisms include re-examination, post 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validity question, for example, we cannot be certain that there is no invalidating prior art, of which we, our licensor, our or our licensor’s patent counsel and the patent examiner were unaware during prosecution. Moreover, even if our patents were to survive such a litigation challenge to their validity, the patents might still be held to be valid but unenforceable if a court were to decide that the patents are being enforced in a manner inconsistent with the antitrust laws, or that the patents were obtained through deceit during patent office examination or other such failure of sufficient candor to the patent office.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 to us of any litigation or other proceeding relating to intellectual property rights, even if resolved in our favor, could be substantial. Defense of these claims, regardless of their merit, would involve substantial litigation expense and would be a substantial diversion of employee resources, including our scientists and management, from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adverse result in any litigation or defense proceeding could put one or more of our owned or licensed patents at risk of being invalidated, held unenforceable, or interpreted narrowly, and could put our patent applications at risk of not being issued. Such proceedings could result in revocation or cancellation of, or amendment to, our patents in such a way that they no longer cover our product candidates or technologies. If the outcome of litigation is adverse to us, third parties may be able to use our patented invention without payment to us. In addition, in an infringement proceeding, there is a risk that a court may decide that one or more of our patents is not valid or is unenforceable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better able to sustain the costs of such litigation or proceedings more effectively than we can because of their greater financial resources and more mature and developed intellectual property portfolios. The outcome following legal assertions of invalidity and unenforceability is unpredictable. Uncertainties resulting from the initiation and continuation of patent litigation or other proceedings could have a material adverse effect on our ability to compete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22885"/>
                <wp:effectExtent l="0" t="0" r="0" b="0"/>
                <wp:wrapNone/>
                <wp:docPr id="130" name="Frame1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use of our technology and product or our other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product candidates and technologies.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approved product or other product candidates, pay licensing fees or cease our development and commercialization activities with respect to the applicable approved product or product candidates or technologies. If our approved product or other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conducted FTO analyses of the patent landscape with respect to our approved product or other product candidates and continue to undertake FTO analyses of our manufacturing processes, no FTO analysis can be considered exhaustive because patent applications do not publish for 18 months and the claims of patent applications can change over time. We may not be aware of patents that have already been issued and that a competitor or other third party might assert are infringed by our approved product or other product candidates or technologies. It is also possible that we could be found to have infringed patents owned by third parties of which we are aware, but which we do not believe are relevant to our approved product or other product candidates or technologies. In addition, because patent applications can take many years to issue, there may be currently pending patent applications that may later result in issued patents that our approved product or other product candidates or technologies may infringe. Furthermore, patent and other intellectual property rights in biotechnology remains an evolving area with many risks and uncertainties. As such, we may not be able to ensure that we can market our approved product or other product candidates without conflict with the rights of others.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approved product and other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is the case with other immunotherapy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America Invents Act enacted in September 2011, the U.S. transitioned to a first-to-file system in which, assuming that other requirements for patentability are met, the first inventor to file a patent application will be entitled to the patent on an invention regardless of whether a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2885"/>
                <wp:effectExtent l="0" t="0" r="0" b="0"/>
                <wp:wrapNone/>
                <wp:docPr id="131" name="Frame1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 the first to invent the claimed invention. A third party that files a patent application in the USPTO after March 2013, but before us could therefore be awarded a patent covering an invention of ours even if we had made the invention before such third party made it. This will require us to be cognizant of the time from invention to filing of a patent application. Since patent applications in the U.S. and most other countries are confidential for a period of time after filing or until issuance, we cannot be certain that we or our licensors were the first to either file any patent application related to our product candidates or other technologies or invent any of the inventions claimed in our or our licensor’s patents or patent applications.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Additionally, United States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For example, the United States Supreme Court held in </w:t>
      </w:r>
      <w:r>
        <w:rPr>
          <w:rFonts w:ascii="Times New Roman;serif" w:hAnsi="Times New Roman;serif"/>
          <w:b w:val="false"/>
          <w:i/>
          <w:color w:val="000000"/>
          <w:sz w:val="20"/>
        </w:rPr>
        <w:t>Amgen v. Sanofi (2023)</w:t>
      </w:r>
      <w:r>
        <w:rPr>
          <w:color w:val="000000"/>
        </w:rPr>
        <w:t xml:space="preserve"> </w:t>
      </w:r>
      <w:r>
        <w:rPr>
          <w:rFonts w:ascii="Times New Roman;serif" w:hAnsi="Times New Roman;serif"/>
          <w:b w:val="false"/>
          <w:color w:val="000000"/>
          <w:sz w:val="20"/>
        </w:rPr>
        <w:t>that a functionally claimed genus was invalid for failing to comply with the enablement requirement of the Patent Act. While we do not believe that any of the patents owned or licensed by us will be found invalid based on the foregoing, we cannot predict how future decisions by Congress, the federal courts or the USPTO may impact the value of our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rights to develop and commercialize our product candidates and technologies are subject, in part, to the terms and conditions of licenses granted to us by others.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License agreements may not provide exclusive rights to use certain licensed intellectual property and technology in all relevant fields of use and in all territories in which we may wish to commercialize our technology and product candidates in the future. As a result, we may not be able to prevent competitors or other third parties from developing and commercializing competitive products that also utilize technology that we have in-licensed.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subject to the terms of any such license agreements, we may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22885"/>
                <wp:effectExtent l="0" t="0" r="0" b="0"/>
                <wp:wrapNone/>
                <wp:docPr id="132" name="Frame1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licensed may be reduced or eliminated, our right to develop and commercialize our approved product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our owned and in-licensed patents may be subject to a reservation of rights by one or more third parties. For example, certain of our in-licensed intellectual property was funded in part by the U.S. government. As a result, the U.S. government may have certain rights to such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in certain circumstances if this requirement is not waived. Any exercise by the U.S. government of such rights or by any third party of its reserved rights could have a material adverse effect on our competitive position, business, financial condition, results of operations and growth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our obligations in the agreements under which we license intellectual property rights from third parties or otherwise experience disruptions to our business relationships with our licensors, we may be required to pay damages and we could lose license rights that are important to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license agreements with third parties and may need to obtain additional licenses from others to advance our research or allow commercialization of our product candidates. We may be unable to obtain certain additional licenses at a reasonable cost or on reasonable terms, if at all.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commercialization of our approved product or the development and commercialization of certain of our other product candidates. Any of the foregoing could have a material adverse effect on our competitive position, business, financial conditions, results of operations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22885"/>
                <wp:effectExtent l="0" t="0" r="0" b="0"/>
                <wp:wrapNone/>
                <wp:docPr id="133" name="Frame1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disputes may arise regarding intellectual property subject to a licensing agreement,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sublicensing of patent and other rights under our collaborative development relationships;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growth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limited foreign intellectual property rights and may not be able to protect our intellectual property rights in various jurisdictions throughout the world.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limited intellectual property rights outside the U.S. Filing, prosecuting and defending patents on our approved product and other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 or our other product candidates and our patents or other intellectual property rights may not be effective or sufficient to prevent them from competing.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22885"/>
                <wp:effectExtent l="0" t="0" r="0" b="0"/>
                <wp:wrapNone/>
                <wp:docPr id="134" name="Frame1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U.S. and other countries that Russia has deemed unfriendly without consent or compensation. Consequently, we would not be able to prevent third parties from practicing our inventions in Russia or from selling or importing products made using our inventions in and into Russia. In another example, in April of 2025, the Brazilian government enacted a law allowing for the suspension of obligations related to foreign entity’s intellectual property rights in response to actions by foreign countries, including the U.S. Also,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U.S. Accordingly, our competitive position may be impaired, and our business, financial condition, results of operations and prospects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license or acquire new or necessary intellectual property rights or technology from third parties.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element of our intellectual property strategy is to license intellectual property rights and technologies from third parties and/or our affiliates. Other parties, including our competitors or our affiliates, may have patents relevant to our business, may have already filed patent applications relevant to our business, and are likely filing patent applications potentially relevant to our business. In order to avoid infringing these patents, we may find it necessary or prudent to obtain licenses to such patents from such parties. In addition, with respect to any patents we co-own with other parties, including our affiliates, we may require licenses to such co-owners’ interest to such patents. The licensing or acquisition of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 assurance can be given that we will be successful in licensing any additional rights or technologies from third parties and/or our affiliates. Our inability to license the rights and technologies that we have identified, or that we may in the future identify,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2885"/>
                <wp:effectExtent l="0" t="0" r="0" b="0"/>
                <wp:wrapNone/>
                <wp:docPr id="135" name="Frame1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and data exclusivity for our approved product or any other product candidates we may develop, our business may be materially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any FDA marketing approval of any product candidates we may develop, including our approved product,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per new drug,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challenging rights in our patents and other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be subject to claims that former employees, collaborators or other third parties have an interest in our owned or in-licensed patents, trade secrets, or other intellectual property, including as an inventor or co-inventor. For example, we or our licensors may have disputes arising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ANKTIVA, hAd5 technologies and constructs, cell therapies, and other product candidates and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will over time be disseminated within the industry through independent development, the publication of journal articles describing the methodology, and the movement of personnel from academic to industry scientific positions.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2885"/>
                <wp:effectExtent l="0" t="0" r="0" b="0"/>
                <wp:wrapNone/>
                <wp:docPr id="136" name="Frame1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others may be able to make products that are similar to our approved product or other product candidates or utilize similar technology but that are not covered by the claims of the patents that we license or may own;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our current or future licensors or collaborators, might not have been the first to make the inventions covered by the issued patent or pending patent application that we license or own now or in the future;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our current or future licensors or collaborators, might not have been the first to file patent applications covering certain of our or their inventions;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on our owned or licensed intellectual property rights;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it is possible that our current or future pending owned or licensed patent applications will not lead to issued patents;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issued patents that we hold rights to may be held invalid or unenforceable, including as a result of legal challenges by our competitors or other third parties;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patents of others may harm our business;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2885"/>
                <wp:effectExtent l="0" t="0" r="0" b="0"/>
                <wp:wrapNone/>
                <wp:docPr id="137" name="Frame1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Dr. Soon-Shiong, our Founder, Executive Chairman, Global Chief Scientific and Medical Officer and principal stockholder, has significant interests in other companies which may conflict with our interests.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Founder, Executive Chairman and Global Chief Scientific and Medical Officer, Dr. Soon-Shiong, is also the founder of NantWorks. The various NantWorks companies are currently exploring opportunities in the immunotherapy, oncology, infectious disease, and inflammatory disease fields. In particular, we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 that is at least proportional to the cost that we will incur in commercializing the product candidate.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shared services agreements with NantWorks, pursuant to which the respective parties and their affiliates provide corporate, general and administrative and other support services to each other.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new employees and/or new service providers lack of familiarity with business processes, operating requirements, policies and procedures, and we may incur additional costs as new employees and/or service providers gain necessary experience. In addition, the loss of the services of NantWorks might significantly delay or prevent the commercialization of our approved product or the development of our other product candidates or achievement of other business objectives by diverting management’s attention to transition matters and identification of suitable replacements, if any, and could have a material adverse effect on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 Soon-Shiong, through his voting control of the company, has the ability to control actions that require stockholder approval.</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Dr. Soon-Shiong, through his direct and indirect ownership of the company’s common stock, has voting control of the company. As of December 31, 2025, Dr. Soon-Shiong and his affiliates owned approximately 64.2% of our common stock outstanding. Dr. Soon-Shiong and his affiliates also own our outstanding convertible promissory note, certain warrants and stock options to purchase shares of our common stock, and certain CVRs as described under </w:t>
      </w:r>
      <w:hyperlink w:anchor="i3bdb262bfe7a4b1abf2baedb35b201e6_368037">
        <w:r>
          <w:rPr>
            <w:rStyle w:val="InternetLink"/>
            <w:color w:val="0000FF"/>
            <w:u w:val="single"/>
          </w:rPr>
          <w:t>“—</w:t>
        </w:r>
      </w:hyperlink>
      <w:hyperlink w:anchor="i3bdb262bfe7a4b1abf2baedb35b201e6_368037">
        <w:r>
          <w:rPr>
            <w:rStyle w:val="InternetLink"/>
            <w:rFonts w:ascii="Times New Roman;serif" w:hAnsi="Times New Roman;serif"/>
            <w:b w:val="false"/>
            <w:i/>
            <w:color w:val="0000FF"/>
            <w:sz w:val="20"/>
            <w:u w:val="single"/>
          </w:rPr>
          <w:t>Conversion of our related-party promissory note,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hyperlink>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 Soon-Shiong is in a position to control the outcome of corporate actions that require, or may be accomplished by, stockholder approval, including amending the Certificate of Incorporation and Bylaws of the company, the election or removal of directors and transactions involving a change of control. Dr. Soon-Shiong’s controlling ownership could limit the ability of the remaining stockholders of the company to influence corporate matters, and the interests of Dr. Soon-Shiong may not coincide with the company’s interests or the interests of its remaining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22885"/>
                <wp:effectExtent l="0" t="0" r="0" b="0"/>
                <wp:wrapNone/>
                <wp:docPr id="138" name="Frame1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Nominating Agreement between us and Cambridge, an entity that Dr. Soon-Shiong controls, Cambridge has the ability to designate one director to be nominated for election to the Board of Directors for as long as Cambridge continues to hold at least 20% of the issued and outstanding shares of our common stock. Dr. Soon-Shiong was selected by Cambridge to hold this board seat. Dr. Soon-Shiong and his affiliates will therefore have significant influence over management and significant control over matters requiring stockholder approval, including the annual election of directors and significant corporate transactions, such as a merger or other sale of our company or its assets, for the foreseeable future. This control will limit stockholders’ ability to influence corporate matters and, as a result, we may take actions that our stockholders do not view as beneficial. As a result, the market price of our common stock could be adversely affected.</w:t>
      </w:r>
    </w:p>
    <w:p>
      <w:pPr>
        <w:pStyle w:val="TextBody"/>
        <w:bidi w:val="0"/>
        <w:spacing w:lineRule="auto" w:line="288" w:before="240" w:after="283"/>
        <w:jc w:val="left"/>
        <w:rPr>
          <w:rFonts w:ascii="Times New Roman;serif" w:hAnsi="Times New Roman;serif"/>
          <w:b/>
          <w:i/>
          <w:color w:val="000000"/>
          <w:sz w:val="20"/>
        </w:rPr>
      </w:pPr>
      <w:bookmarkStart w:id="18" w:name="i3bdb262bfe7a4b1abf2baedb35b201e6_368037"/>
      <w:bookmarkEnd w:id="18"/>
      <w:r>
        <w:rPr>
          <w:rFonts w:ascii="Times New Roman;serif" w:hAnsi="Times New Roman;serif"/>
          <w:b/>
          <w:i/>
          <w:color w:val="000000"/>
          <w:sz w:val="20"/>
        </w:rPr>
        <w:t>Conversion of our related-party promissory note,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pStyle w:val="TextBody"/>
        <w:bidi w:val="0"/>
        <w:spacing w:lineRule="auto" w:line="288" w:before="120" w:after="283"/>
        <w:ind w:left="0" w:right="0" w:firstLine="720"/>
        <w:jc w:val="left"/>
        <w:rPr/>
      </w:pPr>
      <w:r>
        <w:rPr>
          <w:rFonts w:ascii="Times New Roman;serif" w:hAnsi="Times New Roman;serif"/>
          <w:b w:val="false"/>
          <w:color w:val="000000"/>
          <w:sz w:val="20"/>
        </w:rPr>
        <w:t>As of December 31, 2025, our indebtedness was comprised of a $505.0 million December 2024 Promissory Note held by an entity affiliated with Dr. Soon-Shiong that is convertible into shares of our common stock under certain circumstances. The December 2024 Promissory Note bears interest at Term SOFR plus 8.0% per annum, which provides that the noteholder has the option to convert all (but not less than all) of the outstanding principal amount and accrued but unpaid interest into shares of the company’s common stock at a conversion price of $5.4270 per share (subject to appropriate adjustment from time to time for any stock dividend, stock split, combination of shares, reorganization, recapitalization, reclassification or other similar event). In January 2026, we entered into a letter amendment that now permits the note holder to convert any portion of the outstanding principal amount of the $505.0 million December 2024 Promissory Note into fully paid and nonassessable shares of the company’s common stock at any time prior to the maturity date. See Part II, Item 7. “</w:t>
      </w:r>
      <w:r>
        <w:rPr>
          <w:rFonts w:ascii="Times New Roman;serif" w:hAnsi="Times New Roman;serif"/>
          <w:b w:val="false"/>
          <w:i/>
          <w:color w:val="000000"/>
          <w:sz w:val="20"/>
        </w:rPr>
        <w:t>Management’s Discussion and Analysis of Financial Condition and Results of Operations—</w:t>
      </w:r>
      <w:hyperlink w:anchor="i49f82bc2aa33405eae1e0b45f37d1ae6_160">
        <w:r>
          <w:rPr>
            <w:rStyle w:val="InternetLink"/>
            <w:rFonts w:ascii="Times New Roman;serif" w:hAnsi="Times New Roman;serif"/>
            <w:b w:val="false"/>
            <w:i/>
            <w:color w:val="0000FF"/>
            <w:sz w:val="20"/>
            <w:u w:val="single"/>
          </w:rPr>
          <w:t>Subsequent Events</w:t>
        </w:r>
      </w:hyperlink>
      <w:r>
        <w:rPr>
          <w:color w:val="000000"/>
        </w:rPr>
        <w:t xml:space="preserve">” </w:t>
      </w:r>
      <w:r>
        <w:rPr>
          <w:rFonts w:ascii="Times New Roman;serif" w:hAnsi="Times New Roman;serif"/>
          <w:b w:val="false"/>
          <w:color w:val="000000"/>
          <w:sz w:val="20"/>
        </w:rPr>
        <w:t>for more information regarding the letter amendment.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of December 31, 2025, we had outstanding warrants, stock options and unvested RSU awards covering the issuance of up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65,053,571 shares of our common stock subject to warrants with exercise prices ranging from $3.1010 to $3.2946 per share, which are currently exercisable with expiration dates ranging from of July 24, 2026 to July 28, 2030 (these warrants were issued to certain institutional investors);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any shares of our common stock that may be issued upon the exercise of the $5.0 million option held by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5,783,187 shares of our common stock subject to stock options and RSU awards issued to Dr. Soon-Shiong that are outstanding as of December 31, 2025, of which 1,123,929 shares are subject to stock options that are vested and exercisable and 4,659,258 are subject to stock option and RSU awards that are unvested and, with respect to stock options, unexercisable;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1,638,000 shares of our common stock at an exercise price of $3.24 per share exercisable from the 30th day following the achievement of a performance-based vesting condition pertaining to building manufacturing capacity to support supply requirements for ANKTIVA (which has not yet been satisfied) with an expiration date on the tenth anniversary of such initial exercise date (this warrant was issued to an affiliate of Dr. Soon-Shiong).</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of December 31, 2025, we had an aggregate of approximately $300.6 million CVRs outstanding that were issued to the former stockholders of Altor, including Dr. Soon-Shiong and certain affiliates, which such stockholders may choose to receive either in cash or shares of our common stock based upon an average of closing prices on a 20-trading day trailing period, upon the first calendar year prior to December 31, 2026 in which worldwide net sales of ANKTIVA exceed $1.0 billion. ANKTIVA with BCG for the treatment of adult patients with BCG-unresponsive NMIBC CIS with or without papillary tumors was approved for commercial sale in April 2024, but there can be no assurance that such sales milestone will be achieved. Dr. Soon-Shiong and his related party hold approximately $139.8 million of such CVRs, and have irrevocably agreed to receive shares of the company’s common stock in satisfaction of their CVRs.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22885"/>
                <wp:effectExtent l="0" t="0" r="0" b="0"/>
                <wp:wrapNone/>
                <wp:docPr id="139" name="Frame1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The conversion or exchange of some or all of our outstanding promissory note into shares of our common stock, the exercise of any of our outstanding warrants and </w:t>
      </w:r>
      <w:r>
        <w:rPr>
          <w:rFonts w:ascii="Times New Roman;serif" w:hAnsi="Times New Roman;serif"/>
          <w:b w:val="false"/>
          <w:color w:val="000000"/>
          <w:sz w:val="20"/>
        </w:rPr>
        <w:t xml:space="preserve">stock options, </w:t>
      </w:r>
      <w:r>
        <w:rPr>
          <w:rFonts w:ascii="Times New Roman;serif" w:hAnsi="Times New Roman;serif"/>
          <w:b w:val="false"/>
          <w:color w:val="000000"/>
          <w:sz w:val="20"/>
          <w:shd w:fill="FFFFFF" w:val="clear"/>
        </w:rPr>
        <w:t xml:space="preserve">and the decision of the holders of our CVRs to receive shares of our common stock could dilute the ownership interests of existing stockholders. Any sales in the public market of our outstanding promissory note or warrants, or our common stock issuable upon conversion of our outstanding promissory note or exercise of the warrants or options, could adversely affect prevailing market prices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and investors may have difficulty selling their shares.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successfully commercialize our approved product or our failure to advance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commencement, enrollment or results of the planned clinical trials of our non-FDA-approved product candidates or any future clinical trials we may conduct, or changes in the development status of such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any delay in our regulatory submissions for our approved product or our product candidates and any adverse development or perceived adverse development with respect to the applicable regulatory authority’s review of such submissions, including without limitation the FDA’s issuance of a CRL or an RTF letter or a request for additional information;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adverse results or delays in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adverse regulatory decisions, including failure to receive regulatory approval of our approved product in new markets or of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laws or regulations applicable to our approved product or other product candidates, including but not limited to clinical trial requirements for approvals;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unanticipated serious safety concerns related to the use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announcements by us or our competitors of significant contracts, acquisitions, strategic partnerships, joint ventures or capital commitments;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variations in our quarterly operating results, including those driven by liability accounting associated with embedded derivatives and fair value measurement;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liquidity position, RIPA liability covenants and the amount and nature of any debt we may incur;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announcements that our revenue or income are below or that costs or losses are greater than analysts’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22885"/>
                <wp:effectExtent l="0" t="0" r="0" b="0"/>
                <wp:wrapNone/>
                <wp:docPr id="140" name="Frame1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sales of large blocks of our common stock;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fluctuations in stock market prices and volumes;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perception of our clinical trial results by retail investors, which investors may be subject to the influence of information provided by third-party investor websites and independent authors distributing information on the internet;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general economic slowdowns;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government-imposed lockdowns, supply chain disruptions, and adverse economic effects from a potential pandemic, epidemic, or outbreak of an infectious disease, in the U.S. and abroad;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geopolitical tensions and war, including the war in Ukraine and ongoing conflicts in Gaza and Yemen;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coordinated actions by independent third-party actors to affect the price of certain stocks, coordinated via the internet and otherwise;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other factors described in this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instituted against companies, including ImmunityBio, following periods of volatility in the market price of a company’s securities. This type of litigation could result in substantial costs and a diversion of management’s attention and resources, which would harm our business, operating results, or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been subject to securities class action, shareholder derivative litigation, and other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common stock.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 the future become, subject to various legal proceedings and claims that arise in or outside the ordinary course of business. The results of the shareholder derivative actions and any future legal proceedings cannot be predicted with certainty. Also, our insurance coverage may be insufficient, our assets may be insufficient to cover any amounts that exceed our insurance coverage, and we may have to pay damage awards or otherwise may enter into a settlement arrangement in connection with such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For example, in June 2023, a putative securities class action complaint, captioned </w:t>
      </w:r>
      <w:r>
        <w:rPr>
          <w:rFonts w:ascii="Times New Roman;serif" w:hAnsi="Times New Roman;serif"/>
          <w:b w:val="false"/>
          <w:i/>
          <w:color w:val="000000"/>
          <w:sz w:val="20"/>
        </w:rPr>
        <w:t>Salzman v. ImmunityBio, Inc. et al.</w:t>
      </w:r>
      <w:r>
        <w:rPr>
          <w:rFonts w:ascii="Times New Roman;serif" w:hAnsi="Times New Roman;serif"/>
          <w:b w:val="false"/>
          <w:color w:val="000000"/>
          <w:sz w:val="20"/>
        </w:rPr>
        <w:t xml:space="preserve">, No. 3:23-cv-01216-BEN-WVG, was filed in the United States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original BLA submission in its initial form due to deficiencies related to its pre-license inspection of the company’s third-party CMOs. In June 2025, the court granted final approval of a settlement of this securities class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22885"/>
                <wp:effectExtent l="0" t="0" r="0" b="0"/>
                <wp:wrapNone/>
                <wp:docPr id="141" name="Frame1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From late October 2024 through February 2025, shareholder derivative actions were filed in the United States District Court for the Southern District of California against the members of our Board of Directors and certain officers, captioned </w:t>
      </w:r>
      <w:r>
        <w:rPr>
          <w:rFonts w:ascii="Times New Roman;serif" w:hAnsi="Times New Roman;serif"/>
          <w:b w:val="false"/>
          <w:i/>
          <w:color w:val="000000"/>
          <w:sz w:val="20"/>
        </w:rPr>
        <w:t>Van Luven v. Soon-Shiong et al.</w:t>
      </w:r>
      <w:r>
        <w:rPr>
          <w:rFonts w:ascii="Times New Roman;serif" w:hAnsi="Times New Roman;serif"/>
          <w:b w:val="false"/>
          <w:color w:val="000000"/>
          <w:sz w:val="20"/>
        </w:rPr>
        <w:t xml:space="preserve">, Case No. 3:24-cv-02014-L-AHG, </w:t>
      </w:r>
      <w:r>
        <w:rPr>
          <w:rFonts w:ascii="Times New Roman;serif" w:hAnsi="Times New Roman;serif"/>
          <w:b w:val="false"/>
          <w:i/>
          <w:color w:val="000000"/>
          <w:sz w:val="20"/>
        </w:rPr>
        <w:t>Barbieri v. Soon-Shiong, et al.</w:t>
      </w:r>
      <w:r>
        <w:rPr>
          <w:rFonts w:ascii="Times New Roman;serif" w:hAnsi="Times New Roman;serif"/>
          <w:b w:val="false"/>
          <w:color w:val="000000"/>
          <w:sz w:val="20"/>
        </w:rPr>
        <w:t xml:space="preserve">, Case No. 3:25-cv-00416-AGS-JB, and </w:t>
      </w:r>
      <w:r>
        <w:rPr>
          <w:rFonts w:ascii="Times New Roman;serif" w:hAnsi="Times New Roman;serif"/>
          <w:b w:val="false"/>
          <w:i/>
          <w:color w:val="000000"/>
          <w:sz w:val="20"/>
        </w:rPr>
        <w:t>Shin v. Soon-Shiong, et al</w:t>
      </w:r>
      <w:r>
        <w:rPr>
          <w:rFonts w:ascii="Times New Roman;serif" w:hAnsi="Times New Roman;serif"/>
          <w:b w:val="false"/>
          <w:color w:val="000000"/>
          <w:sz w:val="20"/>
        </w:rPr>
        <w:t xml:space="preserve">., Case No. 3:25-cv-00423-JAH-DDL. These derivative actions involved the same underlying alleged misconduct claimed in the securities class action. In November 2025, the court granted final approval of a settlement of the derivative actions.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a shareholder derivative action was filed in the Delaware Court of Chancery against the company’s Executive Chairman, certain affiliates of the Executive Chairman certain other members of company management, and current and former members of the Board of Directors who served on the Board’s Related Party Transactions Committee, captioned </w:t>
      </w:r>
      <w:r>
        <w:rPr>
          <w:rFonts w:ascii="Times New Roman;serif" w:hAnsi="Times New Roman;serif"/>
          <w:b w:val="false"/>
          <w:i/>
          <w:color w:val="000000"/>
          <w:sz w:val="20"/>
        </w:rPr>
        <w:t>Carlson v. Soon-Shiong, et al</w:t>
      </w:r>
      <w:r>
        <w:rPr>
          <w:rFonts w:ascii="Times New Roman;serif" w:hAnsi="Times New Roman;serif"/>
          <w:b w:val="false"/>
          <w:color w:val="000000"/>
          <w:sz w:val="20"/>
        </w:rPr>
        <w:t xml:space="preserve">., Case No. 2024-1195-VCL, asserting that September 2023 financing transactions between the company and the Executive Chairman were not fair to the company and that the defendants breached their fiduciary duties by entering into these transactions, thereby unjustly enriching the Executive Chairman. On February 4, 2026, this derivative action was dismissed. See Item 3. </w:t>
      </w:r>
      <w:r>
        <w:rPr>
          <w:color w:val="000000"/>
        </w:rPr>
        <w:t>“</w:t>
      </w:r>
      <w:hyperlink w:anchor="i49f82bc2aa33405eae1e0b45f37d1ae6_85">
        <w:r>
          <w:rPr>
            <w:rStyle w:val="InternetLink"/>
            <w:rFonts w:ascii="Times New Roman;serif" w:hAnsi="Times New Roman;serif"/>
            <w:b w:val="false"/>
            <w:i/>
            <w:color w:val="0000FF"/>
            <w:sz w:val="20"/>
            <w:u w:val="single"/>
          </w:rPr>
          <w:t>Legal Proceedings</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sales and issuances of our common stock or rights to purchase common stock, including pursuant to our equity incentive plan, could result in additional dilution of the percentage ownership of our stockholders and could cause our stock price to fall.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conversion or exchange of our convertible promissory note, exercise of our warrants, satisfaction of our CVRs, or the exercise or settlement of our equity incentive awards, the market price of our common stock could decline significantly. In addition, our Founder, Executive Chairman and Global Chief Scientific and Medical Officer, Dr. Soon-Shiong, and his affiliates owned approximately 64.2% of our common stock outstanding as of December 31, 2025. Sales of stock by Dr. Soon-Shiong and his affiliates could have an adverse effect on the trading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2025 Plan, which was approved by our stockholders on June 18, 2025, our Board of Directors or its duly authorized committee is authorized to grant equity awards to our employees, directors, and consultants. Initially, the aggregate number of shares of our common stock that was able to be issued pursuant to equity awards under the 2025 Plan was 46,088,027 shares, plus the number of shares subject to awards granted under the 2015 Plan that expire or otherwise terminate without having been exercised in full or are forfeited to or repurchased by us (provided that the maximum number of shares that could (and can) be added to the 2025 Plan pursuant to awards under the 2015 Plan is 32,359,674 shares). As a result of the 2025 Plan, our stockholders may experience additional dilution.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holders of our common stock are entitled to certain rights with respect to the registration of their shares under the Securities Act, including the shares purchased by affiliates of Oberland in connection with our entry into the RIPA.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expect that additional capital may be needed in the future to continue our planned operations, including our commercialization efforts, conducting clinical trials, regulatory approval efforts, expanded research and development activities, and costs associated with operating as a public company. To raise capital, we may sell common stock, preferred stock, convertible securities, or other equity securities (including warrants) in one or more transactions at prices and in a manner we determine from time to time. If we sell common stock, preferred stock, convertible securities, or other equity securities, existing investors may be materially diluted, and new investors could gain rights, preferences, and privileges senior to the holders of our common stock. The issuance of additional shares of common stock or warrants to purchase common stock, perception that such issuances may occur, or the exercise of outstanding warrants or other equity securities will have a material dilutive impact on existing stockholders and could have a material negative effect on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22885"/>
                <wp:effectExtent l="0" t="0" r="0" b="0"/>
                <wp:wrapNone/>
                <wp:docPr id="142" name="Frame1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and will continue to incur costs as a result of operating as a public company and our management has been and will be required to devote substantial time to compliance initiatives and corporate governance practices, including maintaining an effective system of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listed in the U.S., we have incurred and will continue to incur significant additional legal, accounting, and other expenses as a result of operating as a public company. In addition, changing laws, regulations and standards relating to corporate governance and public disclosure, including Sarbanes-Oxley and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create a larger finance function with additional personnel to comply with evolving laws, regulations and standards, and this investment will result in increased general and administrative expenses and a diversion of management’s time and attention from revenue-generating activities to compliance activities. If, notwithstanding our efforts to comply with new laws, regulations and standards, we fail to comply,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authorities may initiate legal proceedings against us, and our business may be harmed. As of June 30, 2025, we are a large accelerated filer.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in the U.S., we are required, pursuant to Section 404 of Sarbanes-Oxley to furnish a report by management on, among other things, the effectiveness of our internal control over financial reporting, and as a large accelerated filer, we expect that compliance with the auditor attestation requirements of Section 404(b) of the Sarbanes-Oxley Act will substantially increase our compliance costs. The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our controls and procedures may become inadequate because of changes in conditions or the degree of compliance with these policies or procedures may deteriorate and material weaknesses in our internal control over financial reporting may be discovered. 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If we are unable, or are perceived as unable, to produce reliable financial reports due to internal control deficiencies, investors could lose confidence in our reported financial information and operating results, which could result in a negative market reaction.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fully comply with Section 404, we may need to retain additional employees to supplement our current finance staff, and we may not be able to do so in a timely manner, or at all. In addition, in the process of evaluating our internal control over financial reporting, we expect that certain of our internal control practices will need to be updated to comply with the requirements of Section 404 and the regulations promulgated thereunder, and we may not be able to do so on a timely basis, or at all. In the event that we are not able to demonstrate compliance with Section 404 in a timely manner, or are unable to produce timely or accurate financial statements, we may be subject to sanctions or investigations by regulatory authorities, such as the SEC or Nasdaq, and investors may lose confidence in our operating results and the price of our common stock could decline. Furthermore, if we are unable to certify that our internal control over financial reporting is effective and in compliance with Section 404, we may be subject to sanctions or investigations by regulatory authorities, such as the SEC or stock exchanges, and investors could lose confidence in the accuracy and completeness of our financial reports, which could hurt our business, the price of our common stock and our ability to access the capital markets.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as a public company makes it more expensive for us to obtain directors’ and officers’ liability insurance, and we may be required to accept reduced coverage or incur substantially higher costs to obtain coverage. These factors could also make it more difficult for us to attract and retain qualified persons to serve on the Board of Directors, on committees of the Board of Directors, or as members of senior management.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a restatement of our consolidated financial statements were to occur, our stockholders’ confidence in the company’s financial reporting in the future may be affected, which could in turn have a material adverse effect on our business and stock price.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any future material weaknesses in our internal controls or if we are unable to produce accurate and timely financial statements, our stock price may be adversely affected, and we may be unable to maintain compliance with applicable stock exchange listing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22885"/>
                <wp:effectExtent l="0" t="0" r="0" b="0"/>
                <wp:wrapNone/>
                <wp:docPr id="143" name="Frame1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not paid cash dividends in the past and do not expect to pay dividends in the future. Any return on investment may be limited to the value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Founder, Executive Chairman and Global Chief Scientific and Medical Officer, Dr. Soon-Shiong,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of Directors consist of independent directors and (2) the requirement that we have a Nominating and Corporate Governance Committee that is composed entirely of independent directors with a written charter addressing the committee’s purpose and responsibilities. Accordingly, you do not have the same protections afforded to stockholders of companies that are subject to all of the Nasdaq corporate governance requirements. However, our Board of Directors is currently comprised of a majority of independent directors, and we currently have a Nominating and Corporate Governance Committee and the majority of the members of such committee are independent directors.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share price and trading volume could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and the value of our warrants will depend on the research and reports that securities or industry analysts publish about us or our business. We do not have any control over these analysts. There can be no assurance that analysts will cover us or provide favorable coverage. If one or more of the analysts who cover us downgrade our stock or change their opinion of our stock, our share price would likely decline. If one or more of these analysts cease coverage of our company or fail to regularly publish reports on us, we could lose visibility in the financial markets, which could cause our share price or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Holders of our CVRs that are payable contingent upon us achieving certain milestones may not receive any further consideration.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approximately $304.0 million of contingent consideration upon calendar-year worldwide sales of ANKTIVA exceeding $1.0 billion prior to December 31, 2026, with amounts payable in cash or shares of our common stock or a combination thereof.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the regulatory milestone CVR agreement, the FDA approved our BLA in April 2024, which was after the milestone date set forth in such CVR agreement. The FDA did not approve our BLA on or before December 31, 2022, and therefore the regulatory milestone was not met, and the regulatory milestone CVR agreement terminated in accordance with its terms. With respect to the sales milestone CVR agreement, there can be no assurance that such sales milestone will be achieved. Accordingly, holders of our CVRs that are payable contingent upon us achieving the aforementioned milestones may not receive any further consideration. Further, failure to achieve the milestones set forth in our CVR agreements may give rise to disputes with the holders of such CVRs. For example, the shareholder representative for the holders of regulatory milestone CVRs has notified us that it is exploring, and intends to pursue, claims on behalf of such holders based on our alleged failure to use commercially reasonable efforts to secure FDA approval of the BLA on or before the December 31, 2022 milestone date. To the extent claims are filed regarding our CVR agreements, we could be subject to monetary awards that may be substantial notwithstanding our vigorous defense, and even if such claims are not successful, litigation could result in substantial costs, adversely impact our reputation, and divert management’s attention and resources, which could have a material adverse effect on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22885"/>
                <wp:effectExtent l="0" t="0" r="0" b="0"/>
                <wp:wrapNone/>
                <wp:docPr id="144" name="Frame1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not subject to the provisions of Section 203 of the DGCL, which could negatively affect your investment.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elected in our Amended and Restated Certificate of Incorporation to not be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a merger, asset sale, or other transaction resulting in a financial benefit to the interested stockholder. An interested stockholder is a person who, together with affiliates and associates, owns (or, in certain cases, within three years prior, did own) 15% or more of the corporation’s voting stock. Our decision not to be subject to Section 203 will allow, for example, our Founder, Executive Chairman and Global Chief Scientific and Medical Officer (who, with members of his immediate family and entities affiliated with him, owned, in the aggregate, approximately 64.2% of our common stock outstanding as of December 31, 2025) to transfer shares in excess of 15% of our voting stock to a third-party free of the restrictions imposed by Section 203. This may make us more vulnerable to takeovers that are completed without the approval of our Board of Directors and/or without giving us the ability to prohibit or delay such takeovers as effectively.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These provisions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requirement that special meetings of stockholders be called only by the board of directors, president or chief executive officer;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advance notice requirements for stockholder proposals and nominations for election to the board of directors;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22885"/>
                <wp:effectExtent l="0" t="0" r="0" b="0"/>
                <wp:wrapNone/>
                <wp:docPr id="145" name="Frame1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not retroactively amend our Bylaws provisions to reduce our indemnification obligations to directors, officers, employees and agents.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a claim for indemnification is brought by any of our directors or officers, it would reduce the amount of funds available for use in our business.</w:t>
      </w:r>
    </w:p>
    <w:p>
      <w:pPr>
        <w:pStyle w:val="TextBody"/>
        <w:bidi w:val="0"/>
        <w:spacing w:lineRule="auto" w:line="288" w:before="240" w:after="283"/>
        <w:jc w:val="left"/>
        <w:rPr/>
      </w:pPr>
      <w:r>
        <w:rPr>
          <w:rFonts w:ascii="Times New Roman;serif" w:hAnsi="Times New Roman;serif"/>
          <w:b/>
          <w:i/>
          <w:color w:val="000000"/>
          <w:sz w:val="20"/>
        </w:rPr>
        <w:t xml:space="preserve">Our Bylaws provide that the Delaware Court of Chancery is the exclusive forum for substantially </w:t>
      </w:r>
      <w:r>
        <w:rPr>
          <w:rFonts w:ascii="Times New Roman;serif" w:hAnsi="Times New Roman;serif"/>
          <w:b/>
          <w:i/>
          <w:color w:val="000000"/>
          <w:sz w:val="20"/>
          <w:shd w:fill="FFFFFF" w:val="clear"/>
        </w:rPr>
        <w:t>all disputes between us and our stockholders, which could limit our stockholders’</w:t>
      </w:r>
      <w:r>
        <w:rPr>
          <w:color w:val="000000"/>
        </w:rPr>
        <w:t xml:space="preserve"> </w:t>
      </w:r>
      <w:r>
        <w:rPr>
          <w:rFonts w:ascii="Times New Roman;serif" w:hAnsi="Times New Roman;serif"/>
          <w:b/>
          <w:i/>
          <w:color w:val="000000"/>
          <w:sz w:val="20"/>
        </w:rPr>
        <w:t>ability to obtain a favorable judicial forum for disputes with us or our directors, officers or other employees.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provides that the Delaware Court of Chancery (or, if the Delaware Court of Chancery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(iii) any action asserting a claim against us arising pursuant to any provisions of the DGCL, or as to which the DGCL confers jurisdiction on the Delaware Court of Chancery, our Amended and Restated Certificate of Incorporation or our Amended and Restated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Our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Amended and Restated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common stock shall be deemed to have notice of and to have consented to the provisions of our Amended and Restated Bylaws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22885"/>
                <wp:effectExtent l="0" t="0" r="0" b="0"/>
                <wp:wrapNone/>
                <wp:docPr id="146" name="Frame1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 Assessment and Management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ERM program to identify, evaluate, and manage risks. Cybersecurity risks are evaluated alongside other critical business risks under the ERM program to align cybersecurity efforts with the company’s broader business goals and objectives. We believe that integrating cybersecurity risks into our ERM program fosters a proactive and holistic approach to cybersecurity, which helps safeguard the company’s operations, financial condition, and reputation in an ever-evolving threat landscape.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cybersecurity program that is designed to identify, protect from, detect, respond to, and recover from cybersecurity threats and risks, and protect the confidentiality, integrity, and availability of its information systems, including the information residing on such systems.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Cybersecurity threats, including those resulting from any previous cybersecurity incidents, have not materially affected the company, including our business strategy, results of operations, or financial condition. We do not believe that cybersecurity threats resulting from any previous cybersecurity incidents of which we are aware are reasonably likely to materially affect our company. See Item 1A. </w:t>
      </w:r>
      <w:r>
        <w:rPr>
          <w:color w:val="000000"/>
        </w:rPr>
        <w:t>“</w:t>
      </w:r>
      <w:r>
        <w:rPr>
          <w:rFonts w:ascii="Times New Roman;serif" w:hAnsi="Times New Roman;serif"/>
          <w:b w:val="false"/>
          <w:i/>
          <w:color w:val="000000"/>
          <w:sz w:val="20"/>
        </w:rPr>
        <w:t>Risk Factors—</w:t>
      </w:r>
      <w:hyperlink w:anchor="i3bdb262bfe7a4b1abf2baedb35b201e6_368035">
        <w:r>
          <w:rPr>
            <w:rStyle w:val="InternetLink"/>
            <w:rFonts w:ascii="Times New Roman;serif" w:hAnsi="Times New Roman;serif"/>
            <w:b w:val="false"/>
            <w:i/>
            <w:color w:val="0000FF"/>
            <w:sz w:val="20"/>
            <w:u w:val="single"/>
          </w:rPr>
          <w:t>Our systems, infrastructure or data, or those used by our CROs, CMOs, clinical sites or other contractors or consultants, may or may be perceived to fail or suffer a cyberattack, security breach or other incident, including a breakdown or compromise of the confidentiality, integrity and availability of our systems, networks or data, which could adversely affect the operation of our business and reputation</w:t>
        </w:r>
      </w:hyperlink>
      <w:r>
        <w:rPr>
          <w:color w:val="000000"/>
        </w:rPr>
        <w:t xml:space="preserve">” </w:t>
      </w:r>
      <w:r>
        <w:rPr>
          <w:rFonts w:ascii="Times New Roman;serif" w:hAnsi="Times New Roman;serif"/>
          <w:b w:val="false"/>
          <w:color w:val="000000"/>
          <w:sz w:val="20"/>
        </w:rPr>
        <w:t xml:space="preserve">for more information regarding cybersecurity risks and the potential impact on the company.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Incident Response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dedicated incident management team responsible for managing and coordinating its cybersecurity incident response efforts. This team also collaborates closely with other teams in identifying, protecting from, detecting, responding to, and recovering from cybersecurity incidents. Cybersecurity incidents that meet certain thresholds are escalated to the executive incident team and cross-functional teams on an as-needed basis for support and guidance. Additionally, this team tracks cybersecurity incidents to help identify and analyze them. The company’s incident response team partners with other key stakeholders as appropriate to respond to cybersecurity incidents. The company maintains a cybersecurity and incident response program to prepare for and respond to cybersecurity incidents, which includes standard processes for reporting and escalating cybersecurity incidents to the executive incident team. Additionally, the company conducts at least one incident response test exercise on an annual basis, where members of a cross-functional team engage in a simulated incident scenario.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Board Oversight Role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oversees our risk management process, including as it pertains to cybersecurity risks, directly and through its committees. The Audit Committee (the Committee) of the Board of Directors oversees our cybersecurity and data privacy. The Committee meets periodically to review and discuss with management risks relating to significant cybersecurity matters and concerns involving the company, including information security, data privacy, backup of information systems and related regulatory matters and compliance. The Committee regularly reports to the Board of Directors with respect to the Committee’s activities and recommendations, including those relating to cybersecurity matters and concerns. The CIO provides quarterly reports to the Committee on information security matters, including the adequacy and effectiveness of the company’s information security policies and practices and the internal controls regarding information security, and notifies the chairperson of the Committee as soon as practicable of significant information security matters and concerns as they arise.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22885"/>
                <wp:effectExtent l="0" t="0" r="0" b="0"/>
                <wp:wrapNone/>
                <wp:docPr id="147" name="Frame1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Management’s Role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dedicated cybersecurity organization within its technology department that focuses on current and emerging cybersecurity matters. The company’s cybersecurity function is led by the company’s director of information security, who reports to the CIO. The director of information security and CIO (collectively, the Cybersecurity Leaders) are actively involved in assessing and managing cybersecurity risks, and are responsible for implementing cybersecurity policies, programs, procedures, and strategies. The responsibilities and relevant experience of each of the Cybersecurity Leaders are as follows: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CIO provides leadership for the company’s technology department. She holds a Bachelor of Science, Communication from Arizona State University, has served in various roles in information technology for over 25 years, holds multiple certifications, and has been actively involved in the information security and cybersecurity domains for over 20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director of information security is responsible for all aspects of cybersecurity across the company’s locations and data centers, including security engineering, security operations, incident response, threat intelligence, risk and compliance, and vulnerability management. He holds a Bachelor of Science in Business Administration, Management Information Systems from the University of Arizona, holds various certifications, and has served in various roles in information technology for over 25 years at numerous technology companies and consulting firms.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cybersecurity department is comprised of teams that engage in a range of cybersecurity activities such as threat intelligence, security architecture, and incident response. These teams conduct vulnerability management and penetration testing to identify, classify, prioritize, remediate, and mitigate vulnerabilities. Leaders from each team regularly meet with the Cybersecurity Leaders to provide visibility to major issues and seek alignment with strategy. As discussed above, the company’s cybersecurity incident response plan includes standard processes for reporting and escalating cybersecurity incidents to senior management. Cybersecurity incidents that meet certain thresholds are escalated to the Cybersecurity Leaders and cross-functional teams on an as-needed basis for support and guidance. The company’s incident response team also coordinates with external legal advisors, communication specialists, and other key stakeholders.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Third Parties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Cybersecurity Service Providers and Third-Party Consultants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engages cybersecurity consultants and other third parties to assess and enhance its cybersecurity practices. These third parties conduct assessments and penetration testing to identify weaknesses and recommend improvements. Additionally, the company leverages a number of third-party tools and technologies as part of its efforts to enhance cybersecurity functions, including a managed security service provider to augment the company’s internal resources, an endpoint detection and response system for continuous monitoring, detection, and response capabilities, and a security information and event management solution to automate real-time threat detection, investigation, and prioritization of high-fidelity alerts.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Oversight of Third-Party Service Providers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uses third-party service providers to support its operations and many of its technology initiatives, and evaluates its third-party service providers from a cybersecurity risk perspective, which may include an assessment of that service provider’s cybersecurity posture or a recommendation of specific mitigation controls. Following such evaluation, the company determines and prioritizes service provider risk based on the potential threat impact and likelihood, and such risk determination drives the level of due diligence and ongoing compliance monitoring required for each service provider.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22885"/>
                <wp:effectExtent l="0" t="0" r="0" b="0"/>
                <wp:wrapNone/>
                <wp:docPr id="148" name="Frame1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lease property in multiple facilities across the U.S. and Italy, including facilities located in El Segundo and Culver City, CA that are leased from related parties. See </w:t>
      </w:r>
      <w:hyperlink w:anchor="i49f82bc2aa33405eae1e0b45f37d1ae6_277">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about our related-party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principal properties under lease as of December 31, 2025:</w:t>
      </w:r>
    </w:p>
    <w:tbl>
      <w:tblPr>
        <w:tblW w:w="8989"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489"/>
        <w:gridCol w:w="489"/>
        <w:gridCol w:w="492"/>
        <w:gridCol w:w="109"/>
        <w:gridCol w:w="109"/>
        <w:gridCol w:w="109"/>
        <w:gridCol w:w="509"/>
        <w:gridCol w:w="509"/>
        <w:gridCol w:w="511"/>
        <w:gridCol w:w="109"/>
        <w:gridCol w:w="109"/>
        <w:gridCol w:w="109"/>
        <w:gridCol w:w="1042"/>
        <w:gridCol w:w="1042"/>
        <w:gridCol w:w="1485"/>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Expiration </w:t>
              <w:br/>
              <w:t>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w:t>
              <w:br/>
              <w:t>Rentable</w:t>
              <w:br/>
              <w:t>Square Feet (2),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Primary Function(s)</w:t>
            </w:r>
          </w:p>
        </w:tc>
      </w:tr>
      <w:tr>
        <w:trPr/>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Dunkirk,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Future Manufacturing Facility</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 Segundo,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 –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132,136 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Laboratory – Research &amp; Manufacturing</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50,838 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Laboratory – Research</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Culver City,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Month to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Laboratory – Research &amp; Manufacturing</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Laboratory – Research &amp; Corporate Office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Office – Regulatory Affairs</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2027 –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Laboratory – Research &amp; Office</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1"/>
        <w:gridCol w:w="791"/>
        <w:gridCol w:w="791"/>
        <w:gridCol w:w="791"/>
        <w:gridCol w:w="791"/>
        <w:gridCol w:w="791"/>
        <w:gridCol w:w="791"/>
        <w:gridCol w:w="791"/>
        <w:gridCol w:w="791"/>
        <w:gridCol w:w="791"/>
        <w:gridCol w:w="791"/>
        <w:gridCol w:w="1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Expiration years shown are per the lease agreements in effect as of December 31, 2025 and do not reflect contractual options to extend the term of the lease available to us under the lease agreements. For locations with multiple leases, the first and last expiration year are shown.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shown represent the total approximate rentable square feet for all buildings located in each city.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Previous lease for laboratory and research space in Seattle, WA expired in 2025. We will occupy space in 2026 under a new lease.</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facilities are adequate to meet our current and future needs and that we will be able to renew existing leases and obtain additional commercial space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Shenzhen Beike Biotechnology Co. Ltd.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received a Request for Arbitration before the International Chamber of Commerce, International Court of Arbitration. The arbitration relates to a license, development, and commercialization agreement that Altor entered into with Beike in 2014, which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 March 20, 2023,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22885"/>
                <wp:effectExtent l="0" t="0" r="0" b="0"/>
                <wp:wrapNone/>
                <wp:docPr id="149" name="Frame1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terminated the standstill agreement, and on April 11, 2023, Beike served an amended Request for Arbitration. We served an Answer and Counterclaims on May 19, 2023. Beike served a Reply to our counterclaims on June 21, 2023. Beike served its Statement of Claim on March 22, 2024, the company served its Statement of Defense and Counterclaim on June 21, 2024, 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was held from June 9, 2025 through June 13, 2025. Post-hearing submissions concluded in February 2026. It remains too early to evaluate the likely outcome of the case or to estimate any range of potential loss. We believe the claims asserted against the company lack merit.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Van Luven, Barbieri and Shin Derivative Actions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October 29, 2024, a shareholder derivative action was filed in the United States District Court for the Southern District of California against the members of our Board of Directors and certain officers, captioned </w:t>
      </w:r>
      <w:r>
        <w:rPr>
          <w:rFonts w:ascii="Times New Roman;serif" w:hAnsi="Times New Roman;serif"/>
          <w:b w:val="false"/>
          <w:i/>
          <w:color w:val="000000"/>
          <w:sz w:val="20"/>
        </w:rPr>
        <w:t>Van Luven v. Soon-Shiong et al.</w:t>
      </w:r>
      <w:r>
        <w:rPr>
          <w:rFonts w:ascii="Times New Roman;serif" w:hAnsi="Times New Roman;serif"/>
          <w:b w:val="false"/>
          <w:color w:val="000000"/>
          <w:sz w:val="20"/>
        </w:rPr>
        <w:t xml:space="preserve">, Case No. 3:24-cv-02014-GPCL-VET. The plaintiff purports to bring the action derivatively on behalf of ImmunityBio, and ImmunityBio is a nominal defendant to the action. Stemming from the company’s May 11, 2023 disclosure that it had received an FDA CRL stating, among other things, that it could not approve the company’s BLA for its then product candidate, ANKTIVA with BCG for the treatment of adult patients with BCG-unresponsive NMIBC CIS with or without papillary tumors, in its present form due to deficiencies related to its pre-license inspection of the company’s third-party CMOs, the derivative complaint alleges that the individual defendants authorized or permitted materially false and misleading statements and/or omitted material adverse facts regarding ImmunityBio’s third-party CMOs and the prospects for regulatory approval of the ANKTIVA BLA. The derivative complaint asserts claims for violations of Section 14(a) of the Exchange Act as well as claims for breach of fiduciary duty, unjust enrichment, and waste of corporate assets. The derivative complaint seeks unspecified damages on behalf of the company, disgorgement or restitution, declaratory relief, and an award of costs and expenses to the derivative plaintiff, including attorneys’ fees. The court entered an order extending the defendants’ deadline to respond to the complaint to May 30, 2025.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February 25, 2025, a second shareholder derivative action was filed in the United States District Court for the Southern District of California against certain members of our Board of Directors and certain officers, captioned </w:t>
      </w:r>
      <w:r>
        <w:rPr>
          <w:rFonts w:ascii="Times New Roman;serif" w:hAnsi="Times New Roman;serif"/>
          <w:b w:val="false"/>
          <w:i/>
          <w:color w:val="000000"/>
          <w:sz w:val="20"/>
        </w:rPr>
        <w:t>Barbieri v. Soon-Shiong, et al</w:t>
      </w:r>
      <w:r>
        <w:rPr>
          <w:rFonts w:ascii="Times New Roman;serif" w:hAnsi="Times New Roman;serif"/>
          <w:b w:val="false"/>
          <w:color w:val="000000"/>
          <w:sz w:val="20"/>
        </w:rPr>
        <w:t xml:space="preserve">., Case No. 3:25-cv-00416-AGS-JLB. The plaintiff purports to bring the action derivatively on behalf of ImmunityBio, and ImmunityBio is a nominal defendant in the action. This lawsuit asserts substantially similar claims and allegations as </w:t>
      </w:r>
      <w:r>
        <w:rPr>
          <w:rFonts w:ascii="Times New Roman;serif" w:hAnsi="Times New Roman;serif"/>
          <w:b w:val="false"/>
          <w:i/>
          <w:color w:val="000000"/>
          <w:sz w:val="20"/>
        </w:rPr>
        <w:t>Van Luven</w:t>
      </w:r>
      <w:r>
        <w:rPr>
          <w:rFonts w:ascii="Times New Roman;serif" w:hAnsi="Times New Roman;serif"/>
          <w:b w:val="false"/>
          <w:color w:val="000000"/>
          <w:sz w:val="20"/>
        </w:rPr>
        <w:t xml:space="preserve">. The court entered an order extending the defendants’ deadline to respond to the complaint to May 30, 2025.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February 26, 2025, a third shareholder derivative action was filed in the United States District Court for the Southern District of California against certain current and former members of our Board of Directors and certain officers, captioned </w:t>
      </w:r>
      <w:r>
        <w:rPr>
          <w:rFonts w:ascii="Times New Roman;serif" w:hAnsi="Times New Roman;serif"/>
          <w:b w:val="false"/>
          <w:i/>
          <w:color w:val="000000"/>
          <w:sz w:val="20"/>
        </w:rPr>
        <w:t>Shin v. Soon-Shiong, et al.</w:t>
      </w:r>
      <w:r>
        <w:rPr>
          <w:rFonts w:ascii="Times New Roman;serif" w:hAnsi="Times New Roman;serif"/>
          <w:b w:val="false"/>
          <w:color w:val="000000"/>
          <w:sz w:val="20"/>
        </w:rPr>
        <w:t xml:space="preserve">, Case No. 3:25-cv-00423-JAH-DDL. The plaintiff purports to bring the action derivatively on behalf of ImmunityBio, and ImmunityBio is a nominal defendant in the action. This lawsuit asserts substantially similar claims and allegations as </w:t>
      </w:r>
      <w:r>
        <w:rPr>
          <w:rFonts w:ascii="Times New Roman;serif" w:hAnsi="Times New Roman;serif"/>
          <w:b w:val="false"/>
          <w:i/>
          <w:color w:val="000000"/>
          <w:sz w:val="20"/>
        </w:rPr>
        <w:t>Van Luven</w:t>
      </w:r>
      <w:r>
        <w:rPr>
          <w:rFonts w:ascii="Times New Roman;serif" w:hAnsi="Times New Roman;serif"/>
          <w:b w:val="false"/>
          <w:color w:val="000000"/>
          <w:sz w:val="20"/>
        </w:rPr>
        <w:t xml:space="preserve">. The court entered an order extending the defendants’ deadline to respond to the complaint to May 30,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 2025, the court entered an order consolidating these three shareholder derivative actions. On May 22, 2025, the parties in the consolidated derivative action notified the court that they had entered into a Stipulation and Settlement Agreement to settle the consolidated derivative action for corporate governance reforms and attorneys’ fees. On November 6, 2025, the court entered an order and final judgment approving the settlement. As a result of the final judgment, the company was required to make various corporate governance modifications that the company complied with.</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Carlson Derivative Action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November 20, 2024, a shareholder derivative action was filed in the Delaware Court of Chancery against the company’s Founder, Executive Chairman, Global Chief Scientific and Medical Officer and principal stockholder, Dr. Soon-Shiong, certain affiliates of Dr. Soon-Shiong, certain other members of management, and members of the company’s Board of Directors who serve on the Board of Directors’ Related Party Transaction Committee, captioned </w:t>
      </w:r>
      <w:r>
        <w:rPr>
          <w:rFonts w:ascii="Times New Roman;serif" w:hAnsi="Times New Roman;serif"/>
          <w:b w:val="false"/>
          <w:i/>
          <w:color w:val="000000"/>
          <w:sz w:val="20"/>
        </w:rPr>
        <w:t>Carlson v. Soon-Shiong, et al.,</w:t>
      </w:r>
      <w:r>
        <w:rPr>
          <w:color w:val="000000"/>
        </w:rPr>
        <w:t xml:space="preserve"> </w:t>
      </w:r>
      <w:r>
        <w:rPr>
          <w:rFonts w:ascii="Times New Roman;serif" w:hAnsi="Times New Roman;serif"/>
          <w:b w:val="false"/>
          <w:color w:val="000000"/>
          <w:sz w:val="20"/>
        </w:rPr>
        <w:t xml:space="preserve">Case No. 2024-1195-VCL. The plaintiff purports to bring the action derivatively on behalf of ImmunityBio, and ImmunityBio is a nominal defendant to the action. The plaintiff alleges that the previously disclosed September 2023 financing transactions between the company and Dr. Soon-Shiong and his affiliates were not fair to the company. In particular, the plaintiff alleges that the transactions were timed to benefit Dr. Soon-Shiong and his affiliates during a temporary decline in the company’s stock price, resulting in an artificially low conversion price for certain convertible promissory notes that were among the transactions,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22885"/>
                <wp:effectExtent l="0" t="0" r="0" b="0"/>
                <wp:wrapNone/>
                <wp:docPr id="150" name="Frame1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defendants knew the company’s stock price would increase following the company’s imminent resubmission of a BLA for, and the subsequent FDA approval of, ANKTIVA with BCG for the treatment of adult patients with BCG-unresponsive NMIBC CIS with or without papillary tumors. The complaint alleges that defendants breached their fiduciary duties by entering into these transactions at that time and on those terms, thereby unjustly enriching Dr. Soon-Shiong and his affiliates. The derivative complaint seeks unspecified damages on behalf of the company, corporate governance changes with respect to related-party transactions, and an award of costs and expenses to the derivative plaintiff, including attorneys’ fees. On February 17, 2025, the defendants filed a motion to dismiss the complaint.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 2025, instead of filing an opposition to defendants’ motion to dismiss, the plaintiff filed an amended complaint. This amended complaint added certain additional members of the company’s Board of Directors as defendants but did not add new claims. On July 16, 2025, the defendants filed a motion to dismiss the amended complaint. On February 4, 2026, after complete briefing and oral argument, the court granted the defendants’ motion to dismiss. The plaintiff was not provided an opportunity to amend.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Washington State Attorney General Investigation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received a request from the Attorney General of the State of Washington (the Request) seeking information and documents from the company relating to its relationship with the Access to Advanced Health Institute, a nonprofit biotech research institute located in Seattle (AAHI). ImmunityBio licensed and explored the development of AAHI’s RNA COVID vaccine and upon further investigation of the technology terminated the license. Dr. Soon-Shiong served on the board of directors of AAHI in his capacity as representative of a non-profit foundation. The company is cooperating with the Washington Attorney General’s Office with respect to the Request.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SRS/Altor Shareholder CVR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$304.0 million of contingent consideration upon calendar-year worldwide net sales of ANKTIVA exceeding $1.0 billion prior to December 31, 2026. As of December 31, 2025, Dr. Soon-Shiong, our Founder, Executive Chairman and Global Chief Scientific and Medical Officer, and his related party hold approximately $139.8 million of FDA approval CVRs and $139.8 million of net sales CVRs, and they have both irrevocably agreed to receive shares of the company’s common stock in satisfaction of their CVRs. Because the FDA did not approve our BLA on or before December 31, 2022, the first CVR milestone was not met.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27, 2022, Shareholder Representative Services, LLC (SRS), in its capacity as shareholder representative on behalf of former Altor BioScience Corp. shareholders, sent the company’s subsidiary NantCell a notice of claims relating to the regulatory milestone CVR. The notice of claims asserted that SRS was exploring, and might pursue, claims on behalf of Altor shareholders for additional merger consideration in the amount of the $2.00 per share milestone payment under the regulatory CVR milestone. The notice stated that any such claim would be based on NantCell’s alleged failure to use commercially reasonable efforts to secure FDA approval of ANKTIVA on or before December 31, 2022. In a separate October 2022 letter, SRS requested that NantCell preserve all documents and information relating to its efforts to achieve milestones set forth in the regulatory milestone CVR, and requested that the company provide certain categories of documents under the information-sharing provisions of the CVR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company provided many of the requested documents, on September 29, 2023, SRS filed a demand for arbitration with JAMS, seeking to compel the company to produce additional documents identified in its October 2022 letter relating to its efforts to obtain FDA approval for ANKTIVA. The arbitration demand did not include any claims beyond SRS’s claim that it had a right to obtain additional documents, and sought a ruling that the company was obligated to provide additional documents. After the arbitrator issued a preliminary ruling regarding the scope of the company’s obligation to provide information under the CVR Agreements, the company produced additional documents responsive to SRS’s requests.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27, 2025, several months after SRS’s document-access claim had been resolved, SRS requested leave to amend its JAMS arbitration demand to state a claim for breach of contract. SRS’s proposed amended demand alleged that the company and NantCell had failed to exercise commercially reasonable efforts to obtain FDA approval of ANKTIVA on or before December 31, 2022. The JAMS arbitrator presiding over the document-access arbitration denied SRS’s motion for leave to amend its claims, and on September 26, 2025, the parties filed a joint stipulation asking that the JAMS document-access arbitration be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22885"/>
                <wp:effectExtent l="0" t="0" r="0" b="0"/>
                <wp:wrapNone/>
                <wp:docPr id="151" name="Frame1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SRS’s motion for leave to amend was denied, on September 26, 2025, SRS sent the company a further notice of claims and essentially the same arbitration demand, asserting that the company had breached its obligations to exercise commercially reasonable efforts to achieve FDA approval of ANKTIVA on or before December 31, 2022. SRS’s arbitration demand seeks relief in the form of payment, in the amount of approximately $164.2 million plus interest exceeding $50.0 million, to former Altor shareholders not affiliated with Dr. Soon-Shiong. SRS filed its most recent arbitration demand with JAMS on November 5, 2025. The company filed its response on November 19, 2025, and an arbitrator was appointed on January 16, 2026. It remains too early to evaluate the likely outcome of the case or to estimate any range of potential loss. We believe the company exercised commercially reasonable efforts in its pursuit of FDA approval of ANKTIVA, and that the claims asserted against the company lack merit.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22885"/>
                <wp:effectExtent l="0" t="0" r="0" b="0"/>
                <wp:wrapNone/>
                <wp:docPr id="152" name="Frame1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under the ticker symbol “IBRX” on the Nasdaq Global Select Market.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19, 2026, there were approximately 67 stockholders of record of our common stock. The actual number of stockholders is greater than the number of record holders and includes stockholders who are beneficial owners but whose shares are held in “street name” by brokers and other nominees. The number of stockholders of record also does not include stockholders whose shares may be held in trust or by other entities.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do not anticipate paying cash dividends on our common stock for the foreseeable future. The payment of dividends on our common stock will depend on earnings, financial condition and other business and economic factors affecting us at such time as the Board of Directors may consider relevant.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equity compensation plans in effect as of December 31, 2025 (including upon the exercise of stock options and the vesting of RSUs):</w:t>
      </w:r>
    </w:p>
    <w:tbl>
      <w:tblPr>
        <w:tblW w:w="10205" w:type="dxa"/>
        <w:jc w:val="left"/>
        <w:tblInd w:w="0" w:type="dxa"/>
        <w:tblLayout w:type="fixed"/>
        <w:tblCellMar>
          <w:top w:w="28" w:type="dxa"/>
          <w:left w:w="28" w:type="dxa"/>
          <w:bottom w:w="28" w:type="dxa"/>
          <w:right w:w="28" w:type="dxa"/>
        </w:tblCellMar>
      </w:tblPr>
      <w:tblGrid>
        <w:gridCol w:w="1807"/>
        <w:gridCol w:w="1586"/>
        <w:gridCol w:w="1594"/>
        <w:gridCol w:w="109"/>
        <w:gridCol w:w="109"/>
        <w:gridCol w:w="109"/>
        <w:gridCol w:w="403"/>
        <w:gridCol w:w="397"/>
        <w:gridCol w:w="399"/>
        <w:gridCol w:w="141"/>
        <w:gridCol w:w="141"/>
        <w:gridCol w:w="141"/>
        <w:gridCol w:w="373"/>
        <w:gridCol w:w="907"/>
        <w:gridCol w:w="193"/>
        <w:gridCol w:w="141"/>
        <w:gridCol w:w="141"/>
        <w:gridCol w:w="141"/>
        <w:gridCol w:w="398"/>
        <w:gridCol w:w="398"/>
        <w:gridCol w:w="577"/>
      </w:tblGrid>
      <w:tr>
        <w:trPr/>
        <w:tc>
          <w:tcPr>
            <w:tcW w:w="180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 Compensation Plan Information</w:t>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Securities to be </w:t>
              <w:br/>
              <w:t xml:space="preserve">Issued upon </w:t>
              <w:br/>
              <w:t xml:space="preserve">Exercise of </w:t>
              <w:br/>
              <w:t xml:space="preserve">Outstanding </w:t>
              <w:br/>
              <w:t xml:space="preserve">Options, </w:t>
              <w:br/>
              <w:t xml:space="preserve">Warrants and </w:t>
              <w:br/>
              <w:t>Rights</w:t>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 xml:space="preserve">Exercise Price of </w:t>
              <w:br/>
              <w:t xml:space="preserve">Outstanding </w:t>
              <w:br/>
              <w:t xml:space="preserve">Options, </w:t>
              <w:br/>
              <w:t xml:space="preserve">Warrants and </w:t>
              <w:br/>
              <w:t>Rights</w:t>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(Excluding </w:t>
              <w:br/>
              <w:t xml:space="preserve">Securities </w:t>
              <w:br/>
              <w:t xml:space="preserve">Reflected in </w:t>
              <w:br/>
              <w:t>Column (a))</w:t>
            </w:r>
          </w:p>
        </w:tc>
      </w:tr>
      <w:tr>
        <w:trPr/>
        <w:tc>
          <w:tcPr>
            <w:tcW w:w="49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w:t>
            </w:r>
          </w:p>
        </w:tc>
      </w:tr>
      <w:tr>
        <w:trPr/>
        <w:tc>
          <w:tcPr>
            <w:tcW w:w="49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 (1), (2),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32,060,172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47,341,842</w:t>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32,060,172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47,341,842</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2"/>
        <w:gridCol w:w="792"/>
        <w:gridCol w:w="792"/>
        <w:gridCol w:w="792"/>
        <w:gridCol w:w="792"/>
        <w:gridCol w:w="792"/>
        <w:gridCol w:w="792"/>
        <w:gridCol w:w="792"/>
        <w:gridCol w:w="792"/>
        <w:gridCol w:w="792"/>
        <w:gridCol w:w="792"/>
        <w:gridCol w:w="11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equity compensation plans approved by security holders are the 2015 Plan and the 2025 Plan. The 2015 Plan has terminated as to future grants. The amount shown in Column (a) with respect to the 2015 Plan includes 22,948,681 shares issuable upon the exercise of vested stock options and 6,660,025 shares issuable upon the vesting of RSUs. The amount shown in Column (a) with respect to the 2025 Plan includes 959,950 shares issuable upon the exercise of vested stock options and 387,284 shares issuable upon the vesting of RSUs.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NC 2015 Plan was approved by security holders in conjunction with the Merger. The NC 2015 Plan has terminated as to future grants. The amount shown in Column (a) with respect to this plan includes 23,873 shares issuable upon the exercise of vested stock options and 1,080,359 shares issuable upon the vesting of RSUs.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amount shown in Column (b) is the weighted-average exercise price for stock options outstanding.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amount shown in Column (c) is the number of shares available for future grants under the 2025 Plan.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22885"/>
                <wp:effectExtent l="0" t="0" r="0" b="0"/>
                <wp:wrapNone/>
                <wp:docPr id="153" name="Frame1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return on our common stock, the Russell 2000 Index, and the Nasdaq Biotechnology Index over the five-year period ending December 31, 2025. The graph assumes that $100 was invested on December 31, 2020 in our common stock or the comparative indices, including reinvestment of dividends. The returns shown are based on historical results and are not indicative of, or intended to forecast, future performance of our common stock or the comparative indices. This performance graph shall not be deemed filed for purposes of Section 18 of the Exchange Act or incorporated by reference into any filing of ImmunityBio, Inc. under the Securities Act.</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COMPARISON OF 5 YEAR CUMULATIVE TOTAL RETURN*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Among ImmunityBio, Inc., the Russell 2000 Index</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the Nasdaq Biotechnology Index</w:t>
      </w:r>
    </w:p>
    <w:p>
      <w:pPr>
        <w:pStyle w:val="TextBody"/>
        <w:bidi w:val="0"/>
        <w:spacing w:before="240" w:after="283"/>
        <w:jc w:val="center"/>
        <w:rPr/>
      </w:pPr>
      <w:r>
        <w:rPr/>
        <w:drawing>
          <wp:inline distT="0" distB="0" distL="0" distR="0">
            <wp:extent cx="6572250" cy="3810000"/>
            <wp:effectExtent l="0" t="0" r="0" b="0"/>
            <wp:docPr id="15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 descr=""/>
                    <pic:cNvPicPr>
                      <a:picLocks noChangeAspect="1" noChangeArrowheads="1"/>
                    </pic:cNvPicPr>
                  </pic:nvPicPr>
                  <pic:blipFill>
                    <a:blip r:embed="rId12"/>
                    <a:stretch>
                      <a:fillRect/>
                    </a:stretch>
                  </pic:blipFill>
                  <pic:spPr bwMode="auto">
                    <a:xfrm>
                      <a:off x="0" y="0"/>
                      <a:ext cx="6572250" cy="3810000"/>
                    </a:xfrm>
                    <a:prstGeom prst="rect">
                      <a:avLst/>
                    </a:prstGeom>
                  </pic:spPr>
                </pic:pic>
              </a:graphicData>
            </a:graphic>
          </wp:inline>
        </w:drawing>
      </w:r>
      <w:bookmarkStart w:id="19" w:name="i-11"/>
      <w:bookmarkEnd w:id="19"/>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No shares of our common stock were repurchased during the three months ended December 31, 2025 under the 2015 Share Repurchase Program. As of December 31, 2025, $18.3 million remained authorized to use for share repurchases under the program. See </w:t>
      </w:r>
      <w:hyperlink w:anchor="i49f82bc2aa33405eae1e0b45f37d1ae6_298">
        <w:r>
          <w:rPr>
            <w:rStyle w:val="InternetLink"/>
            <w:rFonts w:ascii="Times New Roman;serif" w:hAnsi="Times New Roman;serif"/>
            <w:b w:val="false"/>
            <w:color w:val="0000FF"/>
            <w:sz w:val="20"/>
            <w:u w:val="single"/>
          </w:rPr>
          <w:t>Note 17</w:t>
        </w:r>
      </w:hyperlink>
      <w:r>
        <w:rPr>
          <w:color w:val="000000"/>
        </w:rPr>
        <w:t xml:space="preserve"> “</w:t>
      </w:r>
      <w:r>
        <w:rPr>
          <w:rFonts w:ascii="Times New Roman;serif" w:hAnsi="Times New Roman;serif"/>
          <w:b w:val="false"/>
          <w:i/>
          <w:color w:val="000000"/>
          <w:sz w:val="20"/>
        </w:rPr>
        <w:t>Stockholders’ Deficit”</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regarding the 2015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22885"/>
                <wp:effectExtent l="0" t="0" r="0" b="0"/>
                <wp:wrapNone/>
                <wp:docPr id="155" name="Frame1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120" w:after="283"/>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together with the description of our business that appears in Part I, Item 1. “</w:t>
      </w:r>
      <w:hyperlink w:anchor="i49f82bc2aa33405eae1e0b45f37d1ae6_16">
        <w:r>
          <w:rPr>
            <w:rStyle w:val="InternetLink"/>
            <w:rFonts w:ascii="Times New Roman;serif" w:hAnsi="Times New Roman;serif"/>
            <w:b w:val="false"/>
            <w:i/>
            <w:color w:val="0000FF"/>
            <w:sz w:val="20"/>
            <w:u w:val="single"/>
          </w:rPr>
          <w:t>Business</w:t>
        </w:r>
      </w:hyperlink>
      <w:r>
        <w:rPr>
          <w:color w:val="000000"/>
        </w:rPr>
        <w:t xml:space="preserve">” </w:t>
      </w:r>
      <w:r>
        <w:rPr>
          <w:rFonts w:ascii="Times New Roman;serif" w:hAnsi="Times New Roman;serif"/>
          <w:b w:val="false"/>
          <w:i/>
          <w:color w:val="000000"/>
          <w:sz w:val="20"/>
        </w:rPr>
        <w:t>and the consolidated financial statements and related notes thereto in Part II, Item 8. “</w:t>
      </w:r>
      <w:hyperlink w:anchor="i49f82bc2aa33405eae1e0b45f37d1ae6_166">
        <w:r>
          <w:rPr>
            <w:rStyle w:val="InternetLink"/>
            <w:rFonts w:ascii="Times New Roman;serif" w:hAnsi="Times New Roman;serif"/>
            <w:b w:val="false"/>
            <w:i/>
            <w:color w:val="0000FF"/>
            <w:sz w:val="20"/>
            <w:u w:val="single"/>
          </w:rPr>
          <w:t>Financial Statements and Supplementary Data</w:t>
        </w:r>
      </w:hyperlink>
      <w:r>
        <w:rPr>
          <w:color w:val="000000"/>
        </w:rPr>
        <w:t xml:space="preserve">” </w:t>
      </w:r>
      <w:r>
        <w:rPr>
          <w:rFonts w:ascii="Times New Roman;serif" w:hAnsi="Times New Roman;serif"/>
          <w:b w:val="false"/>
          <w:i/>
          <w:color w:val="000000"/>
          <w:sz w:val="20"/>
        </w:rPr>
        <w:t>of this Annual Report. This discussion contains forward-looking statements as a result of many factors, including those set forth under Part I, Item 1. “Business—</w:t>
      </w:r>
      <w:hyperlink w:anchor="i49f82bc2aa33405eae1e0b45f37d1ae6_19">
        <w:r>
          <w:rPr>
            <w:rStyle w:val="InternetLink"/>
            <w:rFonts w:ascii="Times New Roman;serif" w:hAnsi="Times New Roman;serif"/>
            <w:b w:val="false"/>
            <w:i/>
            <w:color w:val="0000FF"/>
            <w:sz w:val="20"/>
            <w:u w:val="single"/>
          </w:rPr>
          <w:t>Forward-Looking Statements</w:t>
        </w:r>
      </w:hyperlink>
      <w:r>
        <w:rPr>
          <w:color w:val="000000"/>
        </w:rPr>
        <w:t xml:space="preserve">” </w:t>
      </w:r>
      <w:r>
        <w:rPr>
          <w:rFonts w:ascii="Times New Roman;serif" w:hAnsi="Times New Roman;serif"/>
          <w:b w:val="false"/>
          <w:i/>
          <w:color w:val="000000"/>
          <w:sz w:val="20"/>
        </w:rPr>
        <w:t>and Item 1A. “</w:t>
      </w:r>
      <w:hyperlink w:anchor="i49f82bc2aa33405eae1e0b45f37d1ae6_70">
        <w:r>
          <w:rPr>
            <w:rStyle w:val="InternetLink"/>
            <w:rFonts w:ascii="Times New Roman;serif" w:hAnsi="Times New Roman;serif"/>
            <w:b w:val="false"/>
            <w:i/>
            <w:color w:val="0000FF"/>
            <w:sz w:val="20"/>
            <w:u w:val="single"/>
          </w:rPr>
          <w:t>Risk Factors</w:t>
        </w:r>
      </w:hyperlink>
      <w:r>
        <w:rPr>
          <w:color w:val="000000"/>
        </w:rPr>
        <w:t xml:space="preserve">” </w:t>
      </w:r>
      <w:r>
        <w:rPr>
          <w:rFonts w:ascii="Times New Roman;serif" w:hAnsi="Times New Roman;serif"/>
          <w:b w:val="false"/>
          <w:i/>
          <w:color w:val="000000"/>
          <w:sz w:val="20"/>
        </w:rPr>
        <w:t>and elsewhere in this Annual Report. These statements are based on our management’s beliefs and assumptions and on information currently available to our management. Actual results could differ materially from those discussed in or implied by such forward-looking statements. Factors that could cause or contribute to these differences include those discussed below and elsewhere in this Annual Report, particularly in Part I, Item 1A. “</w:t>
      </w:r>
      <w:hyperlink w:anchor="i49f82bc2aa33405eae1e0b45f37d1ae6_70">
        <w:r>
          <w:rPr>
            <w:rStyle w:val="InternetLink"/>
            <w:rFonts w:ascii="Times New Roman;serif" w:hAnsi="Times New Roman;serif"/>
            <w:b w:val="false"/>
            <w:i/>
            <w:color w:val="0000FF"/>
            <w:sz w:val="20"/>
            <w:u w:val="single"/>
          </w:rPr>
          <w:t>Risk Factors</w:t>
        </w:r>
      </w:hyperlink>
      <w:r>
        <w:rPr>
          <w:rFonts w:ascii="Times New Roman;serif" w:hAnsi="Times New Roman;serif"/>
          <w:b w:val="false"/>
          <w:i/>
          <w:color w:val="000000"/>
          <w:sz w:val="20"/>
        </w:rPr>
        <w:t xml:space="preserve">.” Except as required by law, we do not undertake any responsibility to update any of these factors or to announce publicly any revisions to any of the forward-looking statements contained in this or any document, whether as a result of new information, future events, or otherwise.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superagonist, ANKTIVA</w:t>
      </w:r>
      <w:r>
        <w:rPr>
          <w:color w:val="000000"/>
        </w:rPr>
        <w:t xml:space="preserve"> </w:t>
      </w:r>
      <w:r>
        <w:rPr>
          <w:rFonts w:ascii="Times New Roman;serif" w:hAnsi="Times New Roman;serif"/>
          <w:b w:val="false"/>
          <w:color w:val="000000"/>
          <w:sz w:val="20"/>
        </w:rPr>
        <w:t xml:space="preserve">(nogapendekin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ANKTIVA is our lead biologic product and a first-in-class IL-15 receptor superagonist antibody-cytokine fusion protein. We are commercializing ANKTIVA for the treatment of BCG-unresponsive NMIBC CIS with or without papillary tumors. ANKTIVA has received FDA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 xml:space="preserve">designation for use in BCG-unresponsive NMIBC CIS in adult patients with or without papillary tumors.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ANKTIVA is now approved in the U.S., UK, and Saudi Arabia for BCG-unresponsive NMIBC CIS with or without papillary tumors. In February 2026, the European Commission granted conditional marketing authorization in the EU for ANKTIVA for the same indication. In addition, ANKTIVA is conditionally approved in Saudi Arabia, for use in combination with a CPI, for the treatment of adult patients with metastatic NSCLC whose disease has progressed following standard-of-care therapy. The approved labels highlight ANKTIVA’s ability to simultaneously activate NK cells, cytotoxic T cells, and memory T cells.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ANKTIVA in combination with our CAR-NK therapy (PD-L1 t-haNK) has received RMAT designation from the FDA for use in combination with standard-of-care chemotherapy/radiotherapy for the reversal of lymphopenia and treatment of multiply relapsed locally advanced or metastatic pancreatic cancer. Separately, the FDA has authorized an EAP for ANKTIVA to treat lymphopenia in adult patients with refractory or relapsed solid tumors, regardless of tumor type, who have progressed following first-line standard-of-care treatment, including chemotherapy, radiation, or immunotherapy. The EAP includes patients with solid tumors who have failed first-line therapy and have a low ALC (ALC &lt;1,000/μL).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seeking to expand development of ANKTIVA in combination with current standard-of-care therapies across multiple solid and liquid tumor indications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BCG-naïve NMIBC;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BCG-unresponsive NMIBC with papillary tumors;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Second-line NSCLC;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First-line NSCLC;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22885"/>
                <wp:effectExtent l="0" t="0" r="0" b="0"/>
                <wp:wrapNone/>
                <wp:docPr id="156" name="Frame1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120" w:after="283"/>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Glioblastoma;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Indolent non-Hodgkin lymphoma, including Waldenström macroglobulinemia;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Pancreatic cancer;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Prostate cancer;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Ovarian cancer.</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ANKTIVA has been selected by the NCI for evaluation in a cancer prevention study in patients with Lynch syndrome, and we are evaluating the combination of ANKTIVA with other agents in colorectal cancer. The company is also supporting an ongoing EAP for rBCG to help address U.S. supply constraints. We are also establishing or conducting trials in multiple myeloma, HCC, and TNBC.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Significant Developments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selected significant developments affecting our business that occurred since the filing of our Quarterly Report on Form 10-Q dated September 30, 2025 with the SEC on November 5,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ANKTIVA Updates</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 xml:space="preserve">2025 Sales Momentum: </w:t>
      </w:r>
      <w:r>
        <w:rPr>
          <w:rFonts w:ascii="Times New Roman;serif" w:hAnsi="Times New Roman;serif"/>
          <w:b w:val="false"/>
          <w:color w:val="000000"/>
          <w:sz w:val="20"/>
        </w:rPr>
        <w:t>ANKTIVA net product revenue increased 20% quarter-over-quarter, with full-year net product revenue of $113 million, representing an approximately 700% increase year-over-year.</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ANKTIVA Unit Growth:</w:t>
      </w:r>
      <w:r>
        <w:rPr>
          <w:color w:val="000000"/>
        </w:rPr>
        <w:t xml:space="preserve"> </w:t>
      </w:r>
      <w:r>
        <w:rPr>
          <w:rFonts w:ascii="Times New Roman;serif" w:hAnsi="Times New Roman;serif"/>
          <w:b w:val="false"/>
          <w:color w:val="000000"/>
          <w:sz w:val="20"/>
        </w:rPr>
        <w:t>750% unit sales volume increase in 2025 compared to 2024.</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 xml:space="preserve">Global Approvals in Bladder Cancer: </w:t>
      </w:r>
      <w:r>
        <w:rPr>
          <w:rFonts w:ascii="Times New Roman;serif" w:hAnsi="Times New Roman;serif"/>
          <w:b w:val="false"/>
          <w:color w:val="000000"/>
          <w:sz w:val="20"/>
        </w:rPr>
        <w:t>ANKTIVA in combination with BCG for the treatment of BCG-unresponsive NMIBC CIS with or without papillary tumors is now authorized across four major regulatory jurisdictions—the U.S., UK, EU, and Saudi Arabia—encompassing 33 countries in total.</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First Approval for Lung Cancer:</w:t>
      </w:r>
      <w:r>
        <w:rPr>
          <w:color w:val="000000"/>
        </w:rPr>
        <w:t xml:space="preserve"> </w:t>
      </w:r>
      <w:r>
        <w:rPr>
          <w:rFonts w:ascii="Times New Roman;serif" w:hAnsi="Times New Roman;serif"/>
          <w:b w:val="false"/>
          <w:color w:val="000000"/>
          <w:sz w:val="20"/>
        </w:rPr>
        <w:t>ANKTIVA in combination with CPIs has been conditionally approved by the SFDA for the treatment of metastatic NSCLC, with commercial launch planned within 60 days; label expansion plans underway across multiple tumor types and for the treatment of lymphopenia.</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Long-Term Patent Protection:</w:t>
      </w:r>
      <w:r>
        <w:rPr>
          <w:color w:val="000000"/>
        </w:rPr>
        <w:t xml:space="preserve"> </w:t>
      </w:r>
      <w:r>
        <w:rPr>
          <w:rFonts w:ascii="Times New Roman;serif" w:hAnsi="Times New Roman;serif"/>
          <w:b w:val="false"/>
          <w:color w:val="000000"/>
          <w:sz w:val="20"/>
        </w:rPr>
        <w:t>ANKTIVA combinations with CPIs are protected by multiple issued patents, including U.S. Patent Nos. 9,925,247 and 11,071,774, with patent terms extending beyond 2035.</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Commercial Partnerships:</w:t>
      </w:r>
      <w:r>
        <w:rPr>
          <w:color w:val="000000"/>
        </w:rPr>
        <w:t xml:space="preserve"> </w:t>
      </w:r>
      <w:r>
        <w:rPr>
          <w:rFonts w:ascii="Times New Roman;serif" w:hAnsi="Times New Roman;serif"/>
          <w:b w:val="false"/>
          <w:color w:val="000000"/>
          <w:sz w:val="20"/>
        </w:rPr>
        <w:t>Formed a distribution partnership with Accord Healthcare in the EU, with an 85-person sales force deployed across 30 countries, and established an Irish subsidiary in Dublin to support the European launch; partnering with BioPharma &amp; Cigalah Healthcare to expand access to ANKTIVA in Saudi Arabia and, over time, in the MENA region; formed a Kingdom of Saudi Arabia subsidiary to support KSA launch.</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Clinical and Regulatory Updates</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ANKTIVA as a Backbone to the Cancer BioShield Platform:</w:t>
      </w:r>
      <w:r>
        <w:rPr>
          <w:color w:val="000000"/>
        </w:rPr>
        <w:t xml:space="preserve"> </w:t>
      </w:r>
      <w:r>
        <w:rPr>
          <w:rFonts w:ascii="Times New Roman;serif" w:hAnsi="Times New Roman;serif"/>
          <w:b w:val="false"/>
          <w:color w:val="000000"/>
          <w:sz w:val="20"/>
        </w:rPr>
        <w:t xml:space="preserve">Growing enrollment in ongoing and planned key clinical trials in BCG-naïve bladder cancer, NSCLC, glioblastoma, sepsis, non-Hodgkin lymphoma, and treatment of lymphopenia </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0"/>
        </w:rPr>
        <w:t>BCG-Unresponsive NMIBC with Papillary Tumors:</w:t>
      </w:r>
      <w:r>
        <w:rPr>
          <w:color w:val="000000"/>
        </w:rPr>
        <w:t xml:space="preserve"> </w:t>
      </w:r>
      <w:r>
        <w:rPr>
          <w:rFonts w:ascii="Times New Roman;serif" w:hAnsi="Times New Roman;serif"/>
          <w:b w:val="false"/>
          <w:color w:val="000000"/>
          <w:sz w:val="20"/>
        </w:rPr>
        <w:t xml:space="preserve">The company applied to the NCCN to seek expansion of the BCG-unresponsive NMIBC guidelines to include papillary-only disease in addition to CIS with or without papillary tumors, and the company is awaiting a decision on the matter expected in late Q1 or early Q2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22885"/>
                <wp:effectExtent l="0" t="0" r="0" b="0"/>
                <wp:wrapNone/>
                <wp:docPr id="157" name="Frame1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Pipeline Summary</w:t>
      </w:r>
    </w:p>
    <w:tbl>
      <w:tblPr>
        <w:tblW w:w="10205" w:type="dxa"/>
        <w:jc w:val="left"/>
        <w:tblInd w:w="0" w:type="dxa"/>
        <w:tblLayout w:type="fixed"/>
        <w:tblCellMar>
          <w:top w:w="28" w:type="dxa"/>
          <w:left w:w="28" w:type="dxa"/>
          <w:bottom w:w="28" w:type="dxa"/>
          <w:right w:w="28" w:type="dxa"/>
        </w:tblCellMar>
      </w:tblPr>
      <w:tblGrid>
        <w:gridCol w:w="718"/>
        <w:gridCol w:w="593"/>
        <w:gridCol w:w="595"/>
        <w:gridCol w:w="754"/>
        <w:gridCol w:w="754"/>
        <w:gridCol w:w="759"/>
        <w:gridCol w:w="444"/>
        <w:gridCol w:w="444"/>
        <w:gridCol w:w="453"/>
        <w:gridCol w:w="1518"/>
        <w:gridCol w:w="1499"/>
        <w:gridCol w:w="1515"/>
        <w:gridCol w:w="159"/>
      </w:tblGrid>
      <w:tr>
        <w:trPr/>
        <w:tc>
          <w:tcPr>
            <w:tcW w:w="7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Product Candidate</w:t>
            </w:r>
          </w:p>
        </w:tc>
        <w:tc>
          <w:tcPr>
            <w:tcW w:w="2267"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Indication</w:t>
            </w:r>
          </w:p>
        </w:tc>
        <w:tc>
          <w:tcPr>
            <w:tcW w:w="1341"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Phase</w:t>
            </w:r>
          </w:p>
        </w:tc>
        <w:tc>
          <w:tcPr>
            <w:tcW w:w="4532"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FFFFFF"/>
                <w:sz w:val="20"/>
              </w:rPr>
            </w:pPr>
            <w:r>
              <w:rPr>
                <w:rFonts w:ascii="Times New Roman;serif" w:hAnsi="Times New Roman;serif"/>
                <w:b w:val="false"/>
                <w:color w:val="FFFFFF"/>
                <w:sz w:val="20"/>
              </w:rPr>
              <w:t>Status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NMIBC CIS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MHRA and SFDA approval; EU (EMA) conditional marketing authorization</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CPI</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Progressing, metastatic NSCLC</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Approved/Phase 3</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SFDA conditional approval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BCG-naïve NMIBC</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2B</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85% enrolled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papillary</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Resubmission plan</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PD-L1 CAR-NK</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Recurrent GBM</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trial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PD-L1 CAR-NK</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Pancreatic cancer</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RMAT designation</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CD19 CAR-NK + rituximab</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NHL</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QUILT-106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ANKTIVA</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Lymphopenia (solid tumors)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EAP authorized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rBCG (Serum Institute)</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NMIBC</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FDA EAP authorized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M-ceNK</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Solid tumors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4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Ad-HPV</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HPV</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4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Initiated and enrolling</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Cancer BioShield Platform Components Addressing the Immune System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pipeline includes clinical-stage programs in the following indications: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Bladder Cancer: BCG-unresponsive NMIBC CIS with or without papillary tumors (approved), BCG-unresponsive papillary, BCG-naïve NMIBC</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Lung Cancer: Progressing, metastatic NSCLC in combination with CPIs (accelerated conditional approval in Saudi Arabia)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Lymphopenia: Tumor-agnostic treatment of chemotherapy/radiation-induced lymphopenia (EAP authorized)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Pancreatic Cancer: Advanced/metastatic disease (RMAT designation)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Glioblastoma: Recurrent GBM (registration trial)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Non-Hodgkin Lymphoma: Waldenström macroglobulinemia and other CD19+/CD20+ lymphomas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Colorectal Cancer/Lynch Syndrome: Cancer prevention in high-risk patients (NCI-sponsored)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Prostate Cancer: High-risk prostate cancer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Ovarian Cancer: Platinum-resistant ovarian cancer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Infectious Diseases: HIV, Long COVID, universal nucleocapsid vaccine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Apheresis Platform: M-ceNK with cryopreservation and storage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22885"/>
                <wp:effectExtent l="0" t="0" r="0" b="0"/>
                <wp:wrapNone/>
                <wp:docPr id="158" name="Frame1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Collaboration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strategic collaborations will continue to be an integral part of our operations, providing opportunities to leverage our partners’ expertise and capabilities to gain access to new markets for our approved product and acquire new technologies or further expand the potential of our technologies, approved product and product candidates across relevant platforms. We believe we are well positioned to become a leader in immunotherapy due to our broad and vertically-integrated platforms and through complementary strategic partnerships.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believe that our innovative approach to orchestrate and combine therapies for optimal immune system response will become a therapeutic foundation across multiple indications. Additionally, we believe that data from multiple clinical trials indicates ANKTIVA has broad potential to enhance the activity of therapeutic mAbs, including CPIs, across a wide range of tumor types and potentially rescue lymphopenia by proliferation and activation of NK and T cells. We may also enter into supply arrangements for various investigational agents to be used in our clinical trials. See Part I, Item 1. </w:t>
      </w:r>
      <w:r>
        <w:rPr>
          <w:color w:val="000000"/>
        </w:rPr>
        <w:t>“</w:t>
      </w:r>
      <w:r>
        <w:rPr>
          <w:rFonts w:ascii="Times New Roman;serif" w:hAnsi="Times New Roman;serif"/>
          <w:b w:val="false"/>
          <w:i/>
          <w:color w:val="000000"/>
          <w:sz w:val="20"/>
        </w:rPr>
        <w:t>Business—</w:t>
      </w:r>
      <w:hyperlink w:anchor="i49f82bc2aa33405eae1e0b45f37d1ae6_55">
        <w:r>
          <w:rPr>
            <w:rStyle w:val="InternetLink"/>
            <w:rFonts w:ascii="Times New Roman;serif" w:hAnsi="Times New Roman;serif"/>
            <w:b w:val="false"/>
            <w:i/>
            <w:color w:val="0000FF"/>
            <w:sz w:val="20"/>
            <w:u w:val="single"/>
          </w:rPr>
          <w:t>Collaboration and License Agreements</w:t>
        </w:r>
      </w:hyperlink>
      <w:r>
        <w:rPr>
          <w:color w:val="000000"/>
        </w:rPr>
        <w:t xml:space="preserve">” </w:t>
      </w:r>
      <w:r>
        <w:rPr>
          <w:rFonts w:ascii="Times New Roman;serif" w:hAnsi="Times New Roman;serif"/>
          <w:b w:val="false"/>
          <w:color w:val="000000"/>
          <w:sz w:val="20"/>
        </w:rPr>
        <w:t>in this Annual Report for a more detailed discussion regarding our collaboration and 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Agreements with Related Parties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Debt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See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regarding our related-party debt.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NantWorks, LLC</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Our Founder,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 See </w:t>
      </w:r>
      <w:hyperlink w:anchor="i49f82bc2aa33405eae1e0b45f37d1ae6_277">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regarding our agreements with NantWorks.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Immuno-Oncology Clinic, Inc.</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have entered into multiple agreements with </w:t>
      </w:r>
      <w:r>
        <w:rPr>
          <w:rFonts w:ascii="Times New Roman;serif" w:hAnsi="Times New Roman;serif"/>
          <w:b w:val="false"/>
          <w:color w:val="000000"/>
          <w:sz w:val="20"/>
          <w:shd w:fill="FFFFFF" w:val="clear"/>
        </w:rPr>
        <w:t xml:space="preserve">the Clinic </w:t>
      </w:r>
      <w:r>
        <w:rPr>
          <w:rFonts w:ascii="Times New Roman;serif" w:hAnsi="Times New Roman;serif"/>
          <w:b w:val="false"/>
          <w:color w:val="000000"/>
          <w:sz w:val="20"/>
        </w:rPr>
        <w:t>to conduct clinical trials related to certain of our product candidates. The Clinic is a related party as it is owned by an officer of the company and NantWorks manages the administrative operations of the Clinic. See </w:t>
      </w:r>
      <w:hyperlink w:anchor="i49f82bc2aa33405eae1e0b45f37d1ae6_277">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regarding our agreements with the Clinic.</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Leases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lease property in multiple facilities across the U.S. and Italy, including facilities located in El Segundo and Culver City, CA that are leased from related parties. See </w:t>
      </w:r>
      <w:hyperlink w:anchor="i49f82bc2aa33405eae1e0b45f37d1ae6_277">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about our related-party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22885"/>
                <wp:effectExtent l="0" t="0" r="0" b="0"/>
                <wp:wrapNone/>
                <wp:docPr id="159" name="Frame1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A total of 1,638,000 warrants issued to an affiliate of Dr. Soon-Shiong with an exercise price of $3.24 per share were outstanding as of December 31, 2025. See </w:t>
      </w:r>
      <w:hyperlink w:anchor="i49f82bc2aa33405eae1e0b45f37d1ae6_301">
        <w:r>
          <w:rPr>
            <w:rStyle w:val="InternetLink"/>
            <w:rFonts w:ascii="Times New Roman;serif" w:hAnsi="Times New Roman;serif"/>
            <w:b w:val="false"/>
            <w:color w:val="0000FF"/>
            <w:sz w:val="20"/>
            <w:u w:val="single"/>
          </w:rPr>
          <w:t>Note 18</w:t>
        </w:r>
      </w:hyperlink>
      <w:r>
        <w:rPr>
          <w:color w:val="000000"/>
        </w:rPr>
        <w:t xml:space="preserve">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 xml:space="preserve">of the “Notes to Consolidated Financial Statements” that appears in Part II, Item 8. “Financial Statements and Supplementary Data” of this Annual Report for more information regarding the related-party warrants.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Value Rights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December 31, 2025, Dr. Soon-Shiong, our Founder, Executive Chairman and Global Chief Scientific and Medical Officer, and his related party hold approximately $139.8 million of net sales CVRs. See </w:t>
      </w:r>
      <w:hyperlink w:anchor="i49f82bc2aa33405eae1e0b45f37d1ae6_250">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of the “Notes to Consolidated Financial Statements” that appears in Part II, Item 8. “Financial Statements and Supplementary Data” of this Annual Report for more information regarding the CVRs.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22885"/>
                <wp:effectExtent l="0" t="0" r="0" b="0"/>
                <wp:wrapNone/>
                <wp:docPr id="160" name="Frame1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Discussion of Consolidated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tbl>
      <w:tblPr>
        <w:tblW w:w="10205" w:type="dxa"/>
        <w:jc w:val="left"/>
        <w:tblInd w:w="0" w:type="dxa"/>
        <w:tblLayout w:type="fixed"/>
        <w:tblCellMar>
          <w:top w:w="28" w:type="dxa"/>
          <w:left w:w="28" w:type="dxa"/>
          <w:bottom w:w="28" w:type="dxa"/>
          <w:right w:w="28" w:type="dxa"/>
        </w:tblCellMar>
      </w:tblPr>
      <w:tblGrid>
        <w:gridCol w:w="1587"/>
        <w:gridCol w:w="1333"/>
        <w:gridCol w:w="1340"/>
        <w:gridCol w:w="109"/>
        <w:gridCol w:w="109"/>
        <w:gridCol w:w="109"/>
        <w:gridCol w:w="211"/>
        <w:gridCol w:w="892"/>
        <w:gridCol w:w="109"/>
        <w:gridCol w:w="109"/>
        <w:gridCol w:w="109"/>
        <w:gridCol w:w="109"/>
        <w:gridCol w:w="211"/>
        <w:gridCol w:w="892"/>
        <w:gridCol w:w="109"/>
        <w:gridCol w:w="109"/>
        <w:gridCol w:w="109"/>
        <w:gridCol w:w="109"/>
        <w:gridCol w:w="211"/>
        <w:gridCol w:w="721"/>
        <w:gridCol w:w="109"/>
        <w:gridCol w:w="109"/>
        <w:gridCol w:w="109"/>
        <w:gridCol w:w="109"/>
        <w:gridCol w:w="265"/>
        <w:gridCol w:w="266"/>
        <w:gridCol w:w="483"/>
        <w:gridCol w:w="158"/>
      </w:tblGrid>
      <w:tr>
        <w:trPr/>
        <w:tc>
          <w:tcPr>
            <w:tcW w:w="158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amounts</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with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(including amounts</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with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(256,027)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(344,182)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amounts with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revenue interest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(95,580)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income taxes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(351,607)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(351,472)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62,173 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net increased $98.8 million during the year ended December 31, 2025, as compared to the year ended December 31, 2024, due to an increase in sales of ANKTIVA, which was approved in April 2024.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revenues decreased $0.3 million during the year ended December 31, 2025, as compared to the year ended December 31, 2024, primarily due to decreased bioreactor and related consumable product sales, and decreased license royalty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22885"/>
                <wp:effectExtent l="0" t="0" r="0" b="0"/>
                <wp:wrapNone/>
                <wp:docPr id="161" name="Frame1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Cost of sales increased $0.8 million during the year ended December 31, 2025, as compared to the year ended December 31, 2024. We did not report cost of sales during the year ended December 31, 2024. Cost of sales consists primarily of third-party manufacturing, distribution, and overhead costs. All costs associated with the production of ANKTIVA prior to receiving regulatory approval were expensed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 of operations in the period incurred and therefore are not reflected in cost of sales. As a result, our initial product gross margin is higher as our pre-launch inventory costs are not included in the cost of sales. We expect the cost of sales for ANKTIVA to increase in relation to product revenues as we deplete these inventories.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consists of expenses incurred while performing research and development activities to expand the approved markets, label, and indications of our approved product ANKTIVA and to discover and develop our technology and product candidates. This includes conducting preclinical studies and clinical trials, manufacturing development efforts, and activities related to regulatory submissions for our approved product and product candidates. We expense research and development costs as they are incurred.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primarily consist of:</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clinical trial and regulatory-related costs;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expenses incurred under agreements with investigative sites, CROs, and consultants that conduct our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expenses incurred under collaborative agreements;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manufacturing and testing costs and related supplies and materials;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employee-related expenses, including salaries, benefits, travel and stock-based compensation;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facility and equipment expense dedicated to research and development.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research and development expenses as either external or internal. The company’s external research and development expenses support its various preclinical and clinical programs. The company’s internal research and development expenses include payroll and benefits expenses, facilities and equipment expense, and other indirect research and development expenses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We expect our research and development expenses to increase significantly for the foreseeable future as we continue to invest in research and development activities related to expanding our product into new indications and markets, developing our other product candidates, and conducting our ongoing and planned clinical trials</w:t>
      </w:r>
      <w:r>
        <w:rPr>
          <w:rFonts w:ascii="Times New Roman;serif" w:hAnsi="Times New Roman;serif"/>
          <w:b w:val="false"/>
          <w:color w:val="000000"/>
          <w:sz w:val="20"/>
        </w:rPr>
        <w:t>.</w:t>
      </w:r>
      <w:r>
        <w:rPr>
          <w:color w:val="000000"/>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our other product candidates or to expand potential approved markets and indications for ANKTIVA. This is due to the numerous risks and uncertainties associated with the development of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22885"/>
                <wp:effectExtent l="0" t="0" r="0" b="0"/>
                <wp:wrapNone/>
                <wp:docPr id="162" name="Frame1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costs of clinical trials may vary significantly over the life of a project owing to, but not limited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number of sites included in the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countries in which the clinical trials are conducted;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number of patients that participate in the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number of doses that patients receive;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 of comparative or combination agents used in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potential additional safety monitoring or other studies or incremental cohorts requested by regulatory agencies;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potential CRO costs and overhead;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duration of patient follow-up;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safety profile and efficacy of the product candidate.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$28.4 million during the year ended December 31, 2025, as compared to the year ended December 31, 2024. The following table summarizes our research and development expense during the years ended December 31, 2025 and 2024, together with the changes in those items (in thousands):</w:t>
      </w:r>
    </w:p>
    <w:tbl>
      <w:tblPr>
        <w:tblW w:w="8453" w:type="dxa"/>
        <w:jc w:val="left"/>
        <w:tblInd w:w="0" w:type="dxa"/>
        <w:tblLayout w:type="fixed"/>
        <w:tblCellMar>
          <w:top w:w="28" w:type="dxa"/>
          <w:left w:w="28" w:type="dxa"/>
          <w:bottom w:w="28" w:type="dxa"/>
          <w:right w:w="28" w:type="dxa"/>
        </w:tblCellMar>
      </w:tblPr>
      <w:tblGrid>
        <w:gridCol w:w="1484"/>
        <w:gridCol w:w="1302"/>
        <w:gridCol w:w="1308"/>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depreciation, and facility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$28.4 million primarily attributable to the following:</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an immaterial increase in external research and development expense that was primarily due to an increase in clinical trial related costs, including higher investigator fees, CRO fees and other clinical trial costs, partially offset by a reduction in outside service costs, and a reduction in contract manufacturing costs;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a $3.9 million increase in personnel-related costs that was primarily due to an increase in salary and benefits, and a decrease in shared service costs charged out, partially offset by a decrease in stock-based compensation; partially offset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$0.1 million decrease in equipment, depreciation, and facility costs that was primarily due to lower depreciation expenses due to fully depreciated fixed assets, and lower software subscription expenses, partially offset by an increase in facility costs mainly driven by building repairs;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22885"/>
                <wp:effectExtent l="0" t="0" r="0" b="0"/>
                <wp:wrapNone/>
                <wp:docPr id="163" name="Frame1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rPr>
        <w:t>a $24.6 million increase in other research and development costs, primarily attributable to a $14.0 million write-off of fixed assets, higher manufacturing costs due to increased production activities, higher license fees due to new subscriptions, and higher distribution costs due to increased clinical trial activities, partially offset by lower inventory materials costs and decreased sponsored research agreement costs.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increase significantly as we pursue label expansions for ANKTIVA in the U.S. and globally, advance our product pipeline, and execute planned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information technology, legal, sales and administrative support functions. Other selling, general and administrative expenses include sales and marketing costs, facility-related costs not otherwise allocated to research and development expense, professional fees for auditing, tax and legal services, advertising costs, expenses associated with strategic business transactions and business development efforts, obtaining and maintaining patents, consulting costs, royalties and licensing costs, and costs of our information systems.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selling, general and administrative expense will increase for the foreseeable future as we continue commercializing our approved product and expand operations in the U.S. and globally, build out information systems and increase our headcount to support continued research activities and the development of our clinical programs. We have incurred and expect that we will continue to incur in the future, additional costs associated with operating as a public company, including costs to comply with stock exchange listing and SEC requirements, future funding efforts, corporate governance, internal controls, investor relations, disclosure and similar requirements applicable to public companies. Additionally, as we pursue international product sales of our approved product we expect to incur the associated increases in our selling, general and administrative expense. If and when we believe that a regulatory approval of one of our other product candidates appears likely, we expect to incur significant increases in our selling, general and administrative expense related to the sales and marketing of any additional approved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decreased $18.8 million during the year ended December 31, 2025, as compared to the year ended December 31, 2024, primarily attributable to the following:</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rPr>
        <w:t>a $53.7 million decrease in professional service expenses that was primarily attributable to a decrease in legal expenses driven by lower defense costs and litigation settlements, a decrease in consulting costs driven by insourced related functions, and a decrease in audit and tax fees; partially offset by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$24.6 million increase in personnel-related costs including salaries and benefits, stock based compensation, commissions, recruiting and training expenses, and travel expenses due to growing sales and marketing activities;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$5.7 million increase in commercial related expenses that was primarily driven by higher marketing expenses and higher distribution costs as a result of continued commercialization development and sales growth;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$1.9 million increase in equipment expenses that was primarily due to increased software license fees, and higher equipment maintenance costs;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$1.4 million increase in facility expenses that was primarily due to increased security costs and lease expenses;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$1.3 million increase in other expenses that was primarily attributable to increased public relations expenses, depreciation expenses, and insurance costs, partially offset by a reduction in shared service costs charged out.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interest and investment income (loss), interest expense (including amortization of debt discounts), unrealized gains and losses from investments in equity securities and equity-method investments, changes in fair value of warrant liabilities, derivative liabilities, and convertible notes, realized gains and losses on debt and equity securities, warrant issuance costs, and gains and losses on foreign currency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22885"/>
                <wp:effectExtent l="0" t="0" r="0" b="0"/>
                <wp:wrapNone/>
                <wp:docPr id="164" name="Frame1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expense, net increased $26.1 million during the year ended December 31, 2025, as compared to the year ended December 31, 2024, primarily attributable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increase of $86.2 million from the change in fair value of convertible notes driven by the revaluation loss of $42.7 million during the year ended December 31, 2025, as compared to the gain of $43.5 million during the year ended December 31,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increase of $11.9 million in interest expense related to the revenue interest liability;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of $7.1 million in the gain from change in fair value of derivative liabilities;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increase of $2.1 million in other expense mainly driven by warrant issuance fees during the year ended December 31,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decrease of $1.6 million in interest and investment income, net, driven by a lower outstanding balance of treasury security holdings; partially offset by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of $53.7 million in interest expense due to the lower outstanding balance of related-party debt and no amortization of related-party notes discounts as a result of December 2024 debt extinguishment;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decrease of $29.1 million due to the reduction of fair value of warrant liabilities.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2024 to 2023</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See Part II, Item 7. </w:t>
      </w:r>
      <w:r>
        <w:rPr>
          <w:color w:val="000000"/>
          <w:shd w:fill="FFFFFF" w:val="clear"/>
        </w:rPr>
        <w:t>“</w:t>
      </w:r>
      <w:r>
        <w:rPr>
          <w:rFonts w:ascii="Times New Roman;serif" w:hAnsi="Times New Roman;serif"/>
          <w:b w:val="false"/>
          <w:i/>
          <w:color w:val="000000"/>
          <w:sz w:val="20"/>
          <w:shd w:fill="FFFFFF" w:val="clear"/>
        </w:rPr>
        <w:t>Management’s Discussion and Analysis of Financial Condition and Results of Operations—Results of Operations”</w:t>
      </w:r>
      <w:r>
        <w:rPr>
          <w:color w:val="000000"/>
          <w:shd w:fill="FFFFFF" w:val="clear"/>
        </w:rPr>
        <w:t xml:space="preserve"> </w:t>
      </w:r>
      <w:r>
        <w:rPr>
          <w:rFonts w:ascii="Times New Roman;serif" w:hAnsi="Times New Roman;serif"/>
          <w:b w:val="false"/>
          <w:color w:val="000000"/>
          <w:sz w:val="20"/>
        </w:rPr>
        <w:t>of our Annual Report filed with the SEC on March 3, 2025 for a discussion of the company’s results of operations during the year ended December 31, 2024 compared to the year ended December 31, 2023.</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inception through December 31, 2025, we have funded our operations primarily through proceeds from the issuance of related-party promissory notes, sales of common stock under our shelf registration statements, through RDOs and the ATM, a RIPA financing, and recently from net product sales associated with ANKTIVA.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and Marketable Securities on Hand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cash and cash equivalents, and marketable securities of $242.8 million compared to $149.8 million as of December 31, 2024. We have typically invested our cash in a variety of financial instruments and classified these investments as available-for-sale. However, after our entry into the RIPA we can no longer invest our excess funds in corporate or European bonds. Certain of our investments are subject to credit, liquidity, market, and interest-rate risks. The general condition of the financial markets and the economy may increase those risks and may affect the value and liquidity of investments and restrict our ability to access the capital markets.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Shelf Registration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As of December 31, 2025, we had $565.6 million available for use under this shelf. This shelf registration statement expired on February 9, 2026.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22885"/>
                <wp:effectExtent l="0" t="0" r="0" b="0"/>
                <wp:wrapNone/>
                <wp:docPr id="165" name="Frame1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At-the-Market Offering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the ATM under which we may offer and sell, from time to time at our sole discretion, shares of our common stock through our sales agent. During the year ended December 31, 2025, we received net proceeds totaling $250.1 million from the issuance of shares under the ATM. In December 2025, we filed a prospectus supplement to our shelf registration statement that amended the 2021 ATM agreement to increase the amount available for future stock issuances under the ATM to $500.0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Registered Direct Offerings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7, 2025, we entered into a securities purchase agreement with an institutional investor for the purchase and sale of 29,024,768 shares of our common stock, as well as warrants that allows such investor to purchase an additional 29,024,768 shares of common stock at an exercise price of $3.1010 per share, for a purchase price of $2.5840 per share and accompanying warrant. This transaction generated net proceeds of approximately $74.8 million, after deducting offering costs of $0.2 million. These warrants became immediately exercisable on April 9, 2025 and expire on April 9, 2030.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24, 2025, we entered into a securities purchase agreement with institutional investors for the purchase and sale of 29,629,632 shares of our common stock, as well as warrants that allows such investors to purchase an additional 29,629,632 shares of common stock at an exercise price of $3.240 per share, for a purchase price of $2.700 per share and accompanying warrant. This transaction generated net proceeds of approximately $75.4 million, after deducting placement agent fees and offering costs totaling $4.6 million. These warrants became immediately exercisable on July 28, 2025 and expire on July 28, 2030.</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Exercise of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Subsequent to December 31, 2025, institutional holders exercised a total of 15,524,768 warrants pursuant to the April 2025 Warrant agreement at an exercise price of $3.1010 per share resulting in the issuance of 15,524,768 shares of the company’s common stock for proceeds totaling $48.1 million. As of February 23, 2026, a total of 13,500,000 warrants remain outstanding under the April 2025 Warrant agreement. See “</w:t>
      </w:r>
      <w:hyperlink w:anchor="i3e2e5ed48f1e44e48efd06ef3df89bf3_5514">
        <w:r>
          <w:rPr>
            <w:rStyle w:val="InternetLink"/>
          </w:rPr>
          <w:t>Sub</w:t>
        </w:r>
      </w:hyperlink>
      <w:hyperlink w:anchor="i3e2e5ed48f1e44e48efd06ef3df89bf3_5514">
        <w:r>
          <w:rPr>
            <w:rStyle w:val="InternetLink"/>
          </w:rPr>
          <w:t>sequent Ev</w:t>
        </w:r>
      </w:hyperlink>
      <w:hyperlink w:anchor="i3e2e5ed48f1e44e48efd06ef3df89bf3_5514">
        <w:r>
          <w:rPr>
            <w:rStyle w:val="InternetLink"/>
          </w:rPr>
          <w:t>ents</w:t>
        </w:r>
      </w:hyperlink>
      <w:r>
        <w:rPr>
          <w:color w:val="000000"/>
        </w:rPr>
        <w:t xml:space="preserve">” </w:t>
      </w:r>
      <w:r>
        <w:rPr>
          <w:rFonts w:ascii="Times New Roman;serif" w:hAnsi="Times New Roman;serif"/>
          <w:b w:val="false"/>
          <w:color w:val="000000"/>
          <w:sz w:val="20"/>
        </w:rPr>
        <w:t>below for more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 Interest Purchase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we entered into the RIPA with Infinity and Oberland. Pursuant to the RIPA, Oberland acquired certain initial Revenue Interests from us for a gross purchase price of $200.0 million paid on closing. Oberland had the option to purchase additional Revenue Interests from us in exchange for a $100.0 million Second Payment upon satisfaction of certain conditions in the RIPA, including receipt of approval from the FDA of our BLA for ANKTIVA on or before June 30, 2024. In April 2024, the FDA approved our product ANKTIVA and as a result, on May 13, 2024 Oberland purchased additional Revenue Interests from us for a gross purchase price of $100.0 million, less certain issuance costs.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As consideration for the aforementioned payments, Oberland has the right to receive quarterly Revenue Interest Payments from us based on, among other things, a certain percentage of our net sales during such quarter, which are tiered payments ranging from 4.5% to 10.0% (before funding of the Second Payment, 3.0% to 7.0%) of the company’s worldwide net sales, excluding those in China. See </w:t>
      </w:r>
      <w:hyperlink w:anchor="i49f82bc2aa33405eae1e0b45f37d1ae6_26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 xml:space="preserve">of the “Notes to Consolidated Financial Statements” that appears in Part II, Item 8. “Financial Statements and Supplementary Data” of this Annual Report for more information regarding our payment obligations under the RIPA.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Conversion of Related-Party Promissory Notes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10, 2024 in connection with an equity offering, the company received written notices from Nant Capital, the holder of the $30.0 million promissory note due December 31, 2025 and the $200.0 million promissory note due September 11, 2026, of its election to convert the entire outstanding principal and accrued interest due under the existing notes into shares of the company’s common stock. As of such date, the total outstanding principal and accrued and unpaid interest due under the existing notes of approximately $30.7 million was converted into 13,475,172 shares of the company’s common stock at a price of $2.28 per share (for the $30.0 million note) and approximately $200.7 million was converted into 103,710,088 shares of the company’s common stock at a price of $1.9350 per share (for the $200.0 million note) in accordance with the terms of the existing promissory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22885"/>
                <wp:effectExtent l="0" t="0" r="0" b="0"/>
                <wp:wrapNone/>
                <wp:docPr id="166" name="Frame1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See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regarding our related-party debt.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Purchase and Option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and in connection with the RIPA, we entered into a SPOA with Oberland. Under this agreement, Oberland had an option to purchase up to $10.0 million of our common stock, at a price per share to be determined by reference to the 30-day trailing volume weighted-average price of our common stock, calculated from the date of exercise. The option is exercisable by Oberland at any time until the earliest of (i) 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Pursuant to the SPOA, in April 2024 Oberland exercised its option to purchase 858,990 shares of our common stock at an exercise price of $5.8208 per share generating net proceeds of approximately $4.9 million. In relation to this transaction, we recorded $7.6 million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 xml:space="preserve">on the statement of stockholders’ deficit during the year ended December 31, 2024. Following such exercise, approximately $5.0 million remains available for future exercise under the SPOA as of December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Uses of Liquidity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addition to the cash used to fund our operating activities discussed in “</w:t>
      </w:r>
      <w:hyperlink w:anchor="i89d9d8b789c44129a25a4c95f92305ba_24457">
        <w:r>
          <w:rPr>
            <w:rStyle w:val="InternetLink"/>
            <w:color w:val="0000FF"/>
            <w:u w:val="single"/>
          </w:rPr>
          <w:t>—</w:t>
        </w:r>
      </w:hyperlink>
      <w:hyperlink w:anchor="i89d9d8b789c44129a25a4c95f92305ba_24457">
        <w:r>
          <w:rPr>
            <w:rStyle w:val="InternetLink"/>
            <w:rFonts w:ascii="Times New Roman;serif" w:hAnsi="Times New Roman;serif"/>
            <w:b w:val="false"/>
            <w:i/>
            <w:color w:val="0000FF"/>
            <w:sz w:val="20"/>
            <w:u w:val="single"/>
          </w:rPr>
          <w:t>Future Funding Requirements</w:t>
        </w:r>
      </w:hyperlink>
      <w:r>
        <w:rPr>
          <w:color w:val="000000"/>
        </w:rPr>
        <w:t xml:space="preserve">” </w:t>
      </w:r>
      <w:r>
        <w:rPr>
          <w:rFonts w:ascii="Times New Roman;serif" w:hAnsi="Times New Roman;serif"/>
          <w:b w:val="false"/>
          <w:color w:val="000000"/>
          <w:sz w:val="20"/>
        </w:rPr>
        <w:t>below, we will require cash to settle the following obligations: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As of December 31, 2025, our indebtedness payable at maturity is $505.0 million. This convertible promissory note is held by Nant Capital, an entity affiliated with Dr. Soon-Shiong. In connection with the RIPA, our related-party promissory note is a general unsecured obligation of the company that is subordinated in right of payment to indebtedness, obligations, and other liabilities under the RIPA, the Revenue Interests issued pursuant to such agreement, and refinancing of the foregoing.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Although this promissory note is convertible into shares of common stock at $5.4270, there can be no assurance that it will be converted or that the company can refinance this promissory note or what terms will be available in the market at the time of any required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December 29, 2023</w:t>
      </w:r>
      <w:r>
        <w:rPr>
          <w:rFonts w:ascii="Times New Roman;serif" w:hAnsi="Times New Roman;serif"/>
          <w:b w:val="false"/>
          <w:color w:val="000000"/>
          <w:sz w:val="20"/>
          <w:shd w:fill="FFFFFF" w:val="clear"/>
        </w:rPr>
        <w:t xml:space="preserve">, we entered into the RIPA with Infinity and Oberland. Oberland has the right to receive quarterly Revenue Interest Payments from us based on, among other things, our worldwide net sales, excluding those in China, which will be tiered payments initially ranging from </w:t>
      </w:r>
      <w:r>
        <w:rPr>
          <w:rFonts w:ascii="Times New Roman;serif" w:hAnsi="Times New Roman;serif"/>
          <w:b w:val="false"/>
          <w:color w:val="000000"/>
          <w:sz w:val="20"/>
        </w:rPr>
        <w:t>4.5% to 10.0% (before funding of the Second Payment, 3.0% to 7.0%)</w:t>
      </w:r>
      <w:r>
        <w:rPr>
          <w:rFonts w:ascii="Times New Roman;serif" w:hAnsi="Times New Roman;serif"/>
          <w:b w:val="false"/>
          <w:color w:val="000000"/>
          <w:sz w:val="20"/>
          <w:shd w:fill="FFFFFF" w:val="clear"/>
        </w:rPr>
        <w:t xml:space="preserve">, subject to increase or decrease, following </w:t>
      </w:r>
      <w:r>
        <w:rPr>
          <w:rFonts w:ascii="Times New Roman;serif" w:hAnsi="Times New Roman;serif"/>
          <w:b w:val="false"/>
          <w:color w:val="000000"/>
          <w:sz w:val="20"/>
        </w:rPr>
        <w:t>December 31, 2029</w:t>
      </w:r>
      <w:r>
        <w:rPr>
          <w:color w:val="000000"/>
          <w:shd w:fill="FFFFFF" w:val="clear"/>
        </w:rPr>
        <w:t xml:space="preserve"> </w:t>
      </w:r>
      <w:r>
        <w:rPr>
          <w:rFonts w:ascii="Times New Roman;serif" w:hAnsi="Times New Roman;serif"/>
          <w:b w:val="false"/>
          <w:color w:val="000000"/>
          <w:sz w:val="20"/>
          <w:shd w:fill="FFFFFF" w:val="clear"/>
        </w:rPr>
        <w:t xml:space="preserve">(the Test Date) </w:t>
      </w:r>
      <w:r>
        <w:rPr>
          <w:rFonts w:ascii="Times New Roman;serif" w:hAnsi="Times New Roman;serif"/>
          <w:b w:val="false"/>
          <w:color w:val="000000"/>
          <w:sz w:val="20"/>
        </w:rPr>
        <w:t xml:space="preserve">depending on </w:t>
      </w:r>
      <w:r>
        <w:rPr>
          <w:rFonts w:ascii="Times New Roman;serif" w:hAnsi="Times New Roman;serif"/>
          <w:b w:val="false"/>
          <w:color w:val="000000"/>
          <w:sz w:val="20"/>
          <w:shd w:fill="FFFFFF" w:val="clear"/>
        </w:rPr>
        <w:t>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True-Up Payment to Oberland in an amount equal to 100% of the Cumulative Purchaser Payments as of the Test Date, less the aggregate amount of our previous payments to Oberland as of the Test Date. See </w:t>
      </w:r>
      <w:hyperlink w:anchor="i49f82bc2aa33405eae1e0b45f37d1ae6_262">
        <w:r>
          <w:rPr>
            <w:rStyle w:val="InternetLink"/>
            <w:rFonts w:ascii="Times New Roman;serif" w:hAnsi="Times New Roman;serif"/>
            <w:b w:val="false"/>
            <w:color w:val="0000FF"/>
            <w:sz w:val="20"/>
            <w:u w:val="single"/>
            <w:shd w:fill="FFFFFF" w:val="clear"/>
          </w:rPr>
          <w:t>Note 13</w:t>
        </w:r>
      </w:hyperlink>
      <w:r>
        <w:rPr>
          <w:color w:val="000000"/>
          <w:shd w:fill="FFFFFF" w:val="clear"/>
        </w:rPr>
        <w:t xml:space="preserve"> “</w:t>
      </w:r>
      <w:r>
        <w:rPr>
          <w:rFonts w:ascii="Times New Roman;serif" w:hAnsi="Times New Roman;serif"/>
          <w:b w:val="false"/>
          <w:i/>
          <w:color w:val="000000"/>
          <w:sz w:val="20"/>
          <w:shd w:fill="FFFFFF" w:val="clear"/>
        </w:rPr>
        <w:t>Revenue Interest Purchase Agreement”</w:t>
      </w:r>
      <w:r>
        <w:rPr>
          <w:color w:val="000000"/>
          <w:shd w:fill="FFFFFF" w:val="clear"/>
        </w:rPr>
        <w:t xml:space="preserve"> </w:t>
      </w:r>
      <w:r>
        <w:rPr>
          <w:rFonts w:ascii="Times New Roman;serif" w:hAnsi="Times New Roman;serif"/>
          <w:b w:val="false"/>
          <w:color w:val="000000"/>
          <w:sz w:val="20"/>
          <w:shd w:fill="FFFFFF" w:val="clear"/>
        </w:rPr>
        <w:t xml:space="preserve">of the “Notes to Consolidated Financial Statements” </w:t>
      </w:r>
      <w:r>
        <w:rPr>
          <w:rFonts w:ascii="Times New Roman;serif" w:hAnsi="Times New Roman;serif"/>
          <w:b w:val="false"/>
          <w:color w:val="000000"/>
          <w:sz w:val="20"/>
        </w:rPr>
        <w:t>that appears in Part II, Item 8. “Financial Statements and Supplementary Data” of this Annual Report for more information regarding the RIPA.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22885"/>
                <wp:effectExtent l="0" t="0" r="0" b="0"/>
                <wp:wrapNone/>
                <wp:docPr id="167" name="Frame1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December 31, 2025, 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We may need to seek additional sources of capital to satisfy the CVR obligations if they are achieved.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our acquisition of VivaBioCell, we are obligated to pay the former owners approximately $2.3 million of contingent consideration upon the achievement of a regulatory milestone relating to the GMP-in-a-Box technology.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Discussion of Consolidated 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ImmunityBio’s cash flows is based on the consolidated statements of cash flows in Part II, Item 8. “Financial Statements and Supplementary Data” and is not meant to be an all</w:t>
        <w:noBreakHyphen/>
        <w:t>inclusive discussion of the changes in its cash flows for the years presented below.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primary sources and uses of cash for the years indicated (in thousands):</w:t>
      </w:r>
    </w:p>
    <w:tbl>
      <w:tblPr>
        <w:tblW w:w="7793" w:type="dxa"/>
        <w:jc w:val="center"/>
        <w:tblInd w:w="0" w:type="dxa"/>
        <w:tblLayout w:type="fixed"/>
        <w:tblCellMar>
          <w:top w:w="28" w:type="dxa"/>
          <w:left w:w="28" w:type="dxa"/>
          <w:bottom w:w="28" w:type="dxa"/>
          <w:right w:w="28" w:type="dxa"/>
        </w:tblCellMar>
      </w:tblPr>
      <w:tblGrid>
        <w:gridCol w:w="1801"/>
        <w:gridCol w:w="1584"/>
        <w:gridCol w:w="1594"/>
        <w:gridCol w:w="211"/>
        <w:gridCol w:w="901"/>
        <w:gridCol w:w="109"/>
        <w:gridCol w:w="109"/>
        <w:gridCol w:w="109"/>
        <w:gridCol w:w="109"/>
        <w:gridCol w:w="211"/>
        <w:gridCol w:w="901"/>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br/>
              <w:t>December 31,</w:t>
            </w:r>
          </w:p>
        </w:tc>
      </w:tr>
      <w:tr>
        <w:trPr/>
        <w:tc>
          <w:tcPr>
            <w:tcW w:w="49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93" w:type="dxa"/>
            <w:gridSpan w:val="6"/>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w:t>
              <w:br/>
              <w:t>   equivalents,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(54,481)</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(121,875)</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used in operating activities of $304.9 million consisted of a net loss of $351.5 million and $54.3 million of cash used in net working capital, partially offset by $100.9 million in adjustments for non-cash items. The changes in net working capital consisted primarily of an increase of $40.2 million in accounts receivable, net, a decrease of $7.2 million in operating lease liabilities, an increase of $6.3 million in inventories, an increase of $4.9 million in prepaid expenses and other current assets, and a decrease of $0.2 million in accounts payable, partially offset by an increase of $3.2 million in accrued expenses and other liabilities, a decrease of $0.8 million in other assets, and an increase of $0.5 million with related parties. Adjustments for non-cash items primarily consisted of a $42.8 million change in the fair value of a related-party convertible note, $41.2 million of non-cash interest expense related to the revenue interest liability, $36.8 million in stock-based compensation expense, $15.5 million in depreciation and amortization expense, a $14.0 million write-off of fixed assets, $6.3 million in non-cash lease expense related to operating lease right</w:t>
        <w:noBreakHyphen/>
        <w:t>of</w:t>
        <w:noBreakHyphen/>
        <w:t>use assets, $2.2 million of transaction costs allocable to warrant liabilities, and $0.6 million in other items, reduced by a $49.1 million change in fair value of warrant liabilities, a $6.4 million change in the fair value of derivative liabilities, $2.7 million of accretion of discounts on marketable debt securities, and $0.3 million in non-cash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22885"/>
                <wp:effectExtent l="0" t="0" r="0" b="0"/>
                <wp:wrapNone/>
                <wp:docPr id="168" name="Frame1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cash used in operating activities of $391.2 million consisted of a net loss of $413.6 million and $19.4 million of cash used in net working capital, partially offset by $41.8 million in adjustments for non-cash items. The changes in net working capital consisted primarily of an increase of $8.3 million in inventories, a decrease of $5.5 million in operating lease liabilities, a decrease of $3.2 million in accounts payable, an increase of $2.4 million in accounts receivable, net, a decrease of $1.4 million in accrued expenses, and an increase of $1.1 million in other assets, partially offset by a decrease of $1.7 million in prepaid expenses and other current assets and an increase of $0.8 million with related parties. Adjustments for non-cash items primarily consisted of $38.0 million of non-cash interest expense related to the revenue interest liability, $34.4 million in stock-based compensation expense, $22.6 million in amortization of related-party note discounts, $17.6 million in depreciation and amortization expense, $5.8 million in non-cash lease expense related to operating lease right</w:t>
        <w:noBreakHyphen/>
        <w:t>of</w:t>
        <w:noBreakHyphen/>
        <w:t>use assets, $1.2 million in non-cash interest primarily related to related-party promissory notes, $0.6 million in unrealized losses on equity securities driven by a decrease in the value of our investments, and $0.1 million in other items, reduced by a $43.5 million change in the fair value of a related-party convertible note, a $20.0 million change in fair value of warrant liabilities, a $13.5 million change in the fair value of derivative liabilities, and $1.5 million of accretion of discounts on marketable debt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historically experienced negative cash flows from operating activities. Although our net product sales have increased after the FDA approval of ANKTIVA, there can be no assurance these negative cash flows will not continue for the foreseeable future as we accelerate our initiatives which will require significant additional spending.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net cash used in investing activities was $149.8 million, which included cash outflows of $241.4 million for purchases of marketable debt securities, and $4.2 million for purchases of property, plant and equipment and software development costs, partially offset by proceeds of $95.8 million from maturities and sales of marketable debt securities.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net cash used in investing activities was $12.2 million, which included cash outflows of $140.2 million for purchases of marketable debt securities, $6.9 million in purchases of property, plant and equipment, $1.0 million used for the acquisition of a business, net of transaction costs, and $0.7 million cash paid for other investments, partially offset by proceeds of $136.6 million from maturities and sales of marketable debt and equity securities.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in property, plant and equipment are primarily related to acquisitions of equipment that will be used for the manufacturing of our approved product and product candidates and expenditures related to the build out of our manufacturing facilities. We expect to accelerate our capital spending as we scale our GMP manufacturing capabilities, which will require significant capital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provided by financing activities was $400.2 million, which consisted of $400.6 million in net proceeds from equity offerings, $2.8 million in proceeds from short-term borrowings, and $0.2 million in proceeds from the exercise of stock options, partially offset by $2.3 million related to net share settlement of vested RSUs for payment of payroll tax withholding and $1.1 million in principal payments on a premium financing.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cash provided by financing activities was $281.6 million, which consisted of $111.4 million in net proceeds from equity offerings, $97.0 million in net proceeds from payments received pursuant to the RIPA, $73.3 million of proceeds from the exercise of warrants, $4.9 million in net proceeds from the partial exercise of the Oberland stock option, and $0.7 million in proceeds from the exercise of stock options, partially offset by $5.6 million related to net share settlement of vested RSUs for payment of payroll tax withholding and $0.1 million in principal payments of finance leases.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2024 to 2023</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See Part II, Item 7. </w:t>
      </w:r>
      <w:r>
        <w:rPr>
          <w:color w:val="000000"/>
          <w:shd w:fill="FFFFFF" w:val="clear"/>
        </w:rPr>
        <w:t>“</w:t>
      </w:r>
      <w:r>
        <w:rPr>
          <w:rFonts w:ascii="Times New Roman;serif" w:hAnsi="Times New Roman;serif"/>
          <w:b w:val="false"/>
          <w:i/>
          <w:color w:val="000000"/>
          <w:sz w:val="20"/>
          <w:shd w:fill="FFFFFF" w:val="clear"/>
        </w:rPr>
        <w:t>Management’s Discussion and Analysis of Financial Condition and Results of Operations—Results of Operations”</w:t>
      </w:r>
      <w:r>
        <w:rPr>
          <w:color w:val="000000"/>
          <w:shd w:fill="FFFFFF" w:val="clear"/>
        </w:rPr>
        <w:t xml:space="preserve"> </w:t>
      </w:r>
      <w:r>
        <w:rPr>
          <w:rFonts w:ascii="Times New Roman;serif" w:hAnsi="Times New Roman;serif"/>
          <w:b w:val="false"/>
          <w:color w:val="000000"/>
          <w:sz w:val="20"/>
        </w:rPr>
        <w:t xml:space="preserve">of our Annual Report filed with the SEC on March 3, 2025 for a discussion of the company’s consolidated cash flows for the year ended December 31, 2024 compared to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22885"/>
                <wp:effectExtent l="0" t="0" r="0" b="0"/>
                <wp:wrapNone/>
                <wp:docPr id="169" name="Frame1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i/>
          <w:color w:val="000000"/>
          <w:sz w:val="20"/>
        </w:rPr>
      </w:pPr>
      <w:bookmarkStart w:id="20" w:name="i89d9d8b789c44129a25a4c95f92305ba_24457"/>
      <w:bookmarkEnd w:id="20"/>
      <w:r>
        <w:rPr>
          <w:rFonts w:ascii="Times New Roman;serif" w:hAnsi="Times New Roman;serif"/>
          <w:b/>
          <w:i/>
          <w:color w:val="000000"/>
          <w:sz w:val="20"/>
        </w:rPr>
        <w:t>Future Funding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ANKTIVA is now approved by the U.S. FDA, UK MHRA, and Saudi Arabia. SFDA and has been granted conditional marketing authorization from the EC (EMA) for the EU and Iceland, Liechtenstein, and Norway for the treatment of BCG-unresponsive NMIBC CIS with or without papillary tumors. ANKTIVA is also approved by the Saudi Arabia SFDA in combination with checkpoint therapy for adult patients with metastatic NSCLC whose disease has progressed following standard-of-care therapy. As a result, we have begun to generate revenue, although we expect it to take some time to generate sufficient revenue from our approved product to offset our expenses, and we can provide no assurance when, or if, this will occur.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 distribution of ANKTIVA in May 2024 and our permanent J-code became effective in January 2025; however, we can provide no assurance with respect to our future U.S. and global revenues, market acceptance, reimbursement from third-party payors, or the profitability of our approved product or any other product candidate for which we may obtain approval. It may also take significant time to generate revenue from our approved product in international markets given uncertainties associated with government policy decisions like MFN changes enacted in the U.S. We do not expect additional revenue from our other product candidates unless and until we obtain regulatory approval of and commercialize any of our other product candidates, and we do not know when, or if, this will occur. In addition, we expect our operating expenses to significantly increase in connection with our ongoing development activities, particularly as we continue the research, development and clinical trials of, and seek regulatory approval for, our other product candidates. We have also incurred and expect that we will continue to incur in the future additional costs associated with operating as a public company as well as costs related to future fundraising efforts. In addition, subject to obtaining regulatory approval of our other product candidates, we expect to incur significant incremental commercialization expenses for product sales, marketing, manufacturing and distribution. We anticipate that we will need substantial additional funding in connection with our continuing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operating expenses will increase substantially if and as we: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commercialize our approved product in the U.S. and globally;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continue research and development, including preclinical and clinical development of our other existing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seek regulatory approval of our approved product in incremental markets and indications and potentially seek regulatory approval for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seek to discover and develop additional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establish a commercialization infrastructure and scale up our manufacturing and distribution capabilities to commercialize any of our other product candidates for which we may obtain regulatory approval;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seek to comply with regulatory standards and laws;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maintain, leverage and expand our intellectual property portfolio;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hire clinical, manufacturing, scientific and other personnel to support our product candidates’ development and future commercialization efforts;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add operational, financial and management information systems and personnel;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incur additional legal, accounting and other expenses in operating as a public company.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continuing anticipated operating cash outflows as we commercialize our approved product in the U.S. and globally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including but not limited to, the offering, issuance and sale by us of our common stock under our Form S-3ASR shelf registration statement; and our potential ability to borrow from affiliated entities will be sufficient to fund our operations through at least the next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22885"/>
                <wp:effectExtent l="0" t="0" r="0" b="0"/>
                <wp:wrapNone/>
                <wp:docPr id="170" name="Frame1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 months following the issuance date of the consolidated financial statements based primarily upon our Founder, Executive Chairman and Global Chief Scientific and Medical Officer’s intent and ability to support our operations with additional funds, including loans from affiliated entities, as required, which we believe alleviates such doubt. In addition to funds from the future sales of our approved product, which we expect to take time to establish, we may also seek to sell additional equity, through one or more follow-on public offerings, or in separate financings, or obtain a credit facility, issue other debt in compliance with the terms of the RIPA, or engage in strategic partnership transactions. However, we may not be able to secure such external financing in a timely manner or on favorable terms, if at all. Without additional funds, we may choose to delay or reduce our operating or investment expenditures. Further, because of the numerous risks and uncertainties associated with the development and commercialization of our product candidates, we may need additional funds to meet our needs sooner than planned.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need to obtain additional financing to fund our future operations, including completing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but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successfully commercialize ANKTIVA or any future approved products in the U.S. or internationally;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progress, timing, number, scope and costs of researching and developing our product candidates and our ongoing, planned and potential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time and cost of regulatory approvals;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successfully commercialize any of our other product candidates, if approved and the costs of such commercialization activities;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revenue from product candidates that we may commercialize, if any, including the selling prices for such potential products and the availability of adequate third-party coverage and reimbursement for patients;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interest and principal payments on our related-party promissory note, and repayment of Revenue Interests and Test Date payments due under the RIPA;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cost of building, staffing and validating our own manufacturing facilities in the U.S., including having a product candidate successfully manufactured consistent with FDA and EMA regulations;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terms, timing and costs of our current and any potential future collaborations, business or product acquisitions, CVRs, milestones, royalties, licensing or other arrangements that we have established or may establish;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time and cost necessary to respond to technological, regulatory, political and market developments;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costs of filing, prosecuting, maintaining, defending and enforcing any patent claims and other intellectual property rights.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22885"/>
                <wp:effectExtent l="0" t="0" r="0" b="0"/>
                <wp:wrapNone/>
                <wp:docPr id="171" name="Frame1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equity-linked securities (including warrants), convertible debt or through our shelf registration statements, or other offerings, or if any of our current debt is converted into equity or if our existing warrants are exercised,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and our revenue interest liability may come due.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material cash requirements to pay related-party affiliates and third parties under various contractual obligations discussed below:</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obligated to make payments to several related-party affiliates under written agreements and other informal arrangements. We are also obligated to pay interest and to repay principal under our related-party promissory note. See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information regarding our financing obligations.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are obligated to make payments to Oberland associated with our revenue interest liability, which do not have a fixed repayment schedule. Oberland’s right to receive payments under the RIPA shall terminate when Oberland has received maximum payments (including any True-Up Payment) equal to 195.0% of the then Cumulative Purchaser Payments unless the RIPA is terminated prior to such date.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 prior to the Test Date, every $100.0 million of worldwide net sales, excluding those in China, of less than or equal to $600.0 million in a calendar year will result in a tiered Revenue Interest Payment of approximately $10.0 million or 10.0% (after funding of the Second Payment). Worldwide net sales, excluding those in China, for a calendar year exceeding $600.0 million will result in a tiered Revenue Interest Payment of approximately $4.5 million or 4.5% (after funding of the Second Payment) for every $100.0 million of worldwide net sales, excluding those in China, above the threshold. </w:t>
      </w:r>
    </w:p>
    <w:p>
      <w:pPr>
        <w:pStyle w:val="TextBody"/>
        <w:bidi w:val="0"/>
        <w:spacing w:lineRule="auto" w:line="288" w:before="180" w:after="283"/>
        <w:jc w:val="left"/>
        <w:rPr/>
      </w:pPr>
      <w:r>
        <w:rPr>
          <w:rFonts w:ascii="Times New Roman;serif" w:hAnsi="Times New Roman;serif"/>
          <w:b w:val="false"/>
          <w:color w:val="000000"/>
          <w:sz w:val="20"/>
        </w:rPr>
        <w:t>In the future, cumulative worldwide net sales, excluding those in China, levels up to the Test Date will determine whether or not we are required to make a True-Up Payment and implement modified payment rates. The amount of the obligation and timing of payment is likely to change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See </w:t>
      </w:r>
      <w:hyperlink w:anchor="i49f82bc2aa33405eae1e0b45f37d1ae6_26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 xml:space="preserve">of the “Notes to Consolidated Financial Statements” that appears in Part II, Item 8. “Financial Statements and Supplementary Data” of this Annual Report for more information regarding the RIPA.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obligated to make payments under our operating leases, which primarily consist of facility leases. See </w:t>
      </w:r>
      <w:hyperlink w:anchor="i49f82bc2aa33405eae1e0b45f37d1ae6_256">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i/>
          <w:color w:val="000000"/>
          <w:sz w:val="20"/>
        </w:rPr>
        <w:t>Lease Arrangements”</w:t>
      </w:r>
      <w:r>
        <w:rPr>
          <w:color w:val="000000"/>
        </w:rPr>
        <w:t xml:space="preserve"> </w:t>
      </w:r>
      <w:r>
        <w:rPr>
          <w:rFonts w:ascii="Times New Roman;serif" w:hAnsi="Times New Roman;serif"/>
          <w:b w:val="false"/>
          <w:color w:val="000000"/>
          <w:sz w:val="20"/>
        </w:rPr>
        <w:t xml:space="preserve">and </w:t>
      </w:r>
      <w:hyperlink w:anchor="i49f82bc2aa33405eae1e0b45f37d1ae6_277">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 xml:space="preserve">of the “Notes to Consolidated Financial Statements” that appear in Part II, Item 8. “Financial Statements and Supplementary Data” of this Annual Report for information regarding our lease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22885"/>
                <wp:effectExtent l="0" t="0" r="0" b="0"/>
                <wp:wrapNone/>
                <wp:docPr id="172" name="Frame1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the acquisitions of Altor and VivaBioCell, we are obligated to pay contingent consideration upon the achievement of certain milestones. See </w:t>
      </w:r>
      <w:hyperlink w:anchor="i49f82bc2aa33405eae1e0b45f37d1ae6_250">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i/>
          <w:color w:val="000000"/>
          <w:sz w:val="20"/>
        </w:rPr>
        <w:t>Commitments and Contingencies—Contingent Consideration Related to Business Combinations”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information regarding our contingent consideration obligations.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contractual obligations to make payments to related-party affiliates and third parties under unconditional purchase arrangements. See </w:t>
      </w:r>
      <w:hyperlink w:anchor="i49f82bc2aa33405eae1e0b45f37d1ae6_250">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i/>
          <w:color w:val="000000"/>
          <w:sz w:val="20"/>
        </w:rPr>
        <w:t>Commitments and Contingencies—Unconditional Purchase Obligations”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information on these unconditional purchase obligations.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certain unconditional contractual commitments that are expected to be paid depending on the actual progress of build outs, completion of services, or in accordance with the terms of the respective third-party agreements as the payments become due. These are primarily related to capital expenditures and open purchase orders as of December 31, 2025 for the acquisition of goods and services in the ordinary course of business. As of December 31, 2025, the amounts of the contractual commitments that are expected to be paid are $57.6 million within one year and $2.4 million for fiscal year 2027 and beyond.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addition, we have conditional contractual commitments that are expected to be paid in fiscal year 2027 and beyond based on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December 31, 2025, the maximum amount that may be payable related to these commitments is $87.8 million.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our leasehold interest in the Dunkirk Facility, we are committed to spend $0.5 million a year in rent as well as an aggregate of $55.0 million for capital and operational expenses during the three-year term of the amended lease. We also agreed to meet certain headcount targets by hiring at least 100 full-time employees by the end of the three-year term of the amended lease. If the option to purchase is exercised, we are required to hire at least 450 full-time employees by December 31, 2032 through December 31, 2033; and we are prohibited from conveying the premises for a five-year period without the prior written consent of the counterparties. These amounts are not included in the discussion above. See </w:t>
      </w:r>
      <w:hyperlink w:anchor="i9fd628768c0f4950b7049633edaa9446_115411">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i/>
          <w:color w:val="000000"/>
          <w:sz w:val="20"/>
        </w:rPr>
        <w:t>Commitments and Contingencies—Dunkirk Facility Leasehold Interest”</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more information on these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is based on our consolidated financial statements, which have been prepared in accordance with U.S. GAAP. The preparation of consolidated financial statements requires management to make certain estimates and assumptions that affect the reported amounts of assets, liabilities and expenses and the disclosure of contingent assets and liabilities at the date of the consolidated financial statements and the reported amounts of revenues and expenses during the reporting period. Those estimates can be complex and actual results could differ materially from those estimates. Estimates are assessed each period and updated to reflect current information.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more fully described in the notes accompanying our consolidated financial statements that appear in Part II, Item 8. “Financial Statements and Supplementary Data” of this Annual Report, we believe the following accounting policies to be the most critical in understanding the judgments and estimates we use in preparing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22885"/>
                <wp:effectExtent l="0" t="0" r="0" b="0"/>
                <wp:wrapNone/>
                <wp:docPr id="173" name="Frame1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Sales and Sales Deductions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from product sales when obligations under the terms of a contract with a customer are satisfied. This occurs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is recorded with each sale at wholesale acquisition cost, net of: (a) consideration payable to customers; and (b) variable consideration. The company pays fees to the specialty distributors and specialty pharmacy for certain administrative services associated with the distribution of the product wherein the terms of which are also detailed in its contracts. Such fees are not for a distinct good or service and, accordingly, are recorded as a reduction of revenue, as well as a reduction of accounts receivable (trade discounts) or as a component of accrued expenses (distributor fees). The variable consideration components include, but are not limited to, prompt payment discounts, product returns, chargebacks, rebates, and co-payment assistance, which are collectively referred to as “Gross-to-Net Adjustments.” In accordance with ASC 606, the company must make judgments to determine the estimates for certain variable considerations. 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company utilizes the expected value method when estimating the amount of variable consideration to include in the transaction price with respect to each of the foregoing variable consideration components. Where appropriate, these estimates are based on factors such as industry and forecasted customer buying and payment patterns, our experience, current contractual and statutory requirements, and specific known market events and trends.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Variable consideration is reassessed each reporting period, and adjustments are recorded on a cumulative catch-up basis, which affects product revenue and net income in the period of adjustment. The actual amounts of variable consideration ultimately received may differ from our estimates. If actual results in future periods vary from our estimates, we adjust these estimates accordingly.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Interest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29, 2023, we entered into the RIPA with Infinity and Oberland. Pursuant to the RIPA, Oberland acquired certain Revenue Interests from us for a gross purchase price of $200.0 million paid on closing. In addition, Oberland may purchase additional Revenue Interests from us in exchange for the $100.0 million Second Payment upon satisfaction of certain conditions specified in the RIPA. Under the RIPA, Oberland has the right to receive quarterly payments from us based on, among other things, a certain percentage of our worldwide net sales, excluding those in China, during such quarter. The RIPA is considered a sale of future revenues and is accounted for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consolidated statement of operations. The interest rate on this liability may vary during the term of the agreement depending on a number of factors, including the level of actual and forecasted net sales. The company evaluates the interest rate quarterly based on actual and forecasted net sales utilizing the prospective method.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Derivative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Embedded derivatives that are required to be bifurcated from the underlying debt instrument that do not meet the derivative scope exception and equity classification criteria are accounted for and valued as separate financial instruments. The terms of an embedded derivative related to a contingent exercisable prepayment feature of a convertible note have been evaluated and deemed to require bifurcation. This embedded derivative was initially measured at fair value and is remeasured to fair value at each reporting date until the derivative is settled. On December 10, 2024, the company and Nant Capital entered into a second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22885"/>
                <wp:effectExtent l="0" t="0" r="0" b="0"/>
                <wp:wrapNone/>
                <wp:docPr id="174" name="Frame1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20" w:after="283"/>
        <w:jc w:val="left"/>
        <w:rPr/>
      </w:pPr>
      <w:r>
        <w:rPr>
          <w:rFonts w:ascii="Times New Roman;serif" w:hAnsi="Times New Roman;serif"/>
          <w:b w:val="false"/>
          <w:color w:val="000000"/>
          <w:sz w:val="20"/>
        </w:rPr>
        <w:t xml:space="preserve">amended and restated promissory note (the $505 million December 2024 Promissory Note) for which the FVO method of accounting was elected. As such, the bifurcation of the embedded derivative is not required. The embedded derivative is now included within the fair value of the second amended and restated promissory note recorded in </w:t>
      </w:r>
      <w:r>
        <w:rPr>
          <w:rFonts w:ascii="Times New Roman;serif" w:hAnsi="Times New Roman;serif"/>
          <w:b w:val="false"/>
          <w:i/>
          <w:color w:val="000000"/>
          <w:sz w:val="20"/>
        </w:rPr>
        <w:t>related-party convertible note payable at fair value</w:t>
      </w:r>
      <w:r>
        <w:rPr>
          <w:rFonts w:ascii="Times New Roman;serif" w:hAnsi="Times New Roman;serif"/>
          <w:b w:val="false"/>
          <w:color w:val="000000"/>
          <w:sz w:val="20"/>
        </w:rPr>
        <w:t xml:space="preserve">, on the consolidated balance sheet.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the RIPA contains certain features that meet the definition of being an embedded derivative requiring bifurcation as a separate compound financial instrument apart from the RIPA. The derivative liability is initially measured at fair value upon issuance and is subject to remeasurement at each reporting period. Fair value is determined using a Monte Carlo simulation model. The input assumptions include net sales discount rate, net sales volatility, risk-free rate, payment lag, estimated market yield and change of control date. The change in fair value is recognized in </w:t>
      </w:r>
      <w:r>
        <w:rPr>
          <w:rFonts w:ascii="Times New Roman;serif" w:hAnsi="Times New Roman;serif"/>
          <w:b w:val="false"/>
          <w:i/>
          <w:color w:val="000000"/>
          <w:sz w:val="20"/>
        </w:rPr>
        <w:t>other income (expense), net</w:t>
      </w:r>
      <w:r>
        <w:rPr>
          <w:rFonts w:ascii="Times New Roman;serif" w:hAnsi="Times New Roman;serif"/>
          <w:b w:val="false"/>
          <w:color w:val="000000"/>
          <w:sz w:val="20"/>
        </w:rPr>
        <w:t xml:space="preserve">, on the consolidated statement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accruals for loss contingencies to the extent that we conclude it is probable that a liability has been incurred and the amount of the related loss can be reasonably estimated. We accrue for the best estimate of a loss within a range; however, if no estimate in the range is better than any other, then we accrue the minimum amount in the range. If we determine that a material loss is reasonably possible, we disclose the possible loss or range of loss, or that the amount of loss cannot be estimated at this time. We evaluate, on a quarterly basis, developments in legal proceedings and other matters that could cause a change in the potential amount of the liability recorded or the range of potential losses disclosed. Moreover, we record gain contingencies only when they are realizable and the amount is known. Additionally, we record our rights to insurance recoveries, limited to the extent of incurred or probable losses, as a receivable when such recoveries have been agreed to with our third-party insurers and when receipt is deemed probable. This includes instances when our third-party insurers have agreed to pay, on our behalf, certain legal defense costs and settlement amounts directly to applicable law firms and a settlement fund.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For warrants that meet all criteria for equity classification, the warrants are required to be recorded at their initial fair value at the time of issuance, as a component of </w:t>
      </w:r>
      <w:r>
        <w:rPr>
          <w:rFonts w:ascii="Times New Roman;serif" w:hAnsi="Times New Roman;serif"/>
          <w:b w:val="false"/>
          <w:i/>
          <w:color w:val="000000"/>
          <w:sz w:val="20"/>
          <w:shd w:fill="FFFFFF" w:val="clear"/>
        </w:rPr>
        <w:t xml:space="preserve">additional paid-in capital, </w:t>
      </w:r>
      <w:r>
        <w:rPr>
          <w:rFonts w:ascii="Times New Roman;serif" w:hAnsi="Times New Roman;serif"/>
          <w:b w:val="false"/>
          <w:color w:val="000000"/>
          <w:sz w:val="20"/>
          <w:shd w:fill="FFFFFF" w:val="clear"/>
        </w:rPr>
        <w:t xml:space="preserve">on the consolidated statement of stockholders’ deficit.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w:t>
      </w:r>
      <w:r>
        <w:rPr>
          <w:rFonts w:ascii="Times New Roman;serif" w:hAnsi="Times New Roman;serif"/>
          <w:b w:val="false"/>
          <w:i/>
          <w:color w:val="000000"/>
          <w:sz w:val="20"/>
        </w:rPr>
        <w:t>other income (expense), net</w:t>
      </w:r>
      <w:r>
        <w:rPr>
          <w:rFonts w:ascii="Times New Roman;serif" w:hAnsi="Times New Roman;serif"/>
          <w:b w:val="false"/>
          <w:color w:val="000000"/>
          <w:sz w:val="20"/>
          <w:shd w:fill="FFFFFF" w:val="clear"/>
        </w:rPr>
        <w:t>, on the consolidated statement of operations. The fair value of the warrants was estimated using the Black-Scholes option pricing model.</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Related-Party Convertible Note at Fair Value</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The company elected to apply the FVO method of accounting and measured </w:t>
      </w:r>
      <w:r>
        <w:rPr>
          <w:rFonts w:ascii="Times New Roman;serif" w:hAnsi="Times New Roman;serif"/>
          <w:b w:val="false"/>
          <w:color w:val="000000"/>
          <w:sz w:val="20"/>
        </w:rPr>
        <w:t>the $505 million December 2024 Promissory Note</w:t>
      </w:r>
      <w:r>
        <w:rPr>
          <w:color w:val="000000"/>
          <w:shd w:fill="FFFFFF" w:val="clear"/>
        </w:rPr>
        <w:t xml:space="preserve"> </w:t>
      </w:r>
      <w:r>
        <w:rPr>
          <w:rFonts w:ascii="Times New Roman;serif" w:hAnsi="Times New Roman;serif"/>
          <w:b w:val="false"/>
          <w:color w:val="000000"/>
          <w:sz w:val="20"/>
          <w:shd w:fill="FFFFFF" w:val="clear"/>
        </w:rPr>
        <w:t xml:space="preserve">at fair value on a recurring basis. In estimating the fair value, the company used the binomial lattice model which includes the construction of various intermediate lattices such as stock price tree, conversion value tree, conversion probability tree and discount rate tree. The input assumptions are primarily the company’s stock price and volatility, market yield and risk-free rate. The changes in fair value of the notes accounted for at fair value are recorded as a component of </w:t>
      </w:r>
      <w:r>
        <w:rPr>
          <w:rFonts w:ascii="Times New Roman;serif" w:hAnsi="Times New Roman;serif"/>
          <w:b w:val="false"/>
          <w:i/>
          <w:color w:val="000000"/>
          <w:sz w:val="20"/>
          <w:shd w:fill="FFFFFF" w:val="clear"/>
        </w:rPr>
        <w:t xml:space="preserve">other income (expense), net, </w:t>
      </w:r>
      <w:r>
        <w:rPr>
          <w:rFonts w:ascii="Times New Roman;serif" w:hAnsi="Times New Roman;serif"/>
          <w:b w:val="false"/>
          <w:color w:val="000000"/>
          <w:sz w:val="20"/>
          <w:shd w:fill="FFFFFF" w:val="clear"/>
        </w:rPr>
        <w:t xml:space="preserve">on the consolidated statement of operations. Any changes in fair value caused by instrument-specific credit risk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22885"/>
                <wp:effectExtent l="0" t="0" r="0" b="0"/>
                <wp:wrapNone/>
                <wp:docPr id="175" name="Frame1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recorded separately in </w:t>
      </w:r>
      <w:r>
        <w:rPr>
          <w:rFonts w:ascii="Times New Roman;serif" w:hAnsi="Times New Roman;serif"/>
          <w:b w:val="false"/>
          <w:i/>
          <w:color w:val="000000"/>
          <w:sz w:val="20"/>
          <w:shd w:fill="FFFFFF" w:val="clear"/>
        </w:rPr>
        <w:t xml:space="preserve">other comprehensive income (loss), </w:t>
      </w:r>
      <w:r>
        <w:rPr>
          <w:rFonts w:ascii="Times New Roman;serif" w:hAnsi="Times New Roman;serif"/>
          <w:b w:val="false"/>
          <w:color w:val="000000"/>
          <w:sz w:val="20"/>
          <w:shd w:fill="FFFFFF" w:val="clear"/>
        </w:rPr>
        <w:t xml:space="preserve">on the consolidated statement of comprehensive loss. The cumulative amount previously recorded in </w:t>
      </w:r>
      <w:r>
        <w:rPr>
          <w:rFonts w:ascii="Times New Roman;serif" w:hAnsi="Times New Roman;serif"/>
          <w:b w:val="false"/>
          <w:i/>
          <w:color w:val="000000"/>
          <w:sz w:val="20"/>
          <w:shd w:fill="FFFFFF" w:val="clear"/>
        </w:rPr>
        <w:t>other comprehensive income (loss)</w:t>
      </w:r>
      <w:r>
        <w:rPr>
          <w:color w:val="000000"/>
          <w:shd w:fill="FFFFFF" w:val="clear"/>
        </w:rPr>
        <w:t xml:space="preserve"> </w:t>
      </w:r>
      <w:r>
        <w:rPr>
          <w:rFonts w:ascii="Times New Roman;serif" w:hAnsi="Times New Roman;serif"/>
          <w:b w:val="false"/>
          <w:color w:val="000000"/>
          <w:sz w:val="20"/>
          <w:shd w:fill="FFFFFF" w:val="clear"/>
        </w:rPr>
        <w:t xml:space="preserve">resulting from changes in the instrument-specific credit risk for extinguished notes are reclassified and reported in current earnings on the consolidated statement of operations. All costs associated with the issuance of the convertible promissory note accounted for using the FVO method were expensed upon issuance.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Debt Modification and Extinguishment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amendments to its debt instruments in accordance with ASC 470-50. This evaluation includes comparing (1) if applicable, the net present value of future cash flows of the amended debt to that of the original debt and (2) the change in fair value of an embedded conversion feature to that of the carrying amount of the debt immediately prior to amendment to determine, in each case, if a change greater than 10% occurred. In instances where the net present value of future cash flows or the fair value of an embedded conversion feature, if any, changed more than 10%, the company applies extinguishment accounting. In instances where the net present value of future cash flows and the fair value of an embedded conversion feature, if any, changed less than 10%, the company accounts for the amendment to the debt as a debt modification. Gains and losses on debt amendments that are considered extinguishments are recognized in current earnings or in additional paid-in capital if the transactions are with entities under common control. Debt amendments that are considered debt modifications are accounted for prospectively through yield adjustments, based on the revised terms. The increase in fair value of the embedded conversion feature from the debt modification was accounted for as an increase in debt discount with a corresponding increase in additional paid-in capital. Legal fees and other costs incurred with third parties that are directly related to debt modifications are expensed as incurred. Amounts paid by the company to the lenders, are reflected as additional debt discount and amortized as an adjustment of interest expense over remaining term of modified debt using the effective interest rate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See </w:t>
      </w:r>
      <w:hyperlink w:anchor="i49f82bc2aa33405eae1e0b45f37d1ae6_199">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this Annual Report for a discussion of recent accounting pronouncements or changes in accounting pronouncements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December 31, 2025, institutional holders exercised a total of 15,524,768 warrants pursuant to the April 2025 Warrant agreement at an exercise price of $3.1010 per share resulting in the issuance of 15,524,768 shares of the company’s common stock for proceeds totaling $48.1 million. As of February 23, 2026, a total of 13,500,000 warrants remain outstanding under the April 2025 Warrant agreement.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Amendment to the Second Amended and Restated Promissory Note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23, 2026, the company entered into a letter amendment to the second amended and restated promissory note (the “$505 million December 2024 Promissory Note”) with Nant Capital, LLC (the “note holder”), an entity affiliated with Dr. Soon-Shiong, the company’s Executive Chairman and Global Chief Scientific and Medical Officer. Pursuant to the letter amendment, the note holder may convert any portion of the outstanding principal amount of the $505 million December 2024 Promissory Note into fully paid and nonassessable shares of the company’s common stock at any time prior to the maturity date. Prior to the letter amendment, the $505 million December 2024 Promissory Note, the note holder could only convert the outstanding principal amount in full. No other changes were made in connection with the letter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22885"/>
                <wp:effectExtent l="0" t="0" r="0" b="0"/>
                <wp:wrapNone/>
                <wp:docPr id="176" name="Frame1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7A.    QUANTITATIVE AND QUALITATIVE DISCLOSURES ABOUT MARKET RISK.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for changes in interest rates relates primarily to interest earned on our cash equivalents, investments and variable interest rate debt.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however, after our entry into the RIPA, we can no longer invest our excess funds in corporate or European bonds. As of December 31, 2025, we had $88.3 million in cash and cash equivalents and $154.5 million in our investment portfolio. Our cash equivalents are short-term investments with maturities of 90 days or less at the time of purchase. We maintain cash deposits in FDIC insured financial institutions in excess of federally insured limits. However, we believe that we are not exposed to significant credit risk due to the financial position of the depository institutions in which those deposits are held. As of December 31, 2025, our investment portfolio was comprised of available-for-sale securities, and we did not hold or issue financial instruments for trading purposes.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Risk – Cash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the cash discussed above, our primary exposure to market risk is interest income sensitivity, which is affected by changes in the general level of U.S interest rates. However, we do not believe a sudden change in the interest rates would have a material impact on our financial condition or results of operations due to the short-term maturities of our cash equivalents. A hypothetical 100 basis point change in interest rates during any of the periods presented would not have had a material impact on our consolidated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Risk – Cash Equivalents and Investment Portfolio</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invest a portion of our cash in a number of diversified fixed-and floating-rate securities, consisting of marketable debt securities and debt funds that are subject to interest rate risk. Changes in the general level of interest rates can affect the fair value of our investment portfolio. If interest rates in the general economy were to rise, our holdings could lose value. At December 31, 2025, a hypothetical increase in interest rates of 100 basis points across the entire yield curve on our holdings would not have resulted in a material impact on the fair value of our portfolio.</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Risk – Variable-Rate Debt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Our use of variable-rate debt exposes us to interest rate risk as changes in interest rates would affect interest expense.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we have a $505.0 million variable-rate loan outstanding, which matures on December 31, 2027 and bears interest at Term SOFR plus 8.0% per annum.</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interest rate on this loan was 11.66%. A </w:t>
      </w:r>
      <w:r>
        <w:rPr>
          <w:rFonts w:ascii="Times New Roman;serif" w:hAnsi="Times New Roman;serif"/>
          <w:b w:val="false"/>
          <w:color w:val="000000"/>
          <w:sz w:val="20"/>
          <w:shd w:fill="FFFFFF" w:val="clear"/>
        </w:rPr>
        <w:t>hy</w:t>
      </w:r>
      <w:r>
        <w:rPr>
          <w:rFonts w:ascii="Times New Roman;serif" w:hAnsi="Times New Roman;serif"/>
          <w:b w:val="false"/>
          <w:color w:val="000000"/>
          <w:sz w:val="20"/>
        </w:rPr>
        <w:t>pothetical 100-basis point increase in the Term SOFR rate as of December 31, 2025 would increase our future interest payments by $10.1 million. Similarly, a hypothetical 100-basis point decrease in the Term SOFR rate as of December 31, 2025 would decrease our future interest payments by $10.1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Risk – RIPA</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have entered into a revenue interest purchase agreement. Our primary exposure to market risk is that the interest rate on the revenue interest liability may vary during the term of the agreement depending on a number of factors, including the level of forecasted net sales. See </w:t>
      </w:r>
      <w:hyperlink w:anchor="i49f82bc2aa33405eae1e0b45f37d1ae6_26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that appears in Part II, Item 8. “Financial Statements and Supplementary Data” of this Annual Report for more information regarding the terms of the RIPA.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We are exposed to foreign currency exchange rate risk inherent in conducting business globally in numerous currencies. We contract with clinical research organizations, investigational sites and suppliers in foreign countries. </w:t>
      </w:r>
      <w:r>
        <w:rPr>
          <w:rFonts w:ascii="Times New Roman;serif" w:hAnsi="Times New Roman;serif"/>
          <w:b w:val="false"/>
          <w:color w:val="000000"/>
          <w:sz w:val="20"/>
        </w:rPr>
        <w:t xml:space="preserve">We are, therefore, subject to fluctuations in foreign currency rates in connection with these agreements. We have not entered into any material foreign currency hedging contracts although we may do so in the future. From inception through the date of this Annual Report, we have not incurred any material effects from foreign currency changes on these contracts. The effect of a </w:t>
      </w:r>
      <w:r>
        <w:rPr>
          <w:rFonts w:ascii="Times New Roman;serif" w:hAnsi="Times New Roman;serif"/>
          <w:b w:val="false"/>
          <w:color w:val="000000"/>
          <w:sz w:val="20"/>
          <w:shd w:fill="FFFFFF" w:val="clear"/>
        </w:rPr>
        <w:t xml:space="preserve">10% adverse change in exchange rates on foreign currency denominated cash and payables as of December 31, 2025 </w:t>
      </w:r>
      <w:r>
        <w:rPr>
          <w:rFonts w:ascii="Times New Roman;serif" w:hAnsi="Times New Roman;serif"/>
          <w:b w:val="false"/>
          <w:color w:val="000000"/>
          <w:sz w:val="20"/>
        </w:rPr>
        <w:t>would not have been material</w:t>
      </w:r>
      <w:r>
        <w:rPr>
          <w:rFonts w:ascii="Times New Roman;serif" w:hAnsi="Times New Roman;serif"/>
          <w:b w:val="false"/>
          <w:color w:val="000000"/>
          <w:sz w:val="20"/>
          <w:shd w:fill="FFFFFF" w:val="clear"/>
        </w:rPr>
        <w:t>. However, fluctuations in currency exchange rates could harm our business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22885"/>
                <wp:effectExtent l="0" t="0" r="0" b="0"/>
                <wp:wrapNone/>
                <wp:docPr id="177" name="Frame1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also exposed to foreign currency fluctuations related to the operations of our subsidiary in Italy whose financial statements are denominated in the Euro. We translate all assets and liabilities denominated in foreign currency into U.S. dollars using the exchange rate as of the end of the reporting period, while the operating results are translated into U.S. dollars using the average exchange rates for the reporting periods. Gains and losses resulting from translating the financial statements from our subsidiary’s functional currency to U.S. dollars are recognized as a component of </w:t>
      </w:r>
      <w:r>
        <w:rPr>
          <w:rFonts w:ascii="Times New Roman;serif" w:hAnsi="Times New Roman;serif"/>
          <w:b w:val="false"/>
          <w:i/>
          <w:color w:val="000000"/>
          <w:sz w:val="20"/>
        </w:rPr>
        <w:t>other comprehensive (loss) income</w:t>
      </w:r>
      <w:r>
        <w:rPr>
          <w:rFonts w:ascii="Times New Roman;serif" w:hAnsi="Times New Roman;serif"/>
          <w:b w:val="false"/>
          <w:color w:val="000000"/>
          <w:sz w:val="20"/>
        </w:rPr>
        <w:t xml:space="preserve">, on the consolidated statement of comprehensive loss. Foreign currency exchange rate fluctuations affect our reported net loss and can make comparisons from period to period more difficult.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foreign operations are currently not material to our operations as a whole, and we currently do not enter into currency forward exchange or option contracts to hedge foreign currency exposures. After receiving incremental approvals for ANKTIVA in international territories, we expect our transactions denominated in foreign currencies will increase, and in the future we may enter into contracts to hedge foreign currency exposures.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Market Risk</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As of December 31, 2025, </w:t>
      </w:r>
      <w:r>
        <w:rPr>
          <w:rFonts w:ascii="Times New Roman;serif" w:hAnsi="Times New Roman;serif"/>
          <w:b w:val="false"/>
          <w:color w:val="000000"/>
          <w:sz w:val="20"/>
        </w:rPr>
        <w:t>65,053,571 </w:t>
      </w:r>
      <w:r>
        <w:rPr>
          <w:rFonts w:ascii="Times New Roman;serif" w:hAnsi="Times New Roman;serif"/>
          <w:b w:val="false"/>
          <w:color w:val="000000"/>
          <w:sz w:val="20"/>
          <w:shd w:fill="FFFFFF" w:val="clear"/>
        </w:rPr>
        <w:t xml:space="preserve">warrants from our RDOs remained outstanding at a fair value of </w:t>
      </w:r>
      <w:r>
        <w:rPr>
          <w:rFonts w:ascii="Times New Roman;serif" w:hAnsi="Times New Roman;serif"/>
          <w:b w:val="false"/>
          <w:color w:val="000000"/>
          <w:sz w:val="20"/>
        </w:rPr>
        <w:t>$84.4 million</w:t>
      </w:r>
      <w:r>
        <w:rPr>
          <w:rFonts w:ascii="Times New Roman;serif" w:hAnsi="Times New Roman;serif"/>
          <w:b w:val="false"/>
          <w:color w:val="000000"/>
          <w:sz w:val="20"/>
          <w:shd w:fill="FFFFFF" w:val="clear"/>
        </w:rPr>
        <w:t>. The fair value of the warrant liabilities is determined using the Black-Scholes option pricing model and is therefore sensitive to changes in the market price and volatility of our common stock among other factors. In the event of a hypothetical 10% increase in the market price of our common stock (</w:t>
      </w:r>
      <w:r>
        <w:rPr>
          <w:rFonts w:ascii="Times New Roman;serif" w:hAnsi="Times New Roman;serif"/>
          <w:b w:val="false"/>
          <w:color w:val="000000"/>
          <w:sz w:val="20"/>
        </w:rPr>
        <w:t>$2.18 </w:t>
      </w:r>
      <w:r>
        <w:rPr>
          <w:rFonts w:ascii="Times New Roman;serif" w:hAnsi="Times New Roman;serif"/>
          <w:b w:val="false"/>
          <w:color w:val="000000"/>
          <w:sz w:val="20"/>
          <w:shd w:fill="FFFFFF" w:val="clear"/>
        </w:rPr>
        <w:t xml:space="preserve">based on the </w:t>
      </w:r>
      <w:r>
        <w:rPr>
          <w:rFonts w:ascii="Times New Roman;serif" w:hAnsi="Times New Roman;serif"/>
          <w:b w:val="false"/>
          <w:color w:val="000000"/>
          <w:sz w:val="20"/>
        </w:rPr>
        <w:t>$1.98 </w:t>
      </w:r>
      <w:r>
        <w:rPr>
          <w:rFonts w:ascii="Times New Roman;serif" w:hAnsi="Times New Roman;serif"/>
          <w:b w:val="false"/>
          <w:color w:val="000000"/>
          <w:sz w:val="20"/>
          <w:shd w:fill="FFFFFF" w:val="clear"/>
        </w:rPr>
        <w:t xml:space="preserve">market price of our stock at December 31, 2025) on which the December 31, 2025 valuation was based, the fair value of the warrant liabilities would have increased by </w:t>
      </w:r>
      <w:r>
        <w:rPr>
          <w:rFonts w:ascii="Times New Roman;serif" w:hAnsi="Times New Roman;serif"/>
          <w:b w:val="false"/>
          <w:color w:val="000000"/>
          <w:sz w:val="20"/>
        </w:rPr>
        <w:t>$10.3 million</w:t>
      </w:r>
      <w:r>
        <w:rPr>
          <w:rFonts w:ascii="Times New Roman;serif" w:hAnsi="Times New Roman;serif"/>
          <w:b w:val="false"/>
          <w:color w:val="000000"/>
          <w:sz w:val="20"/>
          <w:shd w:fill="FFFFFF" w:val="clear"/>
        </w:rPr>
        <w:t>. Similarly, based on the fair value of the warrants outstanding as of December 31, 2025, a hypo</w:t>
      </w:r>
      <w:r>
        <w:rPr>
          <w:rFonts w:ascii="Times New Roman;serif" w:hAnsi="Times New Roman;serif"/>
          <w:b w:val="false"/>
          <w:color w:val="000000"/>
          <w:sz w:val="20"/>
        </w:rPr>
        <w:t>thetical 10% decrease in the market price of our common stock would have decreased the fair value of the warrant liabilities by $10.2 million. S</w:t>
      </w:r>
      <w:r>
        <w:rPr>
          <w:rFonts w:ascii="Times New Roman;serif" w:hAnsi="Times New Roman;serif"/>
          <w:b w:val="false"/>
          <w:color w:val="000000"/>
          <w:sz w:val="20"/>
          <w:shd w:fill="FFFFFF" w:val="clear"/>
        </w:rPr>
        <w:t xml:space="preserve">uch increase or decrease would have been reflected as a change in fair value of warrant liabilities in </w:t>
      </w:r>
      <w:r>
        <w:rPr>
          <w:rFonts w:ascii="Times New Roman;serif" w:hAnsi="Times New Roman;serif"/>
          <w:b w:val="false"/>
          <w:i/>
          <w:color w:val="000000"/>
          <w:sz w:val="20"/>
          <w:shd w:fill="FFFFFF" w:val="clear"/>
        </w:rPr>
        <w:t>other income (expense), net</w:t>
      </w:r>
      <w:r>
        <w:rPr>
          <w:rFonts w:ascii="Times New Roman;serif" w:hAnsi="Times New Roman;serif"/>
          <w:b w:val="false"/>
          <w:color w:val="000000"/>
          <w:sz w:val="20"/>
          <w:shd w:fill="FFFFFF" w:val="clear"/>
        </w:rPr>
        <w:t>, on the consolidated statement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Inflation may affect us by increasing our cost of labor, clinical trial, and other costs. We do not believe that inflation has had a material effect on our business, financial condition or results of operations for any period presented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22885"/>
                <wp:effectExtent l="0" t="0" r="0" b="0"/>
                <wp:wrapNone/>
                <wp:docPr id="178" name="Frame1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7153" w:type="dxa"/>
        <w:jc w:val="left"/>
        <w:tblInd w:w="0" w:type="dxa"/>
        <w:tblLayout w:type="fixed"/>
        <w:tblCellMar>
          <w:top w:w="28" w:type="dxa"/>
          <w:left w:w="28" w:type="dxa"/>
          <w:bottom w:w="28" w:type="dxa"/>
          <w:right w:w="28" w:type="dxa"/>
        </w:tblCellMar>
      </w:tblPr>
      <w:tblGrid>
        <w:gridCol w:w="2286"/>
        <w:gridCol w:w="2009"/>
        <w:gridCol w:w="2020"/>
        <w:gridCol w:w="109"/>
        <w:gridCol w:w="109"/>
        <w:gridCol w:w="109"/>
        <w:gridCol w:w="149"/>
        <w:gridCol w:w="149"/>
        <w:gridCol w:w="213"/>
      </w:tblGrid>
      <w:tr>
        <w:trPr/>
        <w:tc>
          <w:tcPr>
            <w:tcW w:w="228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69">
              <w:r>
                <w:rPr>
                  <w:rStyle w:val="InternetLink"/>
                  <w:rFonts w:ascii="Times New Roman;serif" w:hAnsi="Times New Roman;serif"/>
                  <w:b w:val="false"/>
                  <w:color w:val="000080"/>
                  <w:sz w:val="20"/>
                  <w:u w:val="single"/>
                </w:rPr>
                <w:t>Report</w:t>
              </w:r>
            </w:hyperlink>
            <w:hyperlink w:anchor="i49f82bc2aa33405eae1e0b45f37d1ae6_169">
              <w:r>
                <w:rPr>
                  <w:rStyle w:val="InternetLink"/>
                  <w:rFonts w:ascii="Times New Roman;serif" w:hAnsi="Times New Roman;serif"/>
                  <w:b w:val="false"/>
                  <w:color w:val="000080"/>
                  <w:sz w:val="20"/>
                  <w:u w:val="single"/>
                </w:rPr>
                <w:t>s</w:t>
              </w:r>
            </w:hyperlink>
            <w:hyperlink w:anchor="i49f82bc2aa33405eae1e0b45f37d1ae6_169">
              <w:r>
                <w:rPr>
                  <w:rStyle w:val="InternetLink"/>
                  <w:rFonts w:ascii="Times New Roman;serif" w:hAnsi="Times New Roman;serif"/>
                  <w:b w:val="false"/>
                  <w:color w:val="000080"/>
                  <w:sz w:val="20"/>
                  <w:u w:val="single"/>
                </w:rPr>
                <w:t xml:space="preserve"> of Independent Registered Public Accounting Firm</w:t>
              </w:r>
            </w:hyperlink>
            <w:r>
              <w:rPr>
                <w:color w:val="000000"/>
              </w:rPr>
              <w:t xml:space="preserve"> </w:t>
            </w:r>
            <w:r>
              <w:rPr>
                <w:rFonts w:ascii="Times New Roman;serif" w:hAnsi="Times New Roman;serif"/>
                <w:b w:val="false"/>
                <w:color w:val="000000"/>
                <w:sz w:val="20"/>
              </w:rPr>
              <w:t>(PCAOB ID: 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69">
              <w:r>
                <w:rPr>
                  <w:rStyle w:val="InternetLink"/>
                  <w:rFonts w:ascii="Times New Roman;serif" w:hAnsi="Times New Roman;serif"/>
                  <w:b w:val="false"/>
                  <w:strike w:val="false"/>
                  <w:dstrike w:val="false"/>
                  <w:color w:val="000000"/>
                  <w:sz w:val="20"/>
                  <w:u w:val="none"/>
                  <w:effect w:val="none"/>
                </w:rPr>
                <w:t>161</w:t>
              </w:r>
            </w:hyperlink>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7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75">
              <w:r>
                <w:rPr>
                  <w:rStyle w:val="InternetLink"/>
                  <w:rFonts w:ascii="Times New Roman;serif" w:hAnsi="Times New Roman;serif"/>
                  <w:b w:val="false"/>
                  <w:strike w:val="false"/>
                  <w:dstrike w:val="false"/>
                  <w:color w:val="000000"/>
                  <w:sz w:val="20"/>
                  <w:u w:val="none"/>
                  <w:effect w:val="none"/>
                </w:rPr>
                <w:t>163</w:t>
              </w:r>
            </w:hyperlink>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78">
              <w:r>
                <w:rPr>
                  <w:rStyle w:val="InternetLink"/>
                  <w:rFonts w:ascii="Times New Roman;serif" w:hAnsi="Times New Roman;serif"/>
                  <w:b w:val="false"/>
                  <w:color w:val="0000FF"/>
                  <w:sz w:val="20"/>
                  <w:u w:val="single"/>
                </w:rPr>
                <w:t>Consolidated Balance Sheets as of December 31, 2025 and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78">
              <w:r>
                <w:rPr>
                  <w:rStyle w:val="InternetLink"/>
                  <w:rFonts w:ascii="Times New Roman;serif" w:hAnsi="Times New Roman;serif"/>
                  <w:b w:val="false"/>
                  <w:strike w:val="false"/>
                  <w:dstrike w:val="false"/>
                  <w:color w:val="000000"/>
                  <w:sz w:val="20"/>
                  <w:u w:val="none"/>
                  <w:effect w:val="none"/>
                </w:rPr>
                <w:t>164</w:t>
              </w:r>
            </w:hyperlink>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81">
              <w:r>
                <w:rPr>
                  <w:rStyle w:val="InternetLink"/>
                  <w:rFonts w:ascii="Times New Roman;serif" w:hAnsi="Times New Roman;serif"/>
                  <w:b w:val="false"/>
                  <w:color w:val="0000FF"/>
                  <w:sz w:val="20"/>
                  <w:u w:val="single"/>
                </w:rPr>
                <w:t xml:space="preserve">Consolidated Statements of Operations for the years ended </w:t>
              </w:r>
            </w:hyperlink>
          </w:p>
          <w:p>
            <w:pPr>
              <w:pStyle w:val="TableContents"/>
              <w:bidi w:val="0"/>
              <w:spacing w:lineRule="auto" w:line="288" w:before="0" w:after="0"/>
              <w:jc w:val="left"/>
              <w:rPr/>
            </w:pPr>
            <w:r>
              <w:rPr>
                <w:color w:val="000000"/>
              </w:rPr>
              <w:t>   </w:t>
            </w:r>
            <w:hyperlink w:anchor="i49f82bc2aa33405eae1e0b45f37d1ae6_181">
              <w:r>
                <w:rPr>
                  <w:rStyle w:val="InternetLink"/>
                  <w:rFonts w:ascii="Times New Roman;serif" w:hAnsi="Times New Roman;serif"/>
                  <w:b w:val="false"/>
                  <w:color w:val="0000FF"/>
                  <w:sz w:val="20"/>
                  <w:u w:val="single"/>
                </w:rPr>
                <w:t>December 31, 2025, 2024 and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81">
              <w:r>
                <w:rPr>
                  <w:rStyle w:val="InternetLink"/>
                  <w:rFonts w:ascii="Times New Roman;serif" w:hAnsi="Times New Roman;serif"/>
                  <w:b w:val="false"/>
                  <w:strike w:val="false"/>
                  <w:dstrike w:val="false"/>
                  <w:color w:val="000000"/>
                  <w:sz w:val="20"/>
                  <w:u w:val="none"/>
                  <w:effect w:val="none"/>
                </w:rPr>
                <w:t>166</w:t>
              </w:r>
            </w:hyperlink>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84">
              <w:r>
                <w:rPr>
                  <w:rStyle w:val="InternetLink"/>
                  <w:rFonts w:ascii="Times New Roman;serif" w:hAnsi="Times New Roman;serif"/>
                  <w:b w:val="false"/>
                  <w:color w:val="0000FF"/>
                  <w:sz w:val="20"/>
                  <w:u w:val="single"/>
                </w:rPr>
                <w:t xml:space="preserve">Consolidated Statements of Comprehensive Loss for the years ended </w:t>
              </w:r>
            </w:hyperlink>
          </w:p>
          <w:p>
            <w:pPr>
              <w:pStyle w:val="TableContents"/>
              <w:bidi w:val="0"/>
              <w:spacing w:lineRule="auto" w:line="288" w:before="0" w:after="0"/>
              <w:jc w:val="left"/>
              <w:rPr/>
            </w:pPr>
            <w:r>
              <w:rPr>
                <w:color w:val="000000"/>
              </w:rPr>
              <w:t>   </w:t>
            </w:r>
            <w:hyperlink w:anchor="i49f82bc2aa33405eae1e0b45f37d1ae6_184">
              <w:r>
                <w:rPr>
                  <w:rStyle w:val="InternetLink"/>
                  <w:rFonts w:ascii="Times New Roman;serif" w:hAnsi="Times New Roman;serif"/>
                  <w:b w:val="false"/>
                  <w:color w:val="0000FF"/>
                  <w:sz w:val="20"/>
                  <w:u w:val="single"/>
                </w:rPr>
                <w:t>December 31, 2025, 2024 and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84">
              <w:r>
                <w:rPr>
                  <w:rStyle w:val="InternetLink"/>
                  <w:rFonts w:ascii="Times New Roman;serif" w:hAnsi="Times New Roman;serif"/>
                  <w:b w:val="false"/>
                  <w:strike w:val="false"/>
                  <w:dstrike w:val="false"/>
                  <w:color w:val="000000"/>
                  <w:sz w:val="20"/>
                  <w:u w:val="none"/>
                  <w:effect w:val="none"/>
                </w:rPr>
                <w:t>167</w:t>
              </w:r>
            </w:hyperlink>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87">
              <w:r>
                <w:rPr>
                  <w:rStyle w:val="InternetLink"/>
                  <w:rFonts w:ascii="Times New Roman;serif" w:hAnsi="Times New Roman;serif"/>
                  <w:b w:val="false"/>
                  <w:color w:val="0000FF"/>
                  <w:sz w:val="20"/>
                  <w:u w:val="single"/>
                </w:rPr>
                <w:t xml:space="preserve">Consolidated Statements of Stockholders’ Deficit for the years ended </w:t>
              </w:r>
            </w:hyperlink>
          </w:p>
          <w:p>
            <w:pPr>
              <w:pStyle w:val="TableContents"/>
              <w:bidi w:val="0"/>
              <w:spacing w:lineRule="auto" w:line="288" w:before="0" w:after="0"/>
              <w:jc w:val="left"/>
              <w:rPr/>
            </w:pPr>
            <w:r>
              <w:rPr>
                <w:color w:val="000000"/>
              </w:rPr>
              <w:t>   </w:t>
            </w:r>
            <w:hyperlink w:anchor="i49f82bc2aa33405eae1e0b45f37d1ae6_187">
              <w:r>
                <w:rPr>
                  <w:rStyle w:val="InternetLink"/>
                  <w:rFonts w:ascii="Times New Roman;serif" w:hAnsi="Times New Roman;serif"/>
                  <w:b w:val="false"/>
                  <w:color w:val="0000FF"/>
                  <w:sz w:val="20"/>
                  <w:u w:val="single"/>
                </w:rPr>
                <w:t>December 31, 2025, 2024 and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87">
              <w:r>
                <w:rPr>
                  <w:rStyle w:val="InternetLink"/>
                  <w:rFonts w:ascii="Times New Roman;serif" w:hAnsi="Times New Roman;serif"/>
                  <w:b w:val="false"/>
                  <w:strike w:val="false"/>
                  <w:dstrike w:val="false"/>
                  <w:color w:val="000000"/>
                  <w:sz w:val="20"/>
                  <w:u w:val="none"/>
                  <w:effect w:val="none"/>
                </w:rPr>
                <w:t>168</w:t>
              </w:r>
            </w:hyperlink>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90">
              <w:r>
                <w:rPr>
                  <w:rStyle w:val="InternetLink"/>
                  <w:rFonts w:ascii="Times New Roman;serif" w:hAnsi="Times New Roman;serif"/>
                  <w:b w:val="false"/>
                  <w:color w:val="0000FF"/>
                  <w:sz w:val="20"/>
                  <w:u w:val="single"/>
                </w:rPr>
                <w:t xml:space="preserve">Consolidated Statements of Cash Flows for the years ended </w:t>
              </w:r>
            </w:hyperlink>
          </w:p>
          <w:p>
            <w:pPr>
              <w:pStyle w:val="TableContents"/>
              <w:bidi w:val="0"/>
              <w:spacing w:lineRule="auto" w:line="288" w:before="0" w:after="0"/>
              <w:jc w:val="left"/>
              <w:rPr/>
            </w:pPr>
            <w:r>
              <w:rPr>
                <w:color w:val="000000"/>
              </w:rPr>
              <w:t>   </w:t>
            </w:r>
            <w:hyperlink w:anchor="i49f82bc2aa33405eae1e0b45f37d1ae6_190">
              <w:r>
                <w:rPr>
                  <w:rStyle w:val="InternetLink"/>
                  <w:rFonts w:ascii="Times New Roman;serif" w:hAnsi="Times New Roman;serif"/>
                  <w:b w:val="false"/>
                  <w:color w:val="0000FF"/>
                  <w:sz w:val="20"/>
                  <w:u w:val="single"/>
                </w:rPr>
                <w:t>December 31, 2025, 2024 and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90">
              <w:r>
                <w:rPr>
                  <w:rStyle w:val="InternetLink"/>
                  <w:rFonts w:ascii="Times New Roman;serif" w:hAnsi="Times New Roman;serif"/>
                  <w:b w:val="false"/>
                  <w:strike w:val="false"/>
                  <w:dstrike w:val="false"/>
                  <w:color w:val="000000"/>
                  <w:sz w:val="20"/>
                  <w:u w:val="none"/>
                  <w:effect w:val="none"/>
                </w:rPr>
                <w:t>171</w:t>
              </w:r>
            </w:hyperlink>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9f82bc2aa33405eae1e0b45f37d1ae6_193">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9f82bc2aa33405eae1e0b45f37d1ae6_193">
              <w:r>
                <w:rPr>
                  <w:rStyle w:val="InternetLink"/>
                  <w:rFonts w:ascii="Times New Roman;serif" w:hAnsi="Times New Roman;serif"/>
                  <w:b w:val="false"/>
                  <w:strike w:val="false"/>
                  <w:dstrike w:val="false"/>
                  <w:color w:val="000000"/>
                  <w:sz w:val="20"/>
                  <w:u w:val="none"/>
                  <w:effect w:val="none"/>
                </w:rPr>
                <w:t>174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22885"/>
                <wp:effectExtent l="0" t="0" r="0" b="0"/>
                <wp:wrapNone/>
                <wp:docPr id="179" name="Frame1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ImmunityBio, Inc.</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ImmunityBio, Inc. and subsidiaries (the “Company”) as of December 31, 2025, the related consolidated statements of operations, comprehensive loss, stockholders’ deficit,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lineRule="auto" w:line="288" w:before="240" w:after="283"/>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23, 2026, expressed an unqualified opinion on the Company’s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Related-party convertible note, at fair value — Refer to Note 2 and Note 14 to the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a related-party convertible note (the “Convertible Note”) with a principal amount of $505 million. The Company elected the fair value option to account for the Convertible Note and measured the Convertible Note at fair value at each reporting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Convertible Note using a binomial lattice model, a complex modeling tool, at each reporting period. The model incorporates inputs such as the Company’s stock price, risk-free rate, expected volatility, and expected market yield. The expected volatility and expected market yield involve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22885"/>
                <wp:effectExtent l="0" t="0" r="0" b="0"/>
                <wp:wrapNone/>
                <wp:docPr id="180" name="Frame1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Unlike the fair value of financial instruments that are readily observable, the valuation of the Convertible Note is inherently subjective and involves the use of complex modeling tools. Auditing the fair value required a high degree of auditor judgment and an increased extent of effort, including the need to involve our fair value specialists.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valuation of the Convertible Note included the following, among others: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evaluated the design and operating effectiveness of the internal control over the valuation of the Convertible Note.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With the assistance of our fair value specialists, we evaluated the reasonableness of management’s valuation methodology and the significant assumptions used in determining the fair value of the Convertible Note by: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Inspecting the underlying contracts and evaluating the appropriateness of the valuation methodology based on the contract terms.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Testing the source information underlying the fair value of the Convertible Note and the mathematical accuracy of the calculations.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Developing independent estimates of the inputs and comparing those inputs to those used in the Company’s calculation of the fair value of the Convertible Note.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evaluated the competency and objectivity of management’s expert engaged by the Company to perform the valuation of the Convertible Note.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22885"/>
                <wp:effectExtent l="0" t="0" r="0" b="0"/>
                <wp:wrapNone/>
                <wp:docPr id="181" name="Frame1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ImmunityBio, Inc. and Subsidiaries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ImmunityBio, Inc. and Subsidiaries (the Company) as of December 31, 2024, the related consolidated statements of operations, comprehensive loss, stockholders’ 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U.S. generally accepted accounting principles.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Ernst &amp; Young LLP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served as the Company’s auditor from 2016 to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22885"/>
                <wp:effectExtent l="0" t="0" r="0" b="0"/>
                <wp:wrapNone/>
                <wp:docPr id="182" name="Frame1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8067" w:type="dxa"/>
        <w:jc w:val="left"/>
        <w:tblInd w:w="0" w:type="dxa"/>
        <w:tblLayout w:type="fixed"/>
        <w:tblCellMar>
          <w:top w:w="28" w:type="dxa"/>
          <w:left w:w="28" w:type="dxa"/>
          <w:bottom w:w="28" w:type="dxa"/>
          <w:right w:w="28" w:type="dxa"/>
        </w:tblCellMar>
      </w:tblPr>
      <w:tblGrid>
        <w:gridCol w:w="1996"/>
        <w:gridCol w:w="1750"/>
        <w:gridCol w:w="1758"/>
        <w:gridCol w:w="196"/>
        <w:gridCol w:w="736"/>
        <w:gridCol w:w="109"/>
        <w:gridCol w:w="109"/>
        <w:gridCol w:w="109"/>
        <w:gridCol w:w="109"/>
        <w:gridCol w:w="196"/>
        <w:gridCol w:w="736"/>
        <w:gridCol w:w="109"/>
        <w:gridCol w:w="154"/>
      </w:tblGrid>
      <w:tr>
        <w:trPr/>
        <w:tc>
          <w:tcPr>
            <w:tcW w:w="199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314,875 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184,586 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501,898 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382,933 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61,754 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Related-party convertible note payable, at fair value (</w:t>
            </w:r>
            <w:hyperlink w:anchor="i49f82bc2aa33405eae1e0b45f37d1ae6_265">
              <w:r>
                <w:rPr>
                  <w:rStyle w:val="InternetLink"/>
                  <w:rFonts w:ascii="Times New Roman;serif" w:hAnsi="Times New Roman;serif"/>
                  <w:b w:val="false"/>
                  <w:color w:val="000080"/>
                  <w:sz w:val="18"/>
                  <w:u w:val="single"/>
                </w:rPr>
                <w:t>Note</w:t>
              </w:r>
            </w:hyperlink>
            <w:hyperlink w:anchor="i49f82bc2aa33405eae1e0b45f37d1ae6_265">
              <w:r>
                <w:rPr>
                  <w:rStyle w:val="InternetLink"/>
                  <w:rFonts w:ascii="Times New Roman;serif" w:hAnsi="Times New Roman;serif"/>
                  <w:b w:val="false"/>
                  <w:color w:val="000080"/>
                  <w:sz w:val="18"/>
                  <w:u w:val="single"/>
                </w:rPr>
                <w:t> </w:t>
              </w:r>
            </w:hyperlink>
            <w:hyperlink w:anchor="i49f82bc2aa33405eae1e0b45f37d1ae6_265">
              <w:r>
                <w:rPr>
                  <w:rStyle w:val="InternetLink"/>
                  <w:rFonts w:ascii="Times New Roman;serif" w:hAnsi="Times New Roman;serif"/>
                  <w:b w:val="false"/>
                  <w:color w:val="000080"/>
                  <w:sz w:val="18"/>
                  <w:u w:val="single"/>
                </w:rPr>
                <w:t>14</w:t>
              </w:r>
            </w:hyperlink>
            <w:r>
              <w:rPr>
                <w:rFonts w:ascii="Times New Roman;serif" w:hAnsi="Times New Roman;serif"/>
                <w:b w:val="false"/>
                <w:color w:val="000000"/>
                <w:sz w:val="18"/>
              </w:rPr>
              <w:t>) and (</w:t>
            </w:r>
            <w:hyperlink w:anchor="i49f82bc2aa33405eae1e0b45f37d1ae6_316">
              <w:r>
                <w:rPr>
                  <w:rStyle w:val="InternetLink"/>
                  <w:rFonts w:ascii="Times New Roman;serif" w:hAnsi="Times New Roman;serif"/>
                  <w:b w:val="false"/>
                  <w:color w:val="0000FF"/>
                  <w:sz w:val="18"/>
                  <w:u w:val="single"/>
                </w:rPr>
                <w:t>Note 23</w:t>
              </w:r>
            </w:hyperlink>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 interest liability (</w:t>
            </w:r>
            <w:hyperlink w:anchor="i49f82bc2aa33405eae1e0b45f37d1ae6_262">
              <w:r>
                <w:rPr>
                  <w:rStyle w:val="InternetLink"/>
                  <w:rFonts w:ascii="Times New Roman;serif" w:hAnsi="Times New Roman;serif"/>
                  <w:b w:val="false"/>
                  <w:color w:val="000080"/>
                  <w:sz w:val="18"/>
                  <w:u w:val="single"/>
                </w:rPr>
                <w:t>Note</w:t>
              </w:r>
            </w:hyperlink>
            <w:hyperlink w:anchor="i49f82bc2aa33405eae1e0b45f37d1ae6_262">
              <w:r>
                <w:rPr>
                  <w:rStyle w:val="InternetLink"/>
                  <w:rFonts w:ascii="Times New Roman;serif" w:hAnsi="Times New Roman;serif"/>
                  <w:b w:val="false"/>
                  <w:color w:val="000080"/>
                  <w:sz w:val="18"/>
                  <w:u w:val="single"/>
                </w:rPr>
                <w:t> </w:t>
              </w:r>
            </w:hyperlink>
            <w:hyperlink w:anchor="i49f82bc2aa33405eae1e0b45f37d1ae6_262">
              <w:r>
                <w:rPr>
                  <w:rStyle w:val="InternetLink"/>
                  <w:rFonts w:ascii="Times New Roman;serif" w:hAnsi="Times New Roman;serif"/>
                  <w:b w:val="false"/>
                  <w:color w:val="000080"/>
                  <w:sz w:val="18"/>
                  <w:u w:val="single"/>
                </w:rPr>
                <w:t>13</w:t>
              </w:r>
            </w:hyperlink>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liabilities (</w:t>
            </w:r>
            <w:hyperlink w:anchor="i49f82bc2aa33405eae1e0b45f37d1ae6_262">
              <w:r>
                <w:rPr>
                  <w:rStyle w:val="InternetLink"/>
                  <w:rFonts w:ascii="Times New Roman;serif" w:hAnsi="Times New Roman;serif"/>
                  <w:b w:val="false"/>
                  <w:color w:val="000080"/>
                  <w:sz w:val="18"/>
                  <w:u w:val="single"/>
                </w:rPr>
                <w:t>Note</w:t>
              </w:r>
            </w:hyperlink>
            <w:hyperlink w:anchor="i49f82bc2aa33405eae1e0b45f37d1ae6_262">
              <w:r>
                <w:rPr>
                  <w:rStyle w:val="InternetLink"/>
                  <w:rFonts w:ascii="Times New Roman;serif" w:hAnsi="Times New Roman;serif"/>
                  <w:b w:val="false"/>
                  <w:color w:val="000080"/>
                  <w:sz w:val="18"/>
                  <w:u w:val="single"/>
                </w:rPr>
                <w:t> </w:t>
              </w:r>
            </w:hyperlink>
            <w:hyperlink w:anchor="i49f82bc2aa33405eae1e0b45f37d1ae6_262">
              <w:r>
                <w:rPr>
                  <w:rStyle w:val="InternetLink"/>
                  <w:rFonts w:ascii="Times New Roman;serif" w:hAnsi="Times New Roman;serif"/>
                  <w:b w:val="false"/>
                  <w:color w:val="000080"/>
                  <w:sz w:val="18"/>
                  <w:u w:val="single"/>
                </w:rPr>
                <w:t>13</w:t>
              </w:r>
            </w:hyperlink>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Warrant liabilities (</w:t>
            </w:r>
            <w:hyperlink w:anchor="i49f82bc2aa33405eae1e0b45f37d1ae6_295">
              <w:r>
                <w:rPr>
                  <w:rStyle w:val="InternetLink"/>
                  <w:rFonts w:ascii="Times New Roman;serif" w:hAnsi="Times New Roman;serif"/>
                  <w:b w:val="false"/>
                  <w:color w:val="0000FF"/>
                  <w:sz w:val="18"/>
                  <w:u w:val="single"/>
                </w:rPr>
                <w:t>Note 16</w:t>
              </w:r>
            </w:hyperlink>
            <w:r>
              <w:rPr>
                <w:rFonts w:ascii="Times New Roman;serif" w:hAnsi="Times New Roman;serif"/>
                <w:b w:val="false"/>
                <w:color w:val="000000"/>
                <w:sz w:val="18"/>
              </w:rPr>
              <w:t>) and (</w:t>
            </w:r>
            <w:hyperlink w:anchor="i49f82bc2aa33405eae1e0b45f37d1ae6_316">
              <w:r>
                <w:rPr>
                  <w:rStyle w:val="InternetLink"/>
                  <w:rFonts w:ascii="Times New Roman;serif" w:hAnsi="Times New Roman;serif"/>
                  <w:b w:val="false"/>
                  <w:color w:val="0000FF"/>
                  <w:sz w:val="18"/>
                  <w:u w:val="single"/>
                </w:rPr>
                <w:t>Note 23</w:t>
              </w:r>
            </w:hyperlink>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1,001,472 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871,062 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22885"/>
                <wp:effectExtent l="0" t="0" r="0" b="0"/>
                <wp:wrapNone/>
                <wp:docPr id="183" name="Frame1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9174" w:type="dxa"/>
        <w:jc w:val="left"/>
        <w:tblInd w:w="0" w:type="dxa"/>
        <w:tblLayout w:type="fixed"/>
        <w:tblCellMar>
          <w:top w:w="28" w:type="dxa"/>
          <w:left w:w="28" w:type="dxa"/>
          <w:bottom w:w="28" w:type="dxa"/>
          <w:right w:w="28" w:type="dxa"/>
        </w:tblCellMar>
      </w:tblPr>
      <w:tblGrid>
        <w:gridCol w:w="2383"/>
        <w:gridCol w:w="2099"/>
        <w:gridCol w:w="2103"/>
        <w:gridCol w:w="198"/>
        <w:gridCol w:w="747"/>
        <w:gridCol w:w="109"/>
        <w:gridCol w:w="109"/>
        <w:gridCol w:w="109"/>
        <w:gridCol w:w="109"/>
        <w:gridCol w:w="198"/>
        <w:gridCol w:w="747"/>
        <w:gridCol w:w="109"/>
        <w:gridCol w:w="154"/>
      </w:tblGrid>
      <w:tr>
        <w:trPr/>
        <w:tc>
          <w:tcPr>
            <w:tcW w:w="238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Commitments and contingencies (</w:t>
            </w:r>
            <w:hyperlink w:anchor="i49f82bc2aa33405eae1e0b45f37d1ae6_250">
              <w:r>
                <w:rPr>
                  <w:rStyle w:val="InternetLink"/>
                  <w:rFonts w:ascii="Times New Roman;serif" w:hAnsi="Times New Roman;serif"/>
                  <w:b w:val="false"/>
                  <w:color w:val="000080"/>
                  <w:sz w:val="18"/>
                  <w:u w:val="single"/>
                </w:rPr>
                <w:t>Note</w:t>
              </w:r>
            </w:hyperlink>
            <w:hyperlink w:anchor="i49f82bc2aa33405eae1e0b45f37d1ae6_250">
              <w:r>
                <w:rPr>
                  <w:rStyle w:val="InternetLink"/>
                  <w:rFonts w:ascii="Times New Roman;serif" w:hAnsi="Times New Roman;serif"/>
                  <w:b w:val="false"/>
                  <w:color w:val="000080"/>
                  <w:sz w:val="18"/>
                  <w:u w:val="single"/>
                </w:rPr>
                <w:t> </w:t>
              </w:r>
            </w:hyperlink>
            <w:hyperlink w:anchor="i49f82bc2aa33405eae1e0b45f37d1ae6_250">
              <w:r>
                <w:rPr>
                  <w:rStyle w:val="InternetLink"/>
                  <w:rFonts w:ascii="Times New Roman;serif" w:hAnsi="Times New Roman;serif"/>
                  <w:b w:val="false"/>
                  <w:color w:val="000080"/>
                  <w:sz w:val="18"/>
                  <w:u w:val="single"/>
                </w:rPr>
                <w:t>11</w:t>
              </w:r>
            </w:hyperlink>
            <w:r>
              <w:rPr>
                <w:rFonts w:ascii="Times New Roman;serif" w:hAnsi="Times New Roman;serif"/>
                <w:b w:val="false"/>
                <w:color w:val="000000"/>
                <w:sz w:val="18"/>
              </w:rPr>
              <w:t>)</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1,650,000,000 and 1,350,000,000 shares authorized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8"/>
              </w:rPr>
              <w:t>as of December 31, 2025 and 2024, respectively; 1,011,800,008 and 852,904,340 shares</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8"/>
              </w:rPr>
              <w:t>issued and outstanding as of December 31, 2025 and 2024, respectively; excluding</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8"/>
              </w:rPr>
              <w:t>treasury stock, 163,800 shares outstanding as of December 31, 2025 and 2024</w:t>
            </w:r>
          </w:p>
        </w:tc>
        <w:tc>
          <w:tcPr>
            <w:tcW w:w="1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3,197,120 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2,884,867 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(3,726,646)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(3,375,248)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ImmunityBio stockholders’ deficit</w:t>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(500,469)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(489,098)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(499,574)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(488,129)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501,898 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382,933 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22885"/>
                <wp:effectExtent l="0" t="0" r="0" b="0"/>
                <wp:wrapNone/>
                <wp:docPr id="184" name="Frame1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9795" w:type="dxa"/>
        <w:jc w:val="left"/>
        <w:tblInd w:w="0" w:type="dxa"/>
        <w:tblLayout w:type="fixed"/>
        <w:tblCellMar>
          <w:top w:w="28" w:type="dxa"/>
          <w:left w:w="28" w:type="dxa"/>
          <w:bottom w:w="28" w:type="dxa"/>
          <w:right w:w="28" w:type="dxa"/>
        </w:tblCellMar>
      </w:tblPr>
      <w:tblGrid>
        <w:gridCol w:w="1924"/>
        <w:gridCol w:w="1697"/>
        <w:gridCol w:w="1703"/>
        <w:gridCol w:w="211"/>
        <w:gridCol w:w="901"/>
        <w:gridCol w:w="109"/>
        <w:gridCol w:w="109"/>
        <w:gridCol w:w="109"/>
        <w:gridCol w:w="109"/>
        <w:gridCol w:w="211"/>
        <w:gridCol w:w="901"/>
        <w:gridCol w:w="109"/>
        <w:gridCol w:w="109"/>
        <w:gridCol w:w="109"/>
        <w:gridCol w:w="109"/>
        <w:gridCol w:w="211"/>
        <w:gridCol w:w="901"/>
        <w:gridCol w:w="109"/>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2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(256,027)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(362,250)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revenue interest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method investment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(95,580)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(221,642)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income taxes and noncontrolling interests</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(351,607)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(583,892)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(351,472)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(583,852)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net of tax</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ImmunityBio common stockholders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(351,398)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(413,564)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(583,196)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ImmunityBio common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ImmunityBio common share –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in computing</w:t>
              <w:br/>
              <w:t>   net loss per share – basic</w:t>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508,636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in computing</w:t>
              <w:br/>
              <w:t>   net loss per share – diluted</w:t>
            </w:r>
          </w:p>
        </w:tc>
        <w:tc>
          <w:tcPr>
            <w:tcW w:w="122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508,636</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22885"/>
                <wp:effectExtent l="0" t="0" r="0" b="0"/>
                <wp:wrapNone/>
                <wp:docPr id="185" name="Frame1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091"/>
        <w:gridCol w:w="1807"/>
        <w:gridCol w:w="1842"/>
        <w:gridCol w:w="211"/>
        <w:gridCol w:w="898"/>
        <w:gridCol w:w="109"/>
        <w:gridCol w:w="109"/>
        <w:gridCol w:w="109"/>
        <w:gridCol w:w="109"/>
        <w:gridCol w:w="211"/>
        <w:gridCol w:w="898"/>
        <w:gridCol w:w="109"/>
        <w:gridCol w:w="109"/>
        <w:gridCol w:w="109"/>
        <w:gridCol w:w="109"/>
        <w:gridCol w:w="211"/>
        <w:gridCol w:w="898"/>
        <w:gridCol w:w="109"/>
        <w:gridCol w:w="157"/>
      </w:tblGrid>
      <w:tr>
        <w:trPr/>
        <w:tc>
          <w:tcPr>
            <w:tcW w:w="20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income taxes: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 related to</w:t>
              <w:br/>
              <w:t>   instrument-specific credit risk</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realized gains (losses) on available-for-sale</w:t>
              <w:br/>
              <w:t>   securities included in net loss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gains on available-for-sale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(323,714)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(412,457)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(584,025)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ImmunityBio common stockholders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(323,640)</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(412,376)</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(583,369)</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22885"/>
                <wp:effectExtent l="0" t="0" r="0" b="0"/>
                <wp:wrapNone/>
                <wp:docPr id="186" name="Frame1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2885" w:type="dxa"/>
        <w:jc w:val="left"/>
        <w:tblInd w:w="0" w:type="dxa"/>
        <w:tblLayout w:type="fixed"/>
        <w:tblCellMar>
          <w:top w:w="28" w:type="dxa"/>
          <w:left w:w="28" w:type="dxa"/>
          <w:bottom w:w="28" w:type="dxa"/>
          <w:right w:w="28" w:type="dxa"/>
        </w:tblCellMar>
      </w:tblPr>
      <w:tblGrid>
        <w:gridCol w:w="664"/>
        <w:gridCol w:w="268"/>
        <w:gridCol w:w="269"/>
        <w:gridCol w:w="109"/>
        <w:gridCol w:w="109"/>
        <w:gridCol w:w="109"/>
        <w:gridCol w:w="525"/>
        <w:gridCol w:w="526"/>
        <w:gridCol w:w="196"/>
        <w:gridCol w:w="109"/>
        <w:gridCol w:w="109"/>
        <w:gridCol w:w="109"/>
        <w:gridCol w:w="212"/>
        <w:gridCol w:w="359"/>
        <w:gridCol w:w="120"/>
        <w:gridCol w:w="109"/>
        <w:gridCol w:w="109"/>
        <w:gridCol w:w="109"/>
        <w:gridCol w:w="196"/>
        <w:gridCol w:w="871"/>
        <w:gridCol w:w="109"/>
        <w:gridCol w:w="109"/>
        <w:gridCol w:w="109"/>
        <w:gridCol w:w="109"/>
        <w:gridCol w:w="196"/>
        <w:gridCol w:w="886"/>
        <w:gridCol w:w="109"/>
        <w:gridCol w:w="109"/>
        <w:gridCol w:w="109"/>
        <w:gridCol w:w="109"/>
        <w:gridCol w:w="328"/>
        <w:gridCol w:w="705"/>
        <w:gridCol w:w="183"/>
        <w:gridCol w:w="109"/>
        <w:gridCol w:w="109"/>
        <w:gridCol w:w="109"/>
        <w:gridCol w:w="196"/>
        <w:gridCol w:w="791"/>
        <w:gridCol w:w="109"/>
        <w:gridCol w:w="109"/>
        <w:gridCol w:w="109"/>
        <w:gridCol w:w="109"/>
        <w:gridCol w:w="268"/>
        <w:gridCol w:w="782"/>
        <w:gridCol w:w="151"/>
        <w:gridCol w:w="109"/>
        <w:gridCol w:w="109"/>
        <w:gridCol w:w="109"/>
        <w:gridCol w:w="196"/>
        <w:gridCol w:w="791"/>
        <w:gridCol w:w="109"/>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ImmunityBio</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421,569,115 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(2,378,488)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“at-the market”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offering, net of commissions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offering costs of $457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5,605,323 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in exchange for notes </w:t>
              <w:br/>
              <w: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209,291,936 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shares in RDOs, net of discounts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offering costs of $3,535 and value ascribed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 associated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28,641,911 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in connection with the RIPA,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net of transaction costs of $473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2,432,894 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Gain on debt extinguishment with related-parties under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18"/>
              </w:rPr>
              <w:t>common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in fair value of embedded conversion </w:t>
              <w:br/>
              <w:t>   feature from debt modification with entities</w:t>
              <w:br/>
              <w:t>   under common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4,545,644 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(1,403,841)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Change in ownership interest in a joint venture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due to legal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670,867,344 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2,374,620 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(2,961,684)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(586,987)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(585,937)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22885"/>
                <wp:effectExtent l="0" t="0" r="0" b="0"/>
                <wp:wrapNone/>
                <wp:docPr id="187" name="Frame1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2959" w:type="dxa"/>
        <w:jc w:val="left"/>
        <w:tblInd w:w="0" w:type="dxa"/>
        <w:tblLayout w:type="fixed"/>
        <w:tblCellMar>
          <w:top w:w="28" w:type="dxa"/>
          <w:left w:w="28" w:type="dxa"/>
          <w:bottom w:w="28" w:type="dxa"/>
          <w:right w:w="28" w:type="dxa"/>
        </w:tblCellMar>
      </w:tblPr>
      <w:tblGrid>
        <w:gridCol w:w="531"/>
        <w:gridCol w:w="334"/>
        <w:gridCol w:w="336"/>
        <w:gridCol w:w="109"/>
        <w:gridCol w:w="109"/>
        <w:gridCol w:w="109"/>
        <w:gridCol w:w="525"/>
        <w:gridCol w:w="526"/>
        <w:gridCol w:w="196"/>
        <w:gridCol w:w="109"/>
        <w:gridCol w:w="109"/>
        <w:gridCol w:w="109"/>
        <w:gridCol w:w="230"/>
        <w:gridCol w:w="230"/>
        <w:gridCol w:w="231"/>
        <w:gridCol w:w="109"/>
        <w:gridCol w:w="109"/>
        <w:gridCol w:w="109"/>
        <w:gridCol w:w="435"/>
        <w:gridCol w:w="436"/>
        <w:gridCol w:w="291"/>
        <w:gridCol w:w="109"/>
        <w:gridCol w:w="109"/>
        <w:gridCol w:w="109"/>
        <w:gridCol w:w="442"/>
        <w:gridCol w:w="444"/>
        <w:gridCol w:w="351"/>
        <w:gridCol w:w="109"/>
        <w:gridCol w:w="109"/>
        <w:gridCol w:w="109"/>
        <w:gridCol w:w="405"/>
        <w:gridCol w:w="405"/>
        <w:gridCol w:w="406"/>
        <w:gridCol w:w="109"/>
        <w:gridCol w:w="109"/>
        <w:gridCol w:w="109"/>
        <w:gridCol w:w="375"/>
        <w:gridCol w:w="376"/>
        <w:gridCol w:w="366"/>
        <w:gridCol w:w="109"/>
        <w:gridCol w:w="109"/>
        <w:gridCol w:w="109"/>
        <w:gridCol w:w="400"/>
        <w:gridCol w:w="400"/>
        <w:gridCol w:w="401"/>
        <w:gridCol w:w="109"/>
        <w:gridCol w:w="109"/>
        <w:gridCol w:w="109"/>
        <w:gridCol w:w="375"/>
        <w:gridCol w:w="376"/>
        <w:gridCol w:w="36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ImmunityBio</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“at-the market” offering,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net of commissions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offering costs of $660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427,368 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Conversion of related-party convertible notes and </w:t>
              <w:br/>
              <w:t>   accrued interest into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117,185,260 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188,526 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188,537 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188,537 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shares in an equity offering, net of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offering costs of $8,073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38,333,334 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106,923 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106,927 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106,927 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Gain on debt extinguishment with related-parties under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common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308,959 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4,269,864 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(1,589,519)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22,242,740 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163,522 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163,522 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Oberland stock option, net of commissions of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858,990 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(413,564)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(413,564)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(413,645)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852,904,340 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2,884,867 </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(3,375,248)</w:t>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(489,098)</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4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(488,129)</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22885"/>
                <wp:effectExtent l="0" t="0" r="0" b="0"/>
                <wp:wrapNone/>
                <wp:docPr id="188" name="Frame1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3040" w:type="dxa"/>
        <w:jc w:val="left"/>
        <w:tblInd w:w="0" w:type="dxa"/>
        <w:tblLayout w:type="fixed"/>
        <w:tblCellMar>
          <w:top w:w="28" w:type="dxa"/>
          <w:left w:w="28" w:type="dxa"/>
          <w:bottom w:w="28" w:type="dxa"/>
          <w:right w:w="28" w:type="dxa"/>
        </w:tblCellMar>
      </w:tblPr>
      <w:tblGrid>
        <w:gridCol w:w="516"/>
        <w:gridCol w:w="334"/>
        <w:gridCol w:w="336"/>
        <w:gridCol w:w="109"/>
        <w:gridCol w:w="109"/>
        <w:gridCol w:w="109"/>
        <w:gridCol w:w="592"/>
        <w:gridCol w:w="594"/>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50"/>
        <w:gridCol w:w="826"/>
        <w:gridCol w:w="140"/>
        <w:gridCol w:w="109"/>
        <w:gridCol w:w="109"/>
        <w:gridCol w:w="109"/>
        <w:gridCol w:w="196"/>
        <w:gridCol w:w="791"/>
        <w:gridCol w:w="109"/>
        <w:gridCol w:w="109"/>
        <w:gridCol w:w="109"/>
        <w:gridCol w:w="109"/>
        <w:gridCol w:w="324"/>
        <w:gridCol w:w="696"/>
        <w:gridCol w:w="181"/>
        <w:gridCol w:w="109"/>
        <w:gridCol w:w="109"/>
        <w:gridCol w:w="109"/>
        <w:gridCol w:w="196"/>
        <w:gridCol w:w="791"/>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ImmunityBio</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“at-the market” offering,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net of commissions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offering costs of $6,345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98,793,729 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shares in equity offerings, net of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offering costs of $2,693 and value ascribed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 associated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58,654,400 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2,153,485 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(815,966)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1,011,800,008 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3,197,120 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(3,726,646)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28,956 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(500,469)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(499,574)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22885"/>
                <wp:effectExtent l="0" t="0" r="0" b="0"/>
                <wp:wrapNone/>
                <wp:docPr id="189" name="Frame1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406" w:type="dxa"/>
        <w:jc w:val="left"/>
        <w:tblInd w:w="0" w:type="dxa"/>
        <w:tblLayout w:type="fixed"/>
        <w:tblCellMar>
          <w:top w:w="28" w:type="dxa"/>
          <w:left w:w="28" w:type="dxa"/>
          <w:bottom w:w="28" w:type="dxa"/>
          <w:right w:w="28" w:type="dxa"/>
        </w:tblCellMar>
      </w:tblPr>
      <w:tblGrid>
        <w:gridCol w:w="1899"/>
        <w:gridCol w:w="1672"/>
        <w:gridCol w:w="1679"/>
        <w:gridCol w:w="196"/>
        <w:gridCol w:w="811"/>
        <w:gridCol w:w="109"/>
        <w:gridCol w:w="109"/>
        <w:gridCol w:w="109"/>
        <w:gridCol w:w="109"/>
        <w:gridCol w:w="196"/>
        <w:gridCol w:w="811"/>
        <w:gridCol w:w="109"/>
        <w:gridCol w:w="109"/>
        <w:gridCol w:w="109"/>
        <w:gridCol w:w="109"/>
        <w:gridCol w:w="196"/>
        <w:gridCol w:w="811"/>
        <w:gridCol w:w="109"/>
        <w:gridCol w:w="154"/>
      </w:tblGrid>
      <w:tr>
        <w:trPr/>
        <w:tc>
          <w:tcPr>
            <w:tcW w:w="189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related-party convertible note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revenue interest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due to write-off of fixed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related to 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Non-cash lease expense related to operating lease </w:t>
              <w:br/>
              <w:t>   right-of-use assets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discounts on marketable debt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allocated to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items,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related-party notes 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equity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to and due from related parties,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(304,936)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(391,236)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(366,757)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debt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debt securities, available-for-sale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debt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a business, net of 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other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(149,801)</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(12,246)</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(30,470)</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22885"/>
                <wp:effectExtent l="0" t="0" r="0" b="0"/>
                <wp:wrapNone/>
                <wp:docPr id="190" name="Frame1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986" w:type="dxa"/>
        <w:jc w:val="left"/>
        <w:tblInd w:w="0" w:type="dxa"/>
        <w:tblLayout w:type="fixed"/>
        <w:tblCellMar>
          <w:top w:w="28" w:type="dxa"/>
          <w:left w:w="28" w:type="dxa"/>
          <w:bottom w:w="28" w:type="dxa"/>
          <w:right w:w="28" w:type="dxa"/>
        </w:tblCellMar>
      </w:tblPr>
      <w:tblGrid>
        <w:gridCol w:w="1832"/>
        <w:gridCol w:w="1608"/>
        <w:gridCol w:w="1615"/>
        <w:gridCol w:w="196"/>
        <w:gridCol w:w="736"/>
        <w:gridCol w:w="109"/>
        <w:gridCol w:w="109"/>
        <w:gridCol w:w="109"/>
        <w:gridCol w:w="109"/>
        <w:gridCol w:w="196"/>
        <w:gridCol w:w="736"/>
        <w:gridCol w:w="109"/>
        <w:gridCol w:w="109"/>
        <w:gridCol w:w="109"/>
        <w:gridCol w:w="109"/>
        <w:gridCol w:w="196"/>
        <w:gridCol w:w="736"/>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equity offerings, net of discounts and issuance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short-term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premium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RIPA,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Oberland stock option, net of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issuance of related-party promissory notes, </w:t>
              <w:br/>
              <w:t>   net of issuance costs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stock option issuance in connection with </w:t>
              <w:br/>
              <w:t>   the RIPA, net of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400,241 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281,630 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558,341 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Effect of exchange rate changes on cash and cash equivalents,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restricted cash</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year</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89,431 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143,912 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265,787 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22885"/>
                <wp:effectExtent l="0" t="0" r="0" b="0"/>
                <wp:wrapNone/>
                <wp:docPr id="191" name="Frame1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616" w:type="dxa"/>
        <w:jc w:val="left"/>
        <w:tblInd w:w="0" w:type="dxa"/>
        <w:tblLayout w:type="fixed"/>
        <w:tblCellMar>
          <w:top w:w="28" w:type="dxa"/>
          <w:left w:w="28" w:type="dxa"/>
          <w:bottom w:w="28" w:type="dxa"/>
          <w:right w:w="28" w:type="dxa"/>
        </w:tblCellMar>
      </w:tblPr>
      <w:tblGrid>
        <w:gridCol w:w="2059"/>
        <w:gridCol w:w="1808"/>
        <w:gridCol w:w="1818"/>
        <w:gridCol w:w="196"/>
        <w:gridCol w:w="736"/>
        <w:gridCol w:w="109"/>
        <w:gridCol w:w="109"/>
        <w:gridCol w:w="109"/>
        <w:gridCol w:w="109"/>
        <w:gridCol w:w="196"/>
        <w:gridCol w:w="736"/>
        <w:gridCol w:w="109"/>
        <w:gridCol w:w="109"/>
        <w:gridCol w:w="109"/>
        <w:gridCol w:w="109"/>
        <w:gridCol w:w="196"/>
        <w:gridCol w:w="736"/>
        <w:gridCol w:w="109"/>
        <w:gridCol w:w="154"/>
      </w:tblGrid>
      <w:tr>
        <w:trPr/>
        <w:tc>
          <w:tcPr>
            <w:tcW w:w="205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year: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Restricted cash (</w:t>
            </w:r>
            <w:hyperlink w:anchor="iedb18721e259467288d72bc305f35901_62630">
              <w:r>
                <w:rPr>
                  <w:rStyle w:val="InternetLink"/>
                  <w:rFonts w:ascii="Times New Roman;serif" w:hAnsi="Times New Roman;serif"/>
                  <w:b w:val="false"/>
                  <w:color w:val="0000FF"/>
                  <w:sz w:val="18"/>
                  <w:u w:val="single"/>
                </w:rPr>
                <w:t>Note 2</w:t>
              </w:r>
            </w:hyperlink>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year</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89,431 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265,787 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year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Initial measurement of warrants issued in connection with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equity offerings accounted for as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purchases included in accounts payable,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accrued expenses and other liabilities, and due to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finance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Unpaid offering costs included in accounts payable, and accrued expenses </w:t>
              <w:br/>
              <w:t>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Conversion of related-party convertible notes and accrued interest, </w:t>
              <w:br/>
              <w:t>   net of unamortized discount, into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 with related parties under common control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fair value of embedded conversion feature from debt modification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ownership interest in a joint venture due to legal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disposed in exchange for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discount related to revenue interest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22885"/>
                <wp:effectExtent l="0" t="0" r="0" b="0"/>
                <wp:wrapNone/>
                <wp:docPr id="192" name="Frame1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these notes to the consolidated financial statements, the terms “ImmunityBio,” “the company,” “we,” “us,” and “our” refer to ImmunityBio and its subsidiaries.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Business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superagonist, ANKTIVA</w:t>
      </w:r>
      <w:r>
        <w:rPr>
          <w:color w:val="000000"/>
        </w:rPr>
        <w:t xml:space="preserve"> </w:t>
      </w:r>
      <w:r>
        <w:rPr>
          <w:rFonts w:ascii="Times New Roman;serif" w:hAnsi="Times New Roman;serif"/>
          <w:b w:val="false"/>
          <w:color w:val="000000"/>
          <w:sz w:val="20"/>
        </w:rPr>
        <w:t xml:space="preserve">(nogapendekin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have been prepared in accordance with U.S. GAAP and pursuant to the rules and regulations of the SEC. The consolidated financial statements reflect all adjustments which are, in the opinion of management, necessary for a fair presentation of our financial position and results of operations. Certain items in prior years’ consolidated financial statements have been reclassified to conform to the current presentation. These reclassifications had no effect on the reported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accompanying consolidated financial statements include the accounts of the company and its wholly-owned subsidiaries, and one non wholly-owned subsidiary. All intercompany transactions and balances have been eliminated upon consolidation. For consolidated entities in which we have less than 100% ownership, we record </w:t>
      </w:r>
      <w:r>
        <w:rPr>
          <w:rFonts w:ascii="Times New Roman;serif" w:hAnsi="Times New Roman;serif"/>
          <w:b w:val="false"/>
          <w:i/>
          <w:color w:val="000000"/>
          <w:sz w:val="20"/>
        </w:rPr>
        <w:t>net loss attributable to noncontrolling interests, net of tax,</w:t>
      </w:r>
      <w:r>
        <w:rPr>
          <w:color w:val="000000"/>
        </w:rPr>
        <w:t xml:space="preserve"> </w:t>
      </w:r>
      <w:r>
        <w:rPr>
          <w:rFonts w:ascii="Times New Roman;serif" w:hAnsi="Times New Roman;serif"/>
          <w:b w:val="false"/>
          <w:color w:val="000000"/>
          <w:sz w:val="20"/>
        </w:rPr>
        <w:t xml:space="preserve">on the consolidated statement of operations equal to the percentage of the ownership interest retained in such entities by the respective noncontrolling parties.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certain estimates and assumptions that affect the reported amounts of assets and liabilities and disclosure of contingent assets and liabilities at the date of the consolidated financial statements and the reported amounts of revenues and expenses during the reporting period. On an ongoing basis, we evaluate our estimates and the assessment of our ability to fund our operations for at least the next 12 months from the date of issuance of these consolidated financial statements. We base our estimates on historical experience and on various other market-specific and relevant assumptions that we believe to be reasonable under the circumstances. Estimates are assessed each period and updated to reflect current information and anticipated future events, and accordingly, actual results may ultimately differ materially from those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an accumulated deficit of $3.7 billion. We also had negative cash flows from operations of $304.9 million during the year ended December 31, 2025. The company will need to obtain additional financing to fund our future operations, including the commercialization of our approved product and the development and commercialization of our other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have been prepared assuming the company will continue as a going concern, which contemplates the realization of assets and the satisfaction of liabilities in the normal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22885"/>
                <wp:effectExtent l="0" t="0" r="0" b="0"/>
                <wp:wrapNone/>
                <wp:docPr id="193" name="Frame1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take some time to generate sufficient revenue from our approved product to offset expenses. We may also seek to sell additional equity through one or more follow-on offerings, or in separate financings, or obtain incremental subordinated debt in compliance with our existing revenue interest liability. However, we may not be able to secure such external financing in a timely manner or on favorable terms. Without significant sales of our approved product or additional funds, we may choose to delay or reduce our operating or investment expenditures. Further, because of the risk and uncertainties associated with the global commercialization of our approved product and our other product candidates, we may need additional funds to meet our needs sooner than planned.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continuing anticipated operating cash outflows as we commercialize our approved product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and our potential ability to borrow from affiliated entities will be sufficient to fund our operations through at least the next 12 months following the issuance date of the consolidated financial statements based primarily upon our Founder, Executive Chairman and Global Chief Scientific and Medical Officer’s intent and ability to support our operations with additional funds, including loans from affiliated entities, as required, which we believe alleviates such doubt.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Product Sales and Sales Deductions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product revenue from product sales when obligations under the terms of a contract with a customer are satisfied. This occurs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 The company’s customers are currently limited to pharmaceutical specialty distributors and a specialty pharmacy as the company currently operates under a third-party logistics agreement to engage a 3PL Agent to distribute the company’s products to its customers.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is recorded with each sale at wholesale acquisition cost, net of: (a) consideration payable to customers; and (b) variable consideration. The company pays fees to the specialty distributors and specialty pharmacy for certain administrative services associated with the distribution of the product. Such fees are not for a distinct good or service and, accordingly, are recorded as a reduction of revenue, as well as a reduction of accounts receivable (trade discounts) or as a component of accrued expenses (distributor fees). The variable consideration components include, but are not limited to, prompt payment discounts, product returns, chargebacks, rebates, and co-payment assistance, which are collectively referred to as “gross-to-net adjustments.” In accordance with ASC 606, the company must make judgments to determine the estimates for certain variable considerations. 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company utilizes the expected value method when estimating the amount of variable consideration to include in the transaction price with respect to each of the foregoing variable consideration components. Where appropriate, these estimates are based on factors such as industry and forecasted customer buying and payment patterns, our experience, current contractual and statutory requirements, and specific known market events and trends.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Variable consideration is reassessed each reporting period, and adjustments are recorded on a cumulative catch-up basis, which affects product revenue and net income in the period of adjustment. The actual amounts of variable consideration ultimately received may differ from our estimates. If actual results in future periods vary from our estimates, we adjust these estimates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22885"/>
                <wp:effectExtent l="0" t="0" r="0" b="0"/>
                <wp:wrapNone/>
                <wp:docPr id="194" name="Frame1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our proprietary GMP-in-a-Box bioreactors and related consumables to affiliated companies and third parties. The arrangements typically include delivery of bioreactors, consumables, and providing installation service, extended warranty service, and perpetual software licenses for using the equipment. We recognize revenue when customers obtain control and can benefit from the promised goods or services, generally upon installation of the bioreactors, in an amount that reflects the consideration that we expect to receive in exchange for those goods or services. Upfront payments and fees are recorded as deferred revenue upon receipt and recognized as revenue when we satisfy our performance obligations under these arrangements.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nonexclusive license agreements with a limited number of pharmaceutical and biotechnology companies that grant them the right to use our cell lines and intellectual property for non-clinical use. These agreements generally include upfront fees and annual research license fees for such use, as well as commercial license fees for sales of the licensee products developed or manufactured using our intellectual property and cell lines.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license agreements with customers, we typically promise to provide a license to use certain cell lines and related patents, the related know-how, and future research and development data that affect the license. We have concluded that these promises represent a single performance obligation due to the highly interrelated nature of the promises. We provide the cell lines and know-how immediately upon entering into the contracts. Research and development data are provided throughout the term of the contract when and if available. A performance obligation is a promise in a contract to transfer a distinct good or service to the customer. A contract’s transaction price is allocated to each distinct performance obligation based on relative standalone selling price and recognized as revenue when, or as, the performance obligation is satisfied.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license agreements may include non-refundable upfront payments, event-based milestone payments, sales-based royalty payments, or some combination of these. The event-based milestone payments represent variable consideration, and we use the most likely amount method to estimate this variable consideration. Given the high degree of uncertainty around the achievement of these milestones, we do not recognize revenue from these milestone payments until the uncertainty associated with these payments is resolved. We currently estimate variable consideration related to milestone payments to be zero and, as such, no revenue has been recognized for milestone payments. We recognize revenue from sales-based royalty payments when or as sales occur. On a quarterly basis, we re-evaluate our estimate of milestone variable consideration to determine whether any amount should be included in the transaction price and recorded prospectively as a cumulative adjustment to revenue recognized in the current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Major components of research and development costs include cash compensation and other personnel-related expenses, stock-based compensation, depreciation and amortization expense on research and development property and equipment and intangible assets, costs of preclinical studies, clinical trials costs, including CROs and related clinical manufacturing, including third-party CMOs,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research and development expenses as either external or internal. The company’s external research and development expenses support its various preclinical and clinical programs. The company’s internal research and development expenses include payroll and benefits expenses, facilities and equipment expense, and other indirect research and development expenses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22885"/>
                <wp:effectExtent l="0" t="0" r="0" b="0"/>
                <wp:wrapNone/>
                <wp:docPr id="195" name="Frame1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research and development costs are clinical trial and research expenses based on the services performed pursuant to contracts with research institutions and clinical research organizations and other vendors that conduct clinical trials and research on our behalf. We record accruals for estimated costs under these contracts. When evaluating the adequacy of the accrued liabilities, we analyze the progress of the preclinical studies or clinical trials, including the phase or completion of events, invoices received, contracted costs and purchase orders. Significant judgments and estimates are made in determining the accrued balances at the end of any reporting period based on the facts and circumstances known at that time. Although we do not expect the estimates to be materially different from the amounts actually incurred, if the estimates of the status and timing of services performed differ from the actual status and timing of services performed, we may report amounts that are too high or too low in any particular period. Actual results could differ from our estimates. We adjust the accruals in the period when actual costs become known.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Cost of sales consists primarily of third-party manufacturing costs, distribution, and overhead costs related to sales of approved product subsequent to receiving regulatory approval. Cost of sales may also include costs related to excess or obsolete inventory adjustment charges, abnormal costs, unabsorbed manufacturing and overhead costs, and manufacturing variances. All costs associated with the production of ANKTIVA prior to receiving regulatory approval were expensed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 of operations in the period incurred and therefore are not reflected in cost of sales.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is recorded net of allowances for prompt payment discounts, product returns, chargebacks, distributor fees, and credit losses. The company estimates an allowance for credit losses by considering factors such as credit quality, the age of the accounts receivable balances, and current economic conditions that may affect a customer’s ability to pay. As of December 31, 2025, the credit profile for the company’s counterparties was deemed to be in good standing, and as such an allowance for credit losses was not recorded.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Inventories are stated at the lower of cost or net realizable value. Cost, which includes amounts related to materials, labor and overhead, is determined in a manner that approximates the first-in, first-out method. The company classifies inventory as long-term when a sale of the inventory is expected beyond 12 months. Net realizable value is the estimated selling price in the ordinary course of business less reasonably predictable costs of completion, disposal and transportation. Inventory reserves are established based on the analysis of inventory levels for excess quantities and obsolescence, considering factors such as historical and anticipated future sales compared to quantities on hand and the remaining shelf life. See </w:t>
      </w:r>
      <w:hyperlink w:anchor="i49f82bc2aa33405eae1e0b45f37d1ae6_214">
        <w:r>
          <w:rPr>
            <w:rStyle w:val="InternetLink"/>
            <w:rFonts w:ascii="Times New Roman;serif" w:hAnsi="Times New Roman;serif"/>
            <w:b w:val="false"/>
            <w:color w:val="0000FF"/>
            <w:sz w:val="20"/>
            <w:u w:val="single"/>
          </w:rPr>
          <w:t>Note 4</w:t>
        </w:r>
      </w:hyperlink>
      <w:r>
        <w:rPr>
          <w:color w:val="000000"/>
        </w:rPr>
        <w:t xml:space="preserve"> “</w:t>
      </w:r>
      <w:r>
        <w:rPr>
          <w:rFonts w:ascii="Times New Roman;serif" w:hAnsi="Times New Roman;serif"/>
          <w:b w:val="false"/>
          <w:i/>
          <w:color w:val="000000"/>
          <w:sz w:val="20"/>
        </w:rPr>
        <w:t>Inventories”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 change in the potential amount of the liability previously recorded or the range of potential losses disclosed.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 of Major Customers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relies heavily on a limited number of customers to market and distribute ANKTIVA to various healthcare institutions or end users. During the year ended December 31, 2025, approximately 96% of our total gross revenue was from our top four customers, which accounted for 42%, 19%, 18% and 17% of our total revenue, respectively. As of December 31, 2025, our trade accounts receivable, net are mainly from sales of ANKTIVA.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22885"/>
                <wp:effectExtent l="0" t="0" r="0" b="0"/>
                <wp:wrapNone/>
                <wp:docPr id="196" name="Frame1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dependency on a few key customers exposes us to several risks, including the potential for disruptions in our distribution network, changes in customers’ business strategies, or financial difficulties faced by these customers. Any significant disruption or change in our relationship with these customers could materially and adversely affect our ability to effectively reach other potential end users and maintain our market position. Additionally, we maintain regular communication and strong relationships with our existing customers to ensure alignment with our business objectives.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believe our relationships with these customers are strong and mutually beneficial, there can be no assurance that we will be able to maintain these relationships or that we will be able to replace them with new specialty distributors if necessary.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 of Credit Risk and Other Risks and Uncertainties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 of risk consist principally of cash and cash equivalents, marketable securities, trade accounts receivable and a convertible note receivable.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attempt to minimize credit risk associated with our cash and cash equivalents by periodically evaluating the credit quality of our primary financial institutions. Our investment portfolio is maintained in accordance with our investment policy. While we maintain cash deposits in FDIC insured financial institutions in excess of federally insured limits, we do not believe that we are exposed to significant credit risk due to the financial position of the depository institutions in which those deposits are held. We have not experienced any losses on such accounts.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related to its trade accounts receivable from product sales. ANKTIVA is distributed primarily through specialty distributors and a specialty pharmacy. The company is operating under a title model with its 3PL Agent and the 3PL Agent retains all credit and collection risk on sales to the company’s specialty distributors and specialty pharmacy. As of December 31, 2025, the company’s 3PL Agent made up 100% of its trade accounts receivable, net balance. Historically, the company has not experienced any credit losses from product sales.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monitor the creditworthiness of the borrower of the convertible note receivable. We believe that any concentration of credit risk in its convertible note receivable was mitigated in part by our ability to convert, if necessary, at the qualifying financing event or upon a payment default into shares of the senior class of equity securities of the borrower.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and product candidates will require incremental approvals or clearances from the FDA or international regulatory agencies prior to commercial sales. There can be no assurance that any of our product or product candidates will receive any of the required approvals or clearances. If we were to be denied approval or clearance or any such approval or clearance was to be delayed, it would have a material adverse impact on us. </w:t>
      </w:r>
    </w:p>
    <w:p>
      <w:pPr>
        <w:pStyle w:val="TextBody"/>
        <w:bidi w:val="0"/>
        <w:spacing w:lineRule="auto" w:line="288" w:before="240" w:after="283"/>
        <w:jc w:val="left"/>
        <w:rPr>
          <w:rFonts w:ascii="Times New Roman;serif" w:hAnsi="Times New Roman;serif"/>
          <w:b/>
          <w:i/>
          <w:color w:val="000000"/>
          <w:sz w:val="20"/>
        </w:rPr>
      </w:pPr>
      <w:bookmarkStart w:id="21" w:name="iedb18721e259467288d72bc305f35901_62630"/>
      <w:bookmarkEnd w:id="21"/>
      <w:r>
        <w:rPr>
          <w:rFonts w:ascii="Times New Roman;serif" w:hAnsi="Times New Roman;serif"/>
          <w:b/>
          <w:i/>
          <w:color w:val="000000"/>
          <w:sz w:val="20"/>
        </w:rPr>
        <w:t>Cash, Cash Equivalents, and Restricted Cash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include highly liquid investments with an original maturity of three months or less from the date of purchase.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Restricted cash includes multiple bank accounts being held as collateral, which are pledged for the company’s credit card program, as well as a substitute letter of credit for certain of our leased properties. The landlords are the beneficiaries of the cash collateral account related to certain of our leased properties, and we are unable to access the funds during the terms of the leases. Restricted cash is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on the consolidated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22885"/>
                <wp:effectExtent l="0" t="0" r="0" b="0"/>
                <wp:wrapNone/>
                <wp:docPr id="197" name="Frame1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 and Other Investments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Marketable Debt Securities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holds investments in marketable debt securities consist mainly of government-sponsored securities. Marketable debt securities with remaining maturities greater than three months when acquired are classified as available-for-sale. The general condition of the financial markets and the economy may increase those risks and may affect the value and liquidity of investments and restrict our ability to access the capital markets. Marketable debt securities with remaining maturities of 12 months or less are classified as short-term and marketable securities with remaining maturities greater than 12 months are classified as long-term. All marketable debt securities are reported at fair value and any unrealized gains and losses are reported as a component of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on the consolidated statement of stockholders’ deficit, with the exception of unrealized losses believed to be other-than-temporary, which are recorded in </w:t>
      </w:r>
      <w:r>
        <w:rPr>
          <w:rFonts w:ascii="Times New Roman;serif" w:hAnsi="Times New Roman;serif"/>
          <w:b w:val="false"/>
          <w:i/>
          <w:color w:val="000000"/>
          <w:sz w:val="20"/>
        </w:rPr>
        <w:t>interest and investment income (loss), net</w:t>
      </w:r>
      <w:r>
        <w:rPr>
          <w:rFonts w:ascii="Times New Roman;serif" w:hAnsi="Times New Roman;serif"/>
          <w:b w:val="false"/>
          <w:color w:val="000000"/>
          <w:sz w:val="20"/>
        </w:rPr>
        <w:t xml:space="preserve">, on the consolidated statement of operations. Realized gains and losses from sales of securities and the amounts, net of tax, reclassified out of </w:t>
      </w:r>
      <w:r>
        <w:rPr>
          <w:rFonts w:ascii="Times New Roman;serif" w:hAnsi="Times New Roman;serif"/>
          <w:b w:val="false"/>
          <w:i/>
          <w:color w:val="000000"/>
          <w:sz w:val="20"/>
        </w:rPr>
        <w:t>accumulated other comprehensive income</w:t>
      </w:r>
      <w:r>
        <w:rPr>
          <w:rFonts w:ascii="Times New Roman;serif" w:hAnsi="Times New Roman;serif"/>
          <w:b w:val="false"/>
          <w:color w:val="000000"/>
          <w:sz w:val="20"/>
        </w:rPr>
        <w:t xml:space="preserve">, if any, are determined on a specific identification basis.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Marketable Equity Securities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Investments in mutual funds and equity securities, other than equity method investments, are recorded at fair market value, if fair value is readily determinable and any unrealized gains and losses are included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 xml:space="preserve">on the consolidated statement of operations. Realized gains and losses from the sale of the securities are determined on a specific identification basis and the amounts are included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 xml:space="preserve">on the consolidated statement of operations.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Evaluating Investments for Other-than-Temporary Impairments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periodically evaluate whether declines in fair values of our investments below their book value are other-than-temporary. This evaluation consists of several qualitative and quantitative factors regarding the severity and duration of the unrealized loss, as well as our ability and intent to hold the investment until a forecasted recovery occurs. Additionally, we assess whether we have plans to sell the security or whether it is more likely than not we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our investments, duration and severity of the decline in value, and our strategy and intentions for holding the investment. Our other-than-temporary impairments are further discussed in </w:t>
      </w:r>
      <w:hyperlink w:anchor="i49f82bc2aa33405eae1e0b45f37d1ae6_229">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Method of Accounting</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investee and other relevant factors such as the presence of a collaborative or other business relationship. Under the equity method of accounting, we record our share of the income or loss of the investee, if any, in </w:t>
      </w:r>
      <w:r>
        <w:rPr>
          <w:rFonts w:ascii="Times New Roman;serif" w:hAnsi="Times New Roman;serif"/>
          <w:b w:val="false"/>
          <w:i/>
          <w:color w:val="000000"/>
          <w:sz w:val="20"/>
        </w:rPr>
        <w:t>loss on equity method investment</w:t>
      </w:r>
      <w:r>
        <w:rPr>
          <w:rFonts w:ascii="Times New Roman;serif" w:hAnsi="Times New Roman;serif"/>
          <w:b w:val="false"/>
          <w:color w:val="000000"/>
          <w:sz w:val="20"/>
        </w:rPr>
        <w:t xml:space="preserve">, on the consolidated statement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Property, plant and equipment are stated at historical cost less accumulated depreciation and, if applicable, impairment charges. We review our property, plant and equipment for impairment whenever events or changes in circumstances indicate that the carrying amount of an asset may not be recoverable. All repairs and maintenance are charged to operating expenses during the financial period in which they are incurred. Depreciation of property, plant and equipment is calculated using the straight-line method over the estimated useful lives of the assets. Leasehold improvements are amortized on a straight-line basis over the shorter of their estimated lives or lease terms. See </w:t>
      </w:r>
      <w:hyperlink w:anchor="i49f82bc2aa33405eae1e0b45f37d1ae6_217">
        <w:r>
          <w:rPr>
            <w:rStyle w:val="InternetLink"/>
            <w:rFonts w:ascii="Times New Roman;serif" w:hAnsi="Times New Roman;serif"/>
            <w:b w:val="false"/>
            <w:color w:val="000080"/>
            <w:sz w:val="20"/>
            <w:u w:val="single"/>
          </w:rPr>
          <w:t>Note</w:t>
        </w:r>
      </w:hyperlink>
      <w:hyperlink w:anchor="i49f82bc2aa33405eae1e0b45f37d1ae6_217">
        <w:r>
          <w:rPr>
            <w:rStyle w:val="InternetLink"/>
            <w:rFonts w:ascii="Times New Roman;serif" w:hAnsi="Times New Roman;serif"/>
            <w:b w:val="false"/>
            <w:color w:val="000080"/>
            <w:sz w:val="20"/>
            <w:u w:val="single"/>
          </w:rPr>
          <w:t> </w:t>
        </w:r>
      </w:hyperlink>
      <w:hyperlink w:anchor="i49f82bc2aa33405eae1e0b45f37d1ae6_217">
        <w:r>
          <w:rPr>
            <w:rStyle w:val="InternetLink"/>
            <w:rFonts w:ascii="Times New Roman;serif" w:hAnsi="Times New Roman;serif"/>
            <w:b w:val="false"/>
            <w:color w:val="000080"/>
            <w:sz w:val="20"/>
            <w:u w:val="single"/>
          </w:rPr>
          <w:t>5</w:t>
        </w:r>
      </w:hyperlink>
      <w:r>
        <w:rPr>
          <w:color w:val="000000"/>
        </w:rPr>
        <w:t xml:space="preserve"> “</w:t>
      </w:r>
      <w:r>
        <w:rPr>
          <w:rFonts w:ascii="Times New Roman;serif" w:hAnsi="Times New Roman;serif"/>
          <w:b w:val="false"/>
          <w:i/>
          <w:color w:val="000000"/>
          <w:sz w:val="20"/>
        </w:rPr>
        <w:t xml:space="preserve">Property, Plant and Equipment, Net” </w:t>
      </w:r>
      <w:r>
        <w:rPr>
          <w:rFonts w:ascii="Times New Roman;serif" w:hAnsi="Times New Roman;serif"/>
          <w:b w:val="false"/>
          <w:color w:val="000000"/>
          <w:sz w:val="20"/>
        </w:rPr>
        <w:t>for information regarding the estimated useful lives of our assets.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Upon disposal of property, plant and equipment, the cost and related accumulated depreciation are removed from the consolidated financial statements and the net amount, less any proceeds, is included in </w:t>
      </w:r>
      <w:r>
        <w:rPr>
          <w:rFonts w:ascii="Times New Roman;serif" w:hAnsi="Times New Roman;serif"/>
          <w:b w:val="false"/>
          <w:i/>
          <w:color w:val="000000"/>
          <w:sz w:val="20"/>
        </w:rPr>
        <w:t>other income (expense), net</w:t>
      </w:r>
      <w:r>
        <w:rPr>
          <w:rFonts w:ascii="Times New Roman;serif" w:hAnsi="Times New Roman;serif"/>
          <w:b w:val="false"/>
          <w:color w:val="000000"/>
          <w:sz w:val="20"/>
        </w:rPr>
        <w:t xml:space="preserve">, on the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22885"/>
                <wp:effectExtent l="0" t="0" r="0" b="0"/>
                <wp:wrapNone/>
                <wp:docPr id="198" name="Frame1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acquired in a business combination are initially recognized at their fair value on the acquisition date. Acquired indefinite-lived assets, such as IPR&amp;D acquired in a business combination, are not amortized until they become definite-lived assets, upon the successful completion of the associated research and development effort. At that time, we determine the useful life of the asset and begin amortization. If the associated research and development effort is abandoned, the related IPR&amp;D assets are written-off and an impairment charge recorded. IPR&amp;D acquired in an asset acquisition is expensed immediately.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Acquired definite-lived intangible assets are amortized using the straight-line method over their respective estimated useful lives. The amortization of these intangible assets is included in </w:t>
      </w:r>
      <w:r>
        <w:rPr>
          <w:rFonts w:ascii="Times New Roman;serif" w:hAnsi="Times New Roman;serif"/>
          <w:b w:val="false"/>
          <w:i/>
          <w:color w:val="000000"/>
          <w:sz w:val="20"/>
        </w:rPr>
        <w:t>selling, general and administrative expense,</w:t>
      </w:r>
      <w:r>
        <w:rPr>
          <w:color w:val="000000"/>
        </w:rPr>
        <w:t xml:space="preserve"> </w:t>
      </w:r>
      <w:r>
        <w:rPr>
          <w:rFonts w:ascii="Times New Roman;serif" w:hAnsi="Times New Roman;serif"/>
          <w:b w:val="false"/>
          <w:color w:val="000000"/>
          <w:sz w:val="20"/>
        </w:rPr>
        <w:t>on the consolidated statement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Impairment of Long-lived and Indefinite-lived Assets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accounts for the impairment and disposition of long-lived assets in accordance with FASB ASC Topic 360,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xml:space="preserve">. The company evaluates long-lived assets for potential impairment when events or changes in circumstances indicate that the carrying value of the assets may not be recoverable. If so, the company makes an assessment of recoverability of the net carrying value of the asset group in which the long-lived asset resides over the remaining useful life of the primary asset in the asset group. The asset group is determined based on the lowest level for which identifiable cash flows can be identified. If this assessment indicates that the long-lived asset group is not recoverable, based on the estimated undiscounted future cash flows of the asset group, the company reduces the net carrying value of the related long-lived assets in the asset group to fair value and may adjust the remaining amortization period.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company accounts for the impairment and disposition of indefinite-lived intangible assets in accordance with FASB ASC Topic 350, </w:t>
      </w:r>
      <w:r>
        <w:rPr>
          <w:rFonts w:ascii="Times New Roman;serif" w:hAnsi="Times New Roman;serif"/>
          <w:b w:val="false"/>
          <w:i/>
          <w:color w:val="000000"/>
          <w:sz w:val="20"/>
        </w:rPr>
        <w:t>Intangibles—Goodwill and Other</w:t>
      </w:r>
      <w:r>
        <w:rPr>
          <w:rFonts w:ascii="Times New Roman;serif" w:hAnsi="Times New Roman;serif"/>
          <w:b w:val="false"/>
          <w:color w:val="000000"/>
          <w:sz w:val="20"/>
        </w:rPr>
        <w:t>. The company evaluates qualitative factors for impairment at least annually or more frequently whenever events or changes in circumstances indicate that the assets are impaired. If after the qualitative testing, it is more likely than not that the assets are impaired, then the company shall calculate the fair value of the assets and perform the quantitative impairment test by comparing the fair value of the assets with their carrying values. If such assets are considered to be impaired, the impairment to be recognized is measured by the amount by which the carrying values of the assets exceed their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Asset Acquisitions and Business Combinations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In an asset acquisition, upfront payments allocated to in-process research and development projects at the acquisition date are expensed unless there is an alternative future use. In addition, product development milestones are expensed upon achievement. Any contingent consideration, such as payments upon achievement of various developmental, regulatory, and commercial milestones, generally is not recognized at the acquisition date.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Business combinations are accounted for using the acquisition method of accounting, which requires that assets acquired and liabilities assumed generally be recorded at their fair values as of the acquisition date. Excess of consideration over the fair value of net assets acquired is recorded as goodwill. Estimating fair value requires us to make significant judgments and assumptions. Acquisition costs related to a business combination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22885"/>
                <wp:effectExtent l="0" t="0" r="0" b="0"/>
                <wp:wrapNone/>
                <wp:docPr id="199" name="Frame1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incurred in connection with a business combination is recorded at fair values on the acquisition date and re-measured at its revised fair value each subsequent reporting period until the related contingencies are resolved. The resulting changes in fair value are recorded in operating expenses on the consolidated statements of operations and comprehensive loss. Changes in fair value reflect changes to our assumptions regarding probabilities of successful achievement of related milestones, the timing in which the milestones are expected to be achieved, and the discount rate used to estimate the fair value of the obligation.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Control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between us and entities where Dr. Soon-Shiong and his affiliates are the controlling stockholders are accounted for as common control transactions whereby the net assets acquired or transferred are accounted at their carrying value. Any difference between the carrying value and consideration recognized is treated as a capital transaction. Cash consideration up to the carrying value of the net assets acquired or transferred is presented as an investing activity on the consolidated statement of cash flows. Cash consideration in excess of the carrying value of the net assets acquired or transferred is presented as a financing activity on the consolidated statement of cash flows.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Cloud Computing Arrangement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capitalizes implementation costs under a cloud computing arrangement that is a service contract in line with its policy for internal-use software. Costs incurred during the application development stage related to the implementation of the hosting arrangement are capitalized and 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other assets, </w:t>
      </w:r>
      <w:r>
        <w:rPr>
          <w:rFonts w:ascii="Times New Roman;serif" w:hAnsi="Times New Roman;serif"/>
          <w:b w:val="false"/>
          <w:color w:val="000000"/>
          <w:sz w:val="20"/>
        </w:rPr>
        <w:t xml:space="preserve">on the consolidated balance sheet. Amortization of capitalized implementation costs is recognized on a straight-line basis over the shorter of the estimated useful life or the terms of the underlying hosting arrangement when it is ready for its intended use. Costs related to preliminary project activities and post-implementation activities are expensed as incurred.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an exit price that would be received from the sale of an asset or paid to transfer a liability in the principal or most advantageous market for the asset or liability in an orderly transaction between market participants on the measurement date. We use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three tiers are defined as follows: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Level 1—Observable inputs that reflect quoted market prices (unadjusted) for identical assets or liabilities in active markets at the measurement date. Since valuations are based on quoted prices that are readily and regularly available in an active market, the valuation of these products does not entail a significant degree of judgment. Our Level 1 assets consist of bank deposits, treasuries, money market funds, and marketable equity securities.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Level 2—Observable inputs other than quoted prices in active markets that are observable either directly or indirectly in the marketplace for identical or similar assets and liabilities.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Level 3—Valuations based on inputs that are unobservable and significant to the overall fair value measurement.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a third-party pricing service to assist in obtaining fair value pricing for our investments in marketable debt securities. Inputs are documented in accordance with the fair value disclosure hierarchy. The fair values of financial instruments other than marketable securities and cash and cash equivalents are determined through a combination of management estimates and third-party valuations.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During the years ended December 31, 2025, 2024 and 2023, no transfers were made into or out of the Level 1, 2 or 3 categories. We will continue to review the fair value inputs on a quarterly basis. See </w:t>
      </w:r>
      <w:hyperlink w:anchor="i49f82bc2aa33405eae1e0b45f37d1ae6_235">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 xml:space="preserve">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22885"/>
                <wp:effectExtent l="0" t="0" r="0" b="0"/>
                <wp:wrapNone/>
                <wp:docPr id="200" name="Frame1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Collaboration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analyze our collaboration arrangements to assess whether they are within the scope of ASC 808. A collaborative arrangement is a contractual arrangement that involves joint operating activity. These arrangements involve two or more parties who are active participants in the activity and are exposed to significant risks and rewards dependent on the commercial success of the activity. This assessment is performed throughout the life of the arrangement based on changes in the responsibilities of all parties in the arrangement. To the extent the collaboration agreement is within the scope of ASC 808, we also assess whether the arrangement contains multiple elements that are within the scope of other accounting literature. If we conclude that some or all aspects of the agreement are distinct and represent a transaction with a customer, we account for those aspects of the arrangement within the scope of ASC 606. Amounts that are owed by collaboration partners within the scope of ASC 808 are recognized as an offset to research and development expense as such amounts are incurred by the collaboration partner. The amounts owed to a collaboration partner are classified as research and development expense.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collaboration arrangements require us to acquire certain equipment for exclusive use in the joint operating activities. These equipment purchases do not have an alternative use and are therefore expensed as incurred within research and development expense.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Our collaboration arrangements are further discussed in </w:t>
      </w:r>
      <w:hyperlink w:anchor="i49f82bc2aa33405eae1e0b45f37d1ae6_244">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 xml:space="preserve">Collaboration and License Agreements and Acquisition.”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Transactions with Related Parties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As outlined in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 xml:space="preserve">and </w:t>
      </w:r>
      <w:hyperlink w:anchor="i49f82bc2aa33405eae1e0b45f37d1ae6_277">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 xml:space="preserve">we have various agreements with related parties. These arrangements can be billed and settled in cash monthly, billed quarterly and settled in cash the following month, or estimated in advance and collected or paid upfront based on expected utilization. Monthly accruals are made for all quarterly billing arrangements.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whether an arrangement contains a lease at the inception of the contract and classify each lease as a finance lease or an operating lease. For all leases other than short-term leases, the company recognizes right-of-use assets and a lease liabilities at commencement date. The right-of-use asset is measured at cost, which comprises the initial amount of the lease liability adjusted for lease payments made at or before the lease commencement date, plus any initial direct costs incurred less any lease incentives received. The lease liability is measured as the present value of the lease payments over the lease term. When determining the present value of lease payments, the company uses incremental borrowing rate on the date of lease commencement, or the rate implicit in the lease, if known.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expense is recognized on a straight-line basis over the lease term. The depreciable life of operating right-of-use-assets and leasehold improvements is determined by the expected lease term. For finance leases, the right-of-use asset is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right-of-use asset is amortized over the useful life of the underlying asset.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elected not to recognize right-of-use assets and lease liabilities for qualifying short-term leases with an initial lease term of one year or less. The lease term includes the non-cancellable period of the lease. The company does not assume renewal options in our lease term assessment unless the company is reasonably certain at lease inception. Any assumptions that the company made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22885"/>
                <wp:effectExtent l="0" t="0" r="0" b="0"/>
                <wp:wrapNone/>
                <wp:docPr id="201" name="Frame1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elected to account for lease and non-lease components together as a single lease component for all underlying assets. Lease expense also includes amounts relating to variable lease payments. Variable lease payments include amounts relating to common area maintenance and real estate taxes.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For warrants that meet all criteria for equity classification, the warrants are required to be recorded at their initial fair value at the time of issuance, as a component of </w:t>
      </w:r>
      <w:r>
        <w:rPr>
          <w:rFonts w:ascii="Times New Roman;serif" w:hAnsi="Times New Roman;serif"/>
          <w:b w:val="false"/>
          <w:i/>
          <w:color w:val="000000"/>
          <w:sz w:val="20"/>
          <w:shd w:fill="FFFFFF" w:val="clear"/>
        </w:rPr>
        <w:t>additional paid-in capital,</w:t>
      </w:r>
      <w:r>
        <w:rPr>
          <w:color w:val="000000"/>
          <w:shd w:fill="FFFFFF" w:val="clear"/>
        </w:rPr>
        <w:t xml:space="preserve"> </w:t>
      </w:r>
      <w:r>
        <w:rPr>
          <w:rFonts w:ascii="Times New Roman;serif" w:hAnsi="Times New Roman;serif"/>
          <w:b w:val="false"/>
          <w:color w:val="000000"/>
          <w:sz w:val="20"/>
          <w:shd w:fill="FFFFFF" w:val="clear"/>
        </w:rPr>
        <w:t xml:space="preserve">on the consolidated statement of stockholders’ deficit. For warrants that do not meet all the criteria for equity classification, the warrants are required to be recorded at their initial fair value on the date of issuance, and on each balance sheet date thereafter. Changes in the estimated fair value of the warrants are recorded as a non-cash gain or loss in </w:t>
      </w:r>
      <w:r>
        <w:rPr>
          <w:rFonts w:ascii="Times New Roman;serif" w:hAnsi="Times New Roman;serif"/>
          <w:b w:val="false"/>
          <w:i/>
          <w:color w:val="000000"/>
          <w:sz w:val="20"/>
        </w:rPr>
        <w:t>other income (expense), net</w:t>
      </w:r>
      <w:r>
        <w:rPr>
          <w:rFonts w:ascii="Times New Roman;serif" w:hAnsi="Times New Roman;serif"/>
          <w:b w:val="false"/>
          <w:color w:val="000000"/>
          <w:sz w:val="20"/>
          <w:shd w:fill="FFFFFF" w:val="clear"/>
        </w:rPr>
        <w:t xml:space="preserve">, on the consolidated statement of operations. The fair value of the warrants was estimated using the Black-Scholes option pricing model.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Related-Party Convertible Note at Fair Value </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The company elected to apply the FVO method of accounting in accordance with ASC 825 and accounts for certain of its notes and embedded derivatives at fair value as a single instrument in accordance with ASC 815. The notes for which the FVO is elected are recorded at fair value upon the date of issuance and subsequently remeasured to fair value at each reporting period. Changes in the fair value of the notes accounted for at fair value are recorded as a component of </w:t>
      </w:r>
      <w:r>
        <w:rPr>
          <w:rFonts w:ascii="Times New Roman;serif" w:hAnsi="Times New Roman;serif"/>
          <w:b w:val="false"/>
          <w:i/>
          <w:color w:val="000000"/>
          <w:sz w:val="20"/>
        </w:rPr>
        <w:t>other income (expense), net</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 xml:space="preserve">on the consolidated statement of operations, except that changes in fair value caused by instrument-specific credit risk are recorded separately in </w:t>
      </w:r>
      <w:r>
        <w:rPr>
          <w:rFonts w:ascii="Times New Roman;serif" w:hAnsi="Times New Roman;serif"/>
          <w:b w:val="false"/>
          <w:i/>
          <w:color w:val="000000"/>
          <w:sz w:val="20"/>
          <w:shd w:fill="FFFFFF" w:val="clear"/>
        </w:rPr>
        <w:t xml:space="preserve">other comprehensive income (loss), </w:t>
      </w:r>
      <w:r>
        <w:rPr>
          <w:rFonts w:ascii="Times New Roman;serif" w:hAnsi="Times New Roman;serif"/>
          <w:b w:val="false"/>
          <w:color w:val="000000"/>
          <w:sz w:val="20"/>
          <w:shd w:fill="FFFFFF" w:val="clear"/>
        </w:rPr>
        <w:t xml:space="preserve">on the consolidated statement of comprehensive loss. The cumulative amount previously recorded in </w:t>
      </w:r>
      <w:r>
        <w:rPr>
          <w:rFonts w:ascii="Times New Roman;serif" w:hAnsi="Times New Roman;serif"/>
          <w:b w:val="false"/>
          <w:i/>
          <w:color w:val="000000"/>
          <w:sz w:val="20"/>
          <w:shd w:fill="FFFFFF" w:val="clear"/>
        </w:rPr>
        <w:t>other comprehensive income (loss)</w:t>
      </w:r>
      <w:r>
        <w:rPr>
          <w:color w:val="000000"/>
          <w:shd w:fill="FFFFFF" w:val="clear"/>
        </w:rPr>
        <w:t xml:space="preserve"> </w:t>
      </w:r>
      <w:r>
        <w:rPr>
          <w:rFonts w:ascii="Times New Roman;serif" w:hAnsi="Times New Roman;serif"/>
          <w:b w:val="false"/>
          <w:color w:val="000000"/>
          <w:sz w:val="20"/>
          <w:shd w:fill="FFFFFF" w:val="clear"/>
        </w:rPr>
        <w:t xml:space="preserve">resulting from changes in the instrument-specific credit risk for extinguished notes are reclassified and reported in current earnings on the consolidated statement of operations. All costs associated with the issuance of the convertible promissory note accounted for using the FVO were expensed upon issuance.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The company applied the FVO to the $505 million December 2024 Promissory Note and $30 million March 2023 Promissory Note prior to its extinguishment on December 29, 2023. See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Debt Modification and Extinguishment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evaluates amendments to its debt instruments in accordance with ASC 470-50. This evaluation includes comparing (1) if applicable, the net present value of future cash flows of the amended debt to that of the original debt and (2) the change in fair value of an embedded conversion feature to that of the carrying amount of the debt immediately prior to amendment to determine, in each case, if a change greater than 10% occurred. In instances where the net present value of future cash flows or the fair value of an embedded conversion feature, if any, changed more than 10%, the company applies extinguishment accounting. In instances where the net present value of future cash flows and the fair value of an embedded conversion feature, if any, changed less than 10%, the company accounts for the amendment to the debt as a debt modification. Gains and losses on debt amendments that are considered extinguishments are recognized in current earnings or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if the transactions are with entities under common control. Debt amendments that are considered debt modifications are accounted for prospectively through yield adjustments, based on the revised terms. Legal fees and other costs incurred with third parties that are directly related to debt modifications are expensed as incurred. Amounts paid by the company to the lenders, are reflected as additional debt discount and amortized as an adjustment of interest expense over remaining term of modified debt using the effective interest rate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22885"/>
                <wp:effectExtent l="0" t="0" r="0" b="0"/>
                <wp:wrapNone/>
                <wp:docPr id="202" name="Frame1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We record valuation allowances to reduce deferred tax assets to the amount we believe is more likely than not to be realized.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recognize uncertain tax positions when the position will more likely than not be upheld on examination by the taxing authorities based solely upon the technical merits of the positions. We recognize interest and penalties, if any, related to unrecognized income tax uncertainties in </w:t>
      </w:r>
      <w:r>
        <w:rPr>
          <w:rFonts w:ascii="Times New Roman;serif" w:hAnsi="Times New Roman;serif"/>
          <w:b w:val="false"/>
          <w:i/>
          <w:color w:val="000000"/>
          <w:sz w:val="20"/>
        </w:rPr>
        <w:t>income tax benefit (expense),</w:t>
      </w:r>
      <w:r>
        <w:rPr>
          <w:color w:val="000000"/>
        </w:rPr>
        <w:t xml:space="preserve"> </w:t>
      </w:r>
      <w:r>
        <w:rPr>
          <w:rFonts w:ascii="Times New Roman;serif" w:hAnsi="Times New Roman;serif"/>
          <w:b w:val="false"/>
          <w:color w:val="000000"/>
          <w:sz w:val="20"/>
        </w:rPr>
        <w:t xml:space="preserve">on the consolidated statement of operations. We did not have any accrued interest or penalties associated with uncertain tax positions as of December 31, 2025 and 2024.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Interest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we entered into the RIPA with Infinity and Oberland. Pursuant to the RIPA, Oberland acquired certain Revenue Interests (as defined in the RIPA) from us for a gross purchase price of $200.0 million paid on closing and acquired additional Revenue Interests from us for a gross purchase price of $100.0 million paid on May 13, 2024. Under the RIPA, Oberland has the right to receive quarterly payments from us based on, among other things, a certain percentage of our worldwide net sales, excluding those in China, during such quarter. The RIPA is considered a sale of future revenues and is accounted for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consolidated statement of operations. The interest rate on this liability may vary during the term of the agreement depending on a number of factors, including the level of actual and forecasted net sales. The company evaluates the interest rate quarterly based on actual and forecasted net sales utilizing the prospective method.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Embedded derivatives that are required to be bifurcated from the underlying debt instrument that do not meet the derivative scope exception and equity classification criteria are accounted for and valued as separate financial instruments. During the year ended December 31, 2024, the terms of an embedded derivative related to a contingent exercisable prepayment feature of a related-party convertible note (the $505 million December 2023 Promissory Note) required bifurcation. This embedded derivative was initially measured at fair value and was remeasured to fair value at each reporting date until the derivative would be settled. On December 10, 2024, the company and Nant Capital entered into a second amended and restated promissory note (the $505 million December 2024 Promissory Note) for which the FVO method of accounting was elected. As such, the bifurcation of the embedded derivative was no longer required. The embedded derivative is now included within the fair value of the second amended and restated promissory note recorded within </w:t>
      </w:r>
      <w:r>
        <w:rPr>
          <w:rFonts w:ascii="Times New Roman;serif" w:hAnsi="Times New Roman;serif"/>
          <w:b w:val="false"/>
          <w:i/>
          <w:color w:val="000000"/>
          <w:sz w:val="20"/>
        </w:rPr>
        <w:t>related-party convertible note payable at fair value</w:t>
      </w:r>
      <w:r>
        <w:rPr>
          <w:rFonts w:ascii="Times New Roman;serif" w:hAnsi="Times New Roman;serif"/>
          <w:b w:val="false"/>
          <w:color w:val="000000"/>
          <w:sz w:val="20"/>
        </w:rPr>
        <w:t xml:space="preserve">, on the consolidated balance sheet.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the RIPA contains certain features that meet the definition of being an embedded derivative requiring bifurcation as a separate compound financial instrument apart from the RIPA. The derivative liability is initially measured at fair value upon issuance and is subject to remeasurement at each reporting period with changes in fair value recognized in </w:t>
      </w:r>
      <w:r>
        <w:rPr>
          <w:rFonts w:ascii="Times New Roman;serif" w:hAnsi="Times New Roman;serif"/>
          <w:b w:val="false"/>
          <w:i/>
          <w:color w:val="000000"/>
          <w:sz w:val="20"/>
        </w:rPr>
        <w:t>other income (expense), net</w:t>
      </w:r>
      <w:r>
        <w:rPr>
          <w:rFonts w:ascii="Times New Roman;serif" w:hAnsi="Times New Roman;serif"/>
          <w:b w:val="false"/>
          <w:color w:val="000000"/>
          <w:sz w:val="20"/>
        </w:rPr>
        <w:t xml:space="preserve">, on the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22885"/>
                <wp:effectExtent l="0" t="0" r="0" b="0"/>
                <wp:wrapNone/>
                <wp:docPr id="203" name="Frame1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company accounts for stock-based compensation under the provisions of ASC 718. Under ASC 718, stock-based compensation associated with equity-classified awards is measured at fair value upon the grant date and recognized over the requisite service period. We estimate fair value of each stock option award on the date of grant using the Black-Scholes option pricing model. The Black-Scholes option pricing model requires the use of subjective assumptions, including, but not limited to, expected stock price volatility over the term of the awards and the expected term of the stock options. We measure the fair value of an equity-classified award at the grant date and recognize the stock-based compensation expense over the period of vesting on the straight-line basis for our outstanding share awards that do not contain a performance condition. For awards subject to performance-based vesting conditions, we assess the probability of the individual milestones under the award being achieved and stock-based compensation expense is recognized over the service period using the graded vesting method once management believes the performance criteria is probable of being met. For awards with service or performance conditions, we recognize the effect of forfeitures in compensation cost in the period that the award was forfeited. See </w:t>
      </w:r>
      <w:hyperlink w:anchor="i49f82bc2aa33405eae1e0b45f37d1ae6_301">
        <w:r>
          <w:rPr>
            <w:rStyle w:val="InternetLink"/>
            <w:rFonts w:ascii="Times New Roman;serif" w:hAnsi="Times New Roman;serif"/>
            <w:b w:val="false"/>
            <w:color w:val="0000FF"/>
            <w:sz w:val="20"/>
            <w:u w:val="single"/>
          </w:rPr>
          <w:t>Note 18</w:t>
        </w:r>
      </w:hyperlink>
      <w:r>
        <w:rPr>
          <w:color w:val="000000"/>
        </w:rPr>
        <w:t xml:space="preserve">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is defined as the change in equity of a business enterprise during a period from transactions and other events and circumstances from non-owner sources. Comprehensive income or loss is composed of net (loss) income and other comprehensive (loss) income. Our other comprehensive income or loss consists of net unrealized gains (losses) on marketable debt securities classified as available-for-sale, the change in fair value of convertible note resulting from a change in the instrument-specific credit risk, net of income taxes and foreign currency translation adjustments.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are recorded for the entities that we consolidate but are not wholly-owned by the company. Noncontrolling interests are classified as a separate component of equity on the consolidated balance sheet and consolidated statement of stockholders’ deficit. Additionally, net loss attributable to noncontrolling interests is reflected separately from consolidated net loss on the consolidated statement of operations and the consolidated statement of stockholders’ deficit. We record the noncontrolling interests’ share of loss based on the percentage of ownership interest retained by the respective noncontrolling interest holders. Noncontrolling interests recorded on the consolidated financial statements result from the company’s share of GlobeImmune, of which we controlled 69.1% as of December 31, 2025 and 2024, respectively. Noncontrolling interest stockholders are common stockholders.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have operations and hold assets in Italy. The functional currency of the subsidiary in Italy is the Euro, based on the nature of the transactions occurring within this entity, and accordingly, assets and liabilities of this subsidiary is translated into U.S. dollars at exchange rates prevailing as of the balance sheet dates, while the operating results are translated into U.S. dollars using the average exchange rates for the period correlating with those operating results. In 2025, we also formed a wholly-owned subsidiary in Ireland. However, the subsidiary in Ireland did not have any transactions during year ended December 31, 2025. Adjustments resulting from translating the financial statements of the foreign subsidiary into U.S. dollars are recorded as a component of </w:t>
      </w:r>
      <w:r>
        <w:rPr>
          <w:rFonts w:ascii="Times New Roman;serif" w:hAnsi="Times New Roman;serif"/>
          <w:b w:val="false"/>
          <w:i/>
          <w:color w:val="000000"/>
          <w:sz w:val="20"/>
        </w:rPr>
        <w:t>other comprehensive (loss) income</w:t>
      </w:r>
      <w:r>
        <w:rPr>
          <w:rFonts w:ascii="Times New Roman;serif" w:hAnsi="Times New Roman;serif"/>
          <w:b w:val="false"/>
          <w:color w:val="000000"/>
          <w:sz w:val="20"/>
        </w:rPr>
        <w:t xml:space="preserve">, on the consolidated statement of comprehensive loss. Transaction gains and losses are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 xml:space="preserve">on the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22885"/>
                <wp:effectExtent l="0" t="0" r="0" b="0"/>
                <wp:wrapNone/>
                <wp:docPr id="204" name="Frame1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color w:val="000000"/>
          <w:sz w:val="20"/>
        </w:rPr>
      </w:pPr>
      <w:bookmarkStart w:id="22" w:name="iedb18721e259467288d72bc305f35901_182987"/>
      <w:bookmarkEnd w:id="22"/>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Application of New or Revised Accounting Standards – Adopted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to improve its income tax disclosure requirements. Under this ASU, entities must annually (1) disclose specific categories in the rate reconciliation, (2) provide additional information for reconciling items that meet a quantitative threshold, and (3) disclose more detailed information about income taxes paid, including by jurisdiction; pretax income (or loss) from continuing operations; and income tax expense (or benefit). This ASU was effective for fiscal years beginning after December 15, 2024, with early adoption permitted. We adopted this ASU on December 31, 2025 on a prospective basis. See </w:t>
      </w:r>
      <w:hyperlink w:anchor="i49f82bc2aa33405eae1e0b45f37d1ae6_304">
        <w:r>
          <w:rPr>
            <w:rStyle w:val="InternetLink"/>
            <w:rFonts w:ascii="Times New Roman;serif" w:hAnsi="Times New Roman;serif"/>
            <w:b w:val="false"/>
            <w:color w:val="0000FF"/>
            <w:sz w:val="20"/>
            <w:u w:val="single"/>
          </w:rPr>
          <w:t>Note 19</w:t>
        </w:r>
      </w:hyperlink>
      <w:r>
        <w:rPr>
          <w:color w:val="000000"/>
        </w:rPr>
        <w:t xml:space="preserv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Application of New or Revised Accounting Standards – Not Yet Adopted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which requires that public business entities disclose additional information about specific expense categories in the notes to financial statements at interim and annual reporting periods. In January 2025, the FASB issued ASU 2025-01 to clarify the effective date. All public business entities should initially adopt the disclosure requirements in the first annual reporting period beginning after December 15, 2026, and interim reporting periods within annual reporting periods beginning after December 15, 2027. This ASU may be applied either on a prospective or retrospective basis. We are currently evaluating the impact of this standard on our disclosures.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Debt—Debt with Conversion and Other Options (Subtopic 470-20): Induced Conversions of Convertible Debt Instruments</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This ASU is effective for fiscal years beginning after December 15, 2025 and interim reporting periods within those annual reporting periods, with early adoption permitted. We do not expect this ASU to have a material impact on our consolidated financial statements.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which provides a practical expedient related to the estimation of expected credit losses for current accounts receivable and current contract assets arising from transactions accounted for under ASC 606. The practical expedient permits an entity to assume that current conditions as of the balance sheet date do not change for the remaining life of the current accounts receivable and current contract assets. The ASU is effective for fiscal years beginning after December 15, 2025 and interim reporting periods within those annual reporting periods, with early adoption permitted. We are currently evaluating the impact of this standard and do not expect the adoption to have a material impact on our consolidated financial statements. We expect to apply the practical expedient for qualifying current receivables and contract assets upon adoption.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clarifies and modernizes the accounting for costs related to internal-use software. The amendments in ASU 2025-06 remove all references to project stages and clarify the threshold entities apply to begin capitalizing costs. The ASU is effective for fiscal years beginning after December 15, 2027 and interim reporting periods within those annual reporting periods, with early adoption permitted. We are currently evaluating the impact of this standard on our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recent authoritative guidance issued by the FASB (including technical corrections to the ASC) and the SEC during the year ended December 31, 2025 did not, or are not expected to, have a material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22885"/>
                <wp:effectExtent l="0" t="0" r="0" b="0"/>
                <wp:wrapNone/>
                <wp:docPr id="205" name="Frame1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As discussed in </w:t>
      </w:r>
      <w:hyperlink w:anchor="i49f82bc2aa33405eae1e0b45f37d1ae6_199">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revenues are recognized in accordance with ASC 606. The following table presents our disaggregated revenue for the periods presented (in thousands):</w:t>
      </w:r>
    </w:p>
    <w:tbl>
      <w:tblPr>
        <w:tblW w:w="5457" w:type="dxa"/>
        <w:jc w:val="left"/>
        <w:tblInd w:w="0" w:type="dxa"/>
        <w:tblLayout w:type="fixed"/>
        <w:tblCellMar>
          <w:top w:w="28" w:type="dxa"/>
          <w:left w:w="28" w:type="dxa"/>
          <w:bottom w:w="28" w:type="dxa"/>
          <w:right w:w="28" w:type="dxa"/>
        </w:tblCellMar>
      </w:tblPr>
      <w:tblGrid>
        <w:gridCol w:w="647"/>
        <w:gridCol w:w="568"/>
        <w:gridCol w:w="570"/>
        <w:gridCol w:w="211"/>
        <w:gridCol w:w="826"/>
        <w:gridCol w:w="109"/>
        <w:gridCol w:w="109"/>
        <w:gridCol w:w="109"/>
        <w:gridCol w:w="109"/>
        <w:gridCol w:w="211"/>
        <w:gridCol w:w="721"/>
        <w:gridCol w:w="109"/>
        <w:gridCol w:w="109"/>
        <w:gridCol w:w="109"/>
        <w:gridCol w:w="109"/>
        <w:gridCol w:w="211"/>
        <w:gridCol w:w="46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our product revenue has been from U.S. sales of ANKTIVA, which we began shipping to customers in May 2024.</w:t>
      </w:r>
    </w:p>
    <w:p>
      <w:pPr>
        <w:pStyle w:val="TextBody"/>
        <w:bidi w:val="0"/>
        <w:spacing w:lineRule="auto" w:line="288" w:before="240" w:after="283"/>
        <w:ind w:left="0" w:right="0" w:firstLine="720"/>
        <w:jc w:val="left"/>
        <w:rPr/>
      </w:pPr>
      <w:r>
        <w:rPr>
          <w:rFonts w:ascii="Times New Roman;serif" w:hAnsi="Times New Roman;serif"/>
          <w:b w:val="false"/>
          <w:color w:val="000000"/>
          <w:sz w:val="20"/>
        </w:rPr>
        <w:t>During the years ended December 31, 2025 and 2024, approximately $21.1 million and $1.6 million of gross-to-net adjustments have been recorded as a reduction of revenue on the consolidated statements of operations, respectively</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As of December 31, 2025 and 2024, approximately $2.0 million and $0.2 million of allowances for prompt payment discounts, product returns and chargebacks were included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approximately $6.3 million and $0.5 million related to accrued rebates, co-payment assistance and other fees were included in </w:t>
      </w:r>
      <w:r>
        <w:rPr>
          <w:rFonts w:ascii="Times New Roman;serif" w:hAnsi="Times New Roman;serif"/>
          <w:b w:val="false"/>
          <w:i/>
          <w:color w:val="000000"/>
          <w:sz w:val="20"/>
        </w:rPr>
        <w:t xml:space="preserve">accrued expenses and other current liabilities, </w:t>
      </w:r>
      <w:r>
        <w:rPr>
          <w:rFonts w:ascii="Times New Roman;serif" w:hAnsi="Times New Roman;serif"/>
          <w:b w:val="false"/>
          <w:color w:val="000000"/>
          <w:sz w:val="20"/>
        </w:rPr>
        <w:t xml:space="preserve">on the consolidated balance sheets,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3989" w:type="dxa"/>
        <w:jc w:val="left"/>
        <w:tblInd w:w="0" w:type="dxa"/>
        <w:tblLayout w:type="fixed"/>
        <w:tblCellMar>
          <w:top w:w="28" w:type="dxa"/>
          <w:left w:w="28" w:type="dxa"/>
          <w:bottom w:w="28" w:type="dxa"/>
          <w:right w:w="28" w:type="dxa"/>
        </w:tblCellMar>
      </w:tblPr>
      <w:tblGrid>
        <w:gridCol w:w="555"/>
        <w:gridCol w:w="487"/>
        <w:gridCol w:w="489"/>
        <w:gridCol w:w="211"/>
        <w:gridCol w:w="721"/>
        <w:gridCol w:w="109"/>
        <w:gridCol w:w="109"/>
        <w:gridCol w:w="109"/>
        <w:gridCol w:w="109"/>
        <w:gridCol w:w="211"/>
        <w:gridCol w:w="616"/>
        <w:gridCol w:w="10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of December 31, 2025, the company had $1.1 million of inventory on hand that was acquired prior to regulatory approvals. This inventory was expensed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 of operation, as the future economic benefit was not probable. We began capitalizing inventory costs associated with ANKTIVA after receiving FDA approval in April 2024 when it was determined that the inventory had a probable future economic benefit. Inventory that is used for clinical development purposes is expensed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 of operations when consumed. The company’s long-term inventories consist of work-in-process and finished goods that are expected to be sold beyond 12 months.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allowance for inventory reserve was $0.2 million. As of December 31, 2024, no allowance for inventory reserve was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22885"/>
                <wp:effectExtent l="0" t="0" r="0" b="0"/>
                <wp:wrapNone/>
                <wp:docPr id="206" name="Frame1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5.    Property, Plant and Equipment, Net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 of the following (in thousands):</w:t>
      </w:r>
    </w:p>
    <w:tbl>
      <w:tblPr>
        <w:tblW w:w="7104" w:type="dxa"/>
        <w:jc w:val="left"/>
        <w:tblInd w:w="0" w:type="dxa"/>
        <w:tblLayout w:type="fixed"/>
        <w:tblCellMar>
          <w:top w:w="28" w:type="dxa"/>
          <w:left w:w="28" w:type="dxa"/>
          <w:bottom w:w="28" w:type="dxa"/>
          <w:right w:w="28" w:type="dxa"/>
        </w:tblCellMar>
      </w:tblPr>
      <w:tblGrid>
        <w:gridCol w:w="1114"/>
        <w:gridCol w:w="978"/>
        <w:gridCol w:w="983"/>
        <w:gridCol w:w="309"/>
        <w:gridCol w:w="309"/>
        <w:gridCol w:w="311"/>
        <w:gridCol w:w="109"/>
        <w:gridCol w:w="109"/>
        <w:gridCol w:w="109"/>
        <w:gridCol w:w="211"/>
        <w:gridCol w:w="826"/>
        <w:gridCol w:w="109"/>
        <w:gridCol w:w="109"/>
        <w:gridCol w:w="109"/>
        <w:gridCol w:w="109"/>
        <w:gridCol w:w="211"/>
        <w:gridCol w:w="826"/>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3 to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&amp; fixtures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226,749 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236,683 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114,264 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137,094 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useful life of leasehold improvements is the shorter of the lease term or life of the asset.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depreciation expense related to property, plant and equipment totaled $13.4 million, $15.5 million and $16.5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pPr>
      <w:r>
        <w:rPr>
          <w:rFonts w:ascii="Times New Roman;serif" w:hAnsi="Times New Roman;serif"/>
          <w:b/>
          <w:color w:val="000000"/>
          <w:sz w:val="20"/>
        </w:rPr>
        <w:t>6.</w:t>
      </w:r>
      <w:r>
        <w:rPr>
          <w:color w:val="000000"/>
        </w:rPr>
        <w:t>    </w:t>
      </w:r>
      <w:r>
        <w:rPr>
          <w:rFonts w:ascii="Times New Roman;serif" w:hAnsi="Times New Roman;serif"/>
          <w:b/>
          <w:color w:val="000000"/>
          <w:sz w:val="20"/>
        </w:rPr>
        <w:t>Goodwill and Intangible Assets, Net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Goodwill and Intangible Assets, Net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and goodwill are as follows (in thousands):</w:t>
      </w:r>
    </w:p>
    <w:tbl>
      <w:tblPr>
        <w:tblW w:w="9000" w:type="dxa"/>
        <w:jc w:val="left"/>
        <w:tblInd w:w="0" w:type="dxa"/>
        <w:tblLayout w:type="fixed"/>
        <w:tblCellMar>
          <w:top w:w="28" w:type="dxa"/>
          <w:left w:w="28" w:type="dxa"/>
          <w:bottom w:w="28" w:type="dxa"/>
          <w:right w:w="28" w:type="dxa"/>
        </w:tblCellMar>
      </w:tblPr>
      <w:tblGrid>
        <w:gridCol w:w="1075"/>
        <w:gridCol w:w="945"/>
        <w:gridCol w:w="949"/>
        <w:gridCol w:w="404"/>
        <w:gridCol w:w="404"/>
        <w:gridCol w:w="406"/>
        <w:gridCol w:w="109"/>
        <w:gridCol w:w="109"/>
        <w:gridCol w:w="109"/>
        <w:gridCol w:w="261"/>
        <w:gridCol w:w="894"/>
        <w:gridCol w:w="135"/>
        <w:gridCol w:w="109"/>
        <w:gridCol w:w="109"/>
        <w:gridCol w:w="109"/>
        <w:gridCol w:w="242"/>
        <w:gridCol w:w="726"/>
        <w:gridCol w:w="126"/>
        <w:gridCol w:w="109"/>
        <w:gridCol w:w="109"/>
        <w:gridCol w:w="109"/>
        <w:gridCol w:w="109"/>
        <w:gridCol w:w="109"/>
        <w:gridCol w:w="219"/>
        <w:gridCol w:w="748"/>
        <w:gridCol w:w="113"/>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4"/>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Life Remaining</w:t>
              <w:br/>
              <w:t>(in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rights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assets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20,951 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12,991 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software development</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assets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22885"/>
                <wp:effectExtent l="0" t="0" r="0" b="0"/>
                <wp:wrapNone/>
                <wp:docPr id="207" name="Frame1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9481" w:type="dxa"/>
        <w:jc w:val="left"/>
        <w:tblInd w:w="0" w:type="dxa"/>
        <w:tblLayout w:type="fixed"/>
        <w:tblCellMar>
          <w:top w:w="28" w:type="dxa"/>
          <w:left w:w="28" w:type="dxa"/>
          <w:bottom w:w="28" w:type="dxa"/>
          <w:right w:w="28" w:type="dxa"/>
        </w:tblCellMar>
      </w:tblPr>
      <w:tblGrid>
        <w:gridCol w:w="1270"/>
        <w:gridCol w:w="1118"/>
        <w:gridCol w:w="1121"/>
        <w:gridCol w:w="404"/>
        <w:gridCol w:w="404"/>
        <w:gridCol w:w="406"/>
        <w:gridCol w:w="109"/>
        <w:gridCol w:w="109"/>
        <w:gridCol w:w="109"/>
        <w:gridCol w:w="252"/>
        <w:gridCol w:w="862"/>
        <w:gridCol w:w="130"/>
        <w:gridCol w:w="109"/>
        <w:gridCol w:w="109"/>
        <w:gridCol w:w="109"/>
        <w:gridCol w:w="239"/>
        <w:gridCol w:w="717"/>
        <w:gridCol w:w="125"/>
        <w:gridCol w:w="109"/>
        <w:gridCol w:w="109"/>
        <w:gridCol w:w="109"/>
        <w:gridCol w:w="109"/>
        <w:gridCol w:w="109"/>
        <w:gridCol w:w="219"/>
        <w:gridCol w:w="748"/>
        <w:gridCol w:w="113"/>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4"/>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Life Remaining</w:t>
              <w:br/>
              <w:t>(in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Favorable leasehold rights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assets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21,797 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(5,864)</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15,933 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Definite-Lived Intangible Assets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Favorable leasehold rights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the Dunkirk Facility in 2022, we acquired definite-lived intangibles consisting of favorable leasehold rights.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recorded amortization expense of our favorable leasehold rights totaling $2.0 million during the years ended December 31, 2025, 2024 and 2023, respectively,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statements of operations.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Developed technology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the acquisition of VBC in 2015, we acquired IPR&amp;D that was initially recognized at fair value on the acquisition date. As of September 30, 2025, the R&amp;D efforts were deemed complete and we assigned an estimated useful life of five years to the developed technology. During the year ended December 31, 2025, we recorded $0.1 million of amortization expense for developed technology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2024, we entered into an asset purchase agreement with an unrelated party pursuant to which the company acquired the rights to hire its workforce and purchase certain office equipment in exchange for consideration of $1.0 million, net of transaction costs. The transaction was accounted for as a business combination. The fair value of the acquired identifiable net assets was $0.1 million. We recognized the remaining $0.9 million as goodwill. No goodwill impairment was recognized during the years ended December 31, 2025 and 2024.</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IPR&amp;D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During the year ended December 31, 2023, we discontinued the research and development program associated with the Tarmogen platform based on results gathered from clinical data. We recorded a charge totaling $0.9 million in </w:t>
      </w:r>
      <w:r>
        <w:rPr>
          <w:rFonts w:ascii="Times New Roman;serif" w:hAnsi="Times New Roman;serif"/>
          <w:b w:val="false"/>
          <w:i/>
          <w:color w:val="000000"/>
          <w:sz w:val="20"/>
        </w:rPr>
        <w:t>impairment of intangible assets</w:t>
      </w:r>
      <w:r>
        <w:rPr>
          <w:rFonts w:ascii="Times New Roman;serif" w:hAnsi="Times New Roman;serif"/>
          <w:b w:val="false"/>
          <w:color w:val="000000"/>
          <w:sz w:val="20"/>
        </w:rPr>
        <w:t>, on the consolidated statement of operations in connection with the write down of the carrying value of Tarmogen to zero. No such impairments were recorded during the years ended December 31, 2025 and 2024. As of December 31, 2025 and 2024, the company had an immaterial amount and $0.5 million of indefinite-lived IPR&amp;D intangible assets,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22885"/>
                <wp:effectExtent l="0" t="0" r="0" b="0"/>
                <wp:wrapNone/>
                <wp:docPr id="208" name="Frame1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amortization expense associated with our definite-lived intangible assets, net is as follows (in thousands):</w:t>
      </w:r>
    </w:p>
    <w:tbl>
      <w:tblPr>
        <w:tblW w:w="3567" w:type="dxa"/>
        <w:jc w:val="left"/>
        <w:tblInd w:w="0" w:type="dxa"/>
        <w:tblLayout w:type="fixed"/>
        <w:tblCellMar>
          <w:top w:w="28" w:type="dxa"/>
          <w:left w:w="28" w:type="dxa"/>
          <w:bottom w:w="28" w:type="dxa"/>
          <w:right w:w="28" w:type="dxa"/>
        </w:tblCellMar>
      </w:tblPr>
      <w:tblGrid>
        <w:gridCol w:w="764"/>
        <w:gridCol w:w="674"/>
        <w:gridCol w:w="676"/>
        <w:gridCol w:w="109"/>
        <w:gridCol w:w="109"/>
        <w:gridCol w:w="109"/>
        <w:gridCol w:w="218"/>
        <w:gridCol w:w="747"/>
        <w:gridCol w:w="161"/>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Definite-lived</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Intangible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Assets</w:t>
            </w:r>
          </w:p>
        </w:tc>
      </w:tr>
      <w:tr>
        <w:trPr/>
        <w:tc>
          <w:tcPr>
            <w:tcW w:w="21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12,991 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pPr>
      <w:r>
        <w:rPr>
          <w:rFonts w:ascii="Times New Roman;serif" w:hAnsi="Times New Roman;serif"/>
          <w:b/>
          <w:color w:val="000000"/>
          <w:sz w:val="20"/>
        </w:rPr>
        <w:t xml:space="preserve">7. </w:t>
      </w:r>
      <w:r>
        <w:rPr>
          <w:color w:val="000000"/>
        </w:rPr>
        <w:t>    </w:t>
      </w:r>
      <w:r>
        <w:rPr>
          <w:rFonts w:ascii="Times New Roman;serif" w:hAnsi="Times New Roman;serif"/>
          <w:b/>
          <w:color w:val="000000"/>
          <w:sz w:val="20"/>
        </w:rPr>
        <w:t>Financial Statements Details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Prepaid Expenses and Other Current Assets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(including related-party amounts) consist of the following (in thousands):</w:t>
      </w:r>
    </w:p>
    <w:tbl>
      <w:tblPr>
        <w:tblW w:w="9297" w:type="dxa"/>
        <w:jc w:val="left"/>
        <w:tblInd w:w="0" w:type="dxa"/>
        <w:tblLayout w:type="fixed"/>
        <w:tblCellMar>
          <w:top w:w="28" w:type="dxa"/>
          <w:left w:w="28" w:type="dxa"/>
          <w:bottom w:w="28" w:type="dxa"/>
          <w:right w:w="28" w:type="dxa"/>
        </w:tblCellMar>
      </w:tblPr>
      <w:tblGrid>
        <w:gridCol w:w="2442"/>
        <w:gridCol w:w="2140"/>
        <w:gridCol w:w="2152"/>
        <w:gridCol w:w="211"/>
        <w:gridCol w:w="721"/>
        <w:gridCol w:w="109"/>
        <w:gridCol w:w="109"/>
        <w:gridCol w:w="109"/>
        <w:gridCol w:w="109"/>
        <w:gridCol w:w="211"/>
        <w:gridCol w:w="721"/>
        <w:gridCol w:w="109"/>
        <w:gridCol w:w="154"/>
      </w:tblGrid>
      <w:tr>
        <w:trPr/>
        <w:tc>
          <w:tcPr>
            <w:tcW w:w="244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premium financing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equipment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(including amounts with related parties)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Note Receivable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2016, we executed a convertible promissory note pursuant to which we advanced Riptide a principal amount of $5.0 million. The note bears interest at a per annum rate of 5%. Concurrent with the transaction, we entered into an exclusive license agreement with Riptide to obtain worldwide exclusive rights, with the right to sublicense, certain know-how related to RP-182, RP-233 and RP-183. We are required to pay a single-digit royalty on net sales of the licensed products on a country-by-country basis. Pursuant to the license agreement, we are also required to make cash milestone payments upon successful completion of certain clinical, regulatory and commercial milestones up to an aggregate amount of $47.0 million for the first three indications of the licensed product with a maximum payment amount of $100.0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2019, we entered into a first amendment to the convertible promissory note with Riptide. Under the agreement, we extended the maturity of the promissory note to the earlier of (a) the later of (i) the completion of non-clinical IND enabling studies by the company, or (ii) December 31, 2020; and (b) when we accelerate the maturity of the note upon the occurrence of an event of default. No other terms and conditions of the promissory note were modified. Concurrently, we also entered into a first amendment to the exclusive license agreement with Riptide and extended the achievement dates for certain clinical trial milestones related to the licensed products. The convertible note receivable balance was $7.4 million and $7.1 million, which included accrued interest of $2.4 million and $2.1 million as of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22885"/>
                <wp:effectExtent l="0" t="0" r="0" b="0"/>
                <wp:wrapNone/>
                <wp:docPr id="209" name="Frame1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Accrued Expenses and Other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liabilities consist of the following (in thousands): </w:t>
      </w:r>
    </w:p>
    <w:tbl>
      <w:tblPr>
        <w:tblW w:w="5993" w:type="dxa"/>
        <w:jc w:val="left"/>
        <w:tblInd w:w="0" w:type="dxa"/>
        <w:tblLayout w:type="fixed"/>
        <w:tblCellMar>
          <w:top w:w="28" w:type="dxa"/>
          <w:left w:w="28" w:type="dxa"/>
          <w:bottom w:w="28" w:type="dxa"/>
          <w:right w:w="28" w:type="dxa"/>
        </w:tblCellMar>
      </w:tblPr>
      <w:tblGrid>
        <w:gridCol w:w="1281"/>
        <w:gridCol w:w="1125"/>
        <w:gridCol w:w="1133"/>
        <w:gridCol w:w="211"/>
        <w:gridCol w:w="721"/>
        <w:gridCol w:w="109"/>
        <w:gridCol w:w="109"/>
        <w:gridCol w:w="109"/>
        <w:gridCol w:w="109"/>
        <w:gridCol w:w="211"/>
        <w:gridCol w:w="72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and service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preclinical and clinical trial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46,838 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40,580 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8.    Financial Instruments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 in Marketable Debt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remaining contractual maturities, amortized cost, gross unrealized gains, gross unrealized losses, and fair value of marketable debt securities, which were considered as available-for-sale, by type of security were as follows (in thousands):</w:t>
      </w:r>
    </w:p>
    <w:tbl>
      <w:tblPr>
        <w:tblW w:w="8418" w:type="dxa"/>
        <w:jc w:val="left"/>
        <w:tblInd w:w="0" w:type="dxa"/>
        <w:tblLayout w:type="fixed"/>
        <w:tblCellMar>
          <w:top w:w="28" w:type="dxa"/>
          <w:left w:w="28" w:type="dxa"/>
          <w:bottom w:w="28" w:type="dxa"/>
          <w:right w:w="28" w:type="dxa"/>
        </w:tblCellMar>
      </w:tblPr>
      <w:tblGrid>
        <w:gridCol w:w="728"/>
        <w:gridCol w:w="640"/>
        <w:gridCol w:w="642"/>
        <w:gridCol w:w="330"/>
        <w:gridCol w:w="330"/>
        <w:gridCol w:w="331"/>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417" w:type="dxa"/>
            <w:gridSpan w:val="24"/>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w:t>
              <w:br/>
              <w:t>Contractual</w:t>
              <w:br/>
              <w:t> Maturities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9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154,484 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98" w:type="dxa"/>
        <w:jc w:val="left"/>
        <w:tblInd w:w="0" w:type="dxa"/>
        <w:tblLayout w:type="fixed"/>
        <w:tblCellMar>
          <w:top w:w="28" w:type="dxa"/>
          <w:left w:w="28" w:type="dxa"/>
          <w:bottom w:w="28" w:type="dxa"/>
          <w:right w:w="28" w:type="dxa"/>
        </w:tblCellMar>
      </w:tblPr>
      <w:tblGrid>
        <w:gridCol w:w="728"/>
        <w:gridCol w:w="640"/>
        <w:gridCol w:w="642"/>
        <w:gridCol w:w="330"/>
        <w:gridCol w:w="330"/>
        <w:gridCol w:w="331"/>
        <w:gridCol w:w="109"/>
        <w:gridCol w:w="109"/>
        <w:gridCol w:w="109"/>
        <w:gridCol w:w="211"/>
        <w:gridCol w:w="616"/>
        <w:gridCol w:w="109"/>
        <w:gridCol w:w="109"/>
        <w:gridCol w:w="109"/>
        <w:gridCol w:w="109"/>
        <w:gridCol w:w="324"/>
        <w:gridCol w:w="393"/>
        <w:gridCol w:w="169"/>
        <w:gridCol w:w="109"/>
        <w:gridCol w:w="109"/>
        <w:gridCol w:w="109"/>
        <w:gridCol w:w="257"/>
        <w:gridCol w:w="495"/>
        <w:gridCol w:w="134"/>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997" w:type="dxa"/>
            <w:gridSpan w:val="24"/>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w:t>
              <w:br/>
              <w:t>Contractual</w:t>
              <w:br/>
              <w:t>Maturities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w:t>
              <w:br/>
              <w:t>Value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9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all contractual maturities of marketable debt securities were 12 months or less.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no marketable debt securities were in an unrealized loss position.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evaluated our securities for other-than-temporary impairment and did not recognize any other-than-temporary impairment losses.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Investments in Marketable Equity Securities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held investments in marketable equity securities with readily determinable fair value. See </w:t>
      </w:r>
      <w:hyperlink w:anchor="i49f82bc2aa33405eae1e0b45f37d1ae6_235">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22885"/>
                <wp:effectExtent l="0" t="0" r="0" b="0"/>
                <wp:wrapNone/>
                <wp:docPr id="210" name="Frame1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 in Other Equity Security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August 2024, the company entered into a SAFE with an unrelated party in exchange for the right to acquire certain shares of the investee. Upon the closing of equity financing by the investee prior to the termination of the SAFE, the SAFE will convert into preferred shares. We elected to apply the measurement alternative under FASB ASC Topic 321, </w:t>
      </w:r>
      <w:r>
        <w:rPr>
          <w:rFonts w:ascii="Times New Roman;serif" w:hAnsi="Times New Roman;serif"/>
          <w:b w:val="false"/>
          <w:i/>
          <w:color w:val="000000"/>
          <w:sz w:val="20"/>
        </w:rPr>
        <w:t>Investments—Equity Securities</w:t>
      </w:r>
      <w:r>
        <w:rPr>
          <w:rFonts w:ascii="Times New Roman;serif" w:hAnsi="Times New Roman;serif"/>
          <w:b w:val="false"/>
          <w:color w:val="000000"/>
          <w:sz w:val="20"/>
        </w:rPr>
        <w:t xml:space="preserve">, pursuant to which we measure our investment in the SAFE at cost, less impairment. As of December 31, 2025 and 2024, we held an investment in the SAFE of $0.7 million in </w:t>
      </w:r>
      <w:r>
        <w:rPr>
          <w:rFonts w:ascii="Times New Roman;serif" w:hAnsi="Times New Roman;serif"/>
          <w:b w:val="false"/>
          <w:i/>
          <w:color w:val="000000"/>
          <w:sz w:val="20"/>
        </w:rPr>
        <w:t>other assets</w:t>
      </w:r>
      <w:r>
        <w:rPr>
          <w:rFonts w:ascii="Times New Roman;serif" w:hAnsi="Times New Roman;serif"/>
          <w:b w:val="false"/>
          <w:color w:val="000000"/>
          <w:sz w:val="20"/>
        </w:rPr>
        <w:t>, on the consolidated balance sheets. We evaluate this investment for any indications of impairment in value on a quarterly basis. No factors indicative of impairment were identified during the years ended December 31,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Investment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investment income (loss), net consists of the following (in thousands): </w:t>
      </w:r>
    </w:p>
    <w:tbl>
      <w:tblPr>
        <w:tblW w:w="7001" w:type="dxa"/>
        <w:jc w:val="left"/>
        <w:tblInd w:w="0" w:type="dxa"/>
        <w:tblLayout w:type="fixed"/>
        <w:tblCellMar>
          <w:top w:w="28" w:type="dxa"/>
          <w:left w:w="28" w:type="dxa"/>
          <w:bottom w:w="28" w:type="dxa"/>
          <w:right w:w="28" w:type="dxa"/>
        </w:tblCellMar>
      </w:tblPr>
      <w:tblGrid>
        <w:gridCol w:w="1266"/>
        <w:gridCol w:w="1113"/>
        <w:gridCol w:w="1115"/>
        <w:gridCol w:w="211"/>
        <w:gridCol w:w="616"/>
        <w:gridCol w:w="109"/>
        <w:gridCol w:w="109"/>
        <w:gridCol w:w="109"/>
        <w:gridCol w:w="109"/>
        <w:gridCol w:w="211"/>
        <w:gridCol w:w="616"/>
        <w:gridCol w:w="109"/>
        <w:gridCol w:w="109"/>
        <w:gridCol w:w="109"/>
        <w:gridCol w:w="109"/>
        <w:gridCol w:w="211"/>
        <w:gridCol w:w="61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accretion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gains on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from 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includes interest from marketable securities, a convertible note receivable, other assets, and on bank deposits. Investment accretion income (amortization expense), net includes accretion of discounts (amortization of premiums) from securities classified as cash equivalents and marketable debt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22885"/>
                <wp:effectExtent l="0" t="0" r="0" b="0"/>
                <wp:wrapNone/>
                <wp:docPr id="211" name="Frame2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Recurring Valuations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assets and liabilities measured at fair value on a recurring basis are summarized below (in thousands): </w:t>
      </w:r>
    </w:p>
    <w:tbl>
      <w:tblPr>
        <w:tblW w:w="9315" w:type="dxa"/>
        <w:jc w:val="left"/>
        <w:tblInd w:w="0" w:type="dxa"/>
        <w:tblLayout w:type="fixed"/>
        <w:tblCellMar>
          <w:top w:w="28" w:type="dxa"/>
          <w:left w:w="28" w:type="dxa"/>
          <w:bottom w:w="28" w:type="dxa"/>
          <w:right w:w="28" w:type="dxa"/>
        </w:tblCellMar>
      </w:tblPr>
      <w:tblGrid>
        <w:gridCol w:w="1279"/>
        <w:gridCol w:w="1127"/>
        <w:gridCol w:w="1133"/>
        <w:gridCol w:w="211"/>
        <w:gridCol w:w="901"/>
        <w:gridCol w:w="109"/>
        <w:gridCol w:w="109"/>
        <w:gridCol w:w="109"/>
        <w:gridCol w:w="109"/>
        <w:gridCol w:w="109"/>
        <w:gridCol w:w="109"/>
        <w:gridCol w:w="109"/>
        <w:gridCol w:w="211"/>
        <w:gridCol w:w="826"/>
        <w:gridCol w:w="109"/>
        <w:gridCol w:w="109"/>
        <w:gridCol w:w="109"/>
        <w:gridCol w:w="109"/>
        <w:gridCol w:w="211"/>
        <w:gridCol w:w="406"/>
        <w:gridCol w:w="109"/>
        <w:gridCol w:w="109"/>
        <w:gridCol w:w="109"/>
        <w:gridCol w:w="109"/>
        <w:gridCol w:w="211"/>
        <w:gridCol w:w="901"/>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8" w:type="dxa"/>
            <w:gridSpan w:val="19"/>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 at Fair Value: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Related-party convertible note payable at </w:t>
            </w:r>
          </w:p>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fair value </w:t>
            </w:r>
            <w:r>
              <w:rPr>
                <w:rFonts w:ascii="Times New Roman;serif" w:hAnsi="Times New Roman;serif"/>
                <w:b w:val="false"/>
                <w:color w:val="000000"/>
                <w:sz w:val="18"/>
              </w:rPr>
              <w:t>(</w:t>
            </w:r>
            <w:hyperlink w:anchor="i49f82bc2aa33405eae1e0b45f37d1ae6_265">
              <w:r>
                <w:rPr>
                  <w:rStyle w:val="InternetLink"/>
                  <w:rFonts w:ascii="Times New Roman;serif" w:hAnsi="Times New Roman;serif"/>
                  <w:b w:val="false"/>
                  <w:color w:val="0000FF"/>
                  <w:sz w:val="18"/>
                  <w:u w:val="single"/>
                </w:rPr>
                <w:t>Note 14</w:t>
              </w:r>
            </w:hyperlink>
            <w:r>
              <w:rPr>
                <w:rFonts w:ascii="Times New Roman;serif" w:hAnsi="Times New Roman;serif"/>
                <w:b w:val="false"/>
                <w:color w:val="000000"/>
                <w:sz w:val="18"/>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Warrant liabilities </w:t>
            </w:r>
            <w:r>
              <w:rPr>
                <w:rFonts w:ascii="Times New Roman;serif" w:hAnsi="Times New Roman;serif"/>
                <w:b w:val="false"/>
                <w:color w:val="000000"/>
                <w:sz w:val="18"/>
              </w:rPr>
              <w:t>(</w:t>
            </w:r>
            <w:hyperlink w:anchor="i49f82bc2aa33405eae1e0b45f37d1ae6_295">
              <w:r>
                <w:rPr>
                  <w:rStyle w:val="InternetLink"/>
                  <w:rFonts w:ascii="Times New Roman;serif" w:hAnsi="Times New Roman;serif"/>
                  <w:b w:val="false"/>
                  <w:color w:val="0000FF"/>
                  <w:sz w:val="18"/>
                  <w:u w:val="single"/>
                </w:rPr>
                <w:t>Note 16</w:t>
              </w:r>
            </w:hyperlink>
            <w:r>
              <w:rPr>
                <w:rFonts w:ascii="Times New Roman;serif" w:hAnsi="Times New Roman;serif"/>
                <w:b w:val="false"/>
                <w:color w:val="000000"/>
                <w:sz w:val="18"/>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RIPA derivative liability </w:t>
            </w:r>
            <w:r>
              <w:rPr>
                <w:rFonts w:ascii="Times New Roman;serif" w:hAnsi="Times New Roman;serif"/>
                <w:b w:val="false"/>
                <w:color w:val="000000"/>
                <w:sz w:val="18"/>
              </w:rPr>
              <w:t>(</w:t>
            </w:r>
            <w:hyperlink w:anchor="i49f82bc2aa33405eae1e0b45f37d1ae6_262">
              <w:r>
                <w:rPr>
                  <w:rStyle w:val="InternetLink"/>
                  <w:rFonts w:ascii="Times New Roman;serif" w:hAnsi="Times New Roman;serif"/>
                  <w:b w:val="false"/>
                  <w:color w:val="0000FF"/>
                  <w:sz w:val="18"/>
                  <w:u w:val="single"/>
                </w:rPr>
                <w:t>Note 13</w:t>
              </w:r>
            </w:hyperlink>
            <w:r>
              <w:rPr>
                <w:rFonts w:ascii="Times New Roman;serif" w:hAnsi="Times New Roman;serif"/>
                <w:b w:val="false"/>
                <w:color w:val="000000"/>
                <w:sz w:val="18"/>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 purchase liability </w:t>
            </w:r>
            <w:r>
              <w:rPr>
                <w:rFonts w:ascii="Times New Roman;serif" w:hAnsi="Times New Roman;serif"/>
                <w:b w:val="false"/>
                <w:color w:val="000000"/>
                <w:sz w:val="18"/>
              </w:rPr>
              <w:t>(</w:t>
            </w:r>
            <w:hyperlink w:anchor="i49f82bc2aa33405eae1e0b45f37d1ae6_262">
              <w:r>
                <w:rPr>
                  <w:rStyle w:val="InternetLink"/>
                  <w:rFonts w:ascii="Times New Roman;serif" w:hAnsi="Times New Roman;serif"/>
                  <w:b w:val="false"/>
                  <w:color w:val="0000FF"/>
                  <w:sz w:val="18"/>
                  <w:u w:val="single"/>
                </w:rPr>
                <w:t>Note 13</w:t>
              </w:r>
            </w:hyperlink>
            <w:r>
              <w:rPr>
                <w:rFonts w:ascii="Times New Roman;serif" w:hAnsi="Times New Roman;serif"/>
                <w:b w:val="false"/>
                <w:color w:val="000000"/>
                <w:sz w:val="18"/>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(581,254)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(581,254)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22885"/>
                <wp:effectExtent l="0" t="0" r="0" b="0"/>
                <wp:wrapNone/>
                <wp:docPr id="212" name="Frame2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9533" w:type="dxa"/>
        <w:jc w:val="left"/>
        <w:tblInd w:w="0" w:type="dxa"/>
        <w:tblLayout w:type="fixed"/>
        <w:tblCellMar>
          <w:top w:w="28" w:type="dxa"/>
          <w:left w:w="28" w:type="dxa"/>
          <w:bottom w:w="28" w:type="dxa"/>
          <w:right w:w="28" w:type="dxa"/>
        </w:tblCellMar>
      </w:tblPr>
      <w:tblGrid>
        <w:gridCol w:w="1279"/>
        <w:gridCol w:w="1127"/>
        <w:gridCol w:w="1133"/>
        <w:gridCol w:w="211"/>
        <w:gridCol w:w="901"/>
        <w:gridCol w:w="109"/>
        <w:gridCol w:w="109"/>
        <w:gridCol w:w="109"/>
        <w:gridCol w:w="109"/>
        <w:gridCol w:w="109"/>
        <w:gridCol w:w="109"/>
        <w:gridCol w:w="109"/>
        <w:gridCol w:w="211"/>
        <w:gridCol w:w="826"/>
        <w:gridCol w:w="109"/>
        <w:gridCol w:w="109"/>
        <w:gridCol w:w="109"/>
        <w:gridCol w:w="109"/>
        <w:gridCol w:w="211"/>
        <w:gridCol w:w="406"/>
        <w:gridCol w:w="109"/>
        <w:gridCol w:w="109"/>
        <w:gridCol w:w="109"/>
        <w:gridCol w:w="109"/>
        <w:gridCol w:w="211"/>
        <w:gridCol w:w="901"/>
        <w:gridCol w:w="109"/>
        <w:gridCol w:w="109"/>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 at Fair Value: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Related-party convertible note payable at </w:t>
            </w:r>
          </w:p>
          <w:p>
            <w:pPr>
              <w:pStyle w:val="TableContents"/>
              <w:bidi w:val="0"/>
              <w:spacing w:lineRule="auto" w:line="288" w:before="0" w:after="0"/>
              <w:jc w:val="left"/>
              <w:rPr/>
            </w:pPr>
            <w:r>
              <w:rPr>
                <w:color w:val="000000"/>
              </w:rPr>
              <w:t>   </w:t>
            </w:r>
            <w:r>
              <w:rPr>
                <w:rFonts w:ascii="Times New Roman;serif" w:hAnsi="Times New Roman;serif"/>
                <w:b w:val="false"/>
                <w:color w:val="000000"/>
                <w:sz w:val="20"/>
              </w:rPr>
              <w:t>fair value (</w:t>
            </w:r>
            <w:hyperlink w:anchor="i49f82bc2aa33405eae1e0b45f37d1ae6_265">
              <w:r>
                <w:rPr>
                  <w:rStyle w:val="InternetLink"/>
                  <w:rFonts w:ascii="Times New Roman;serif" w:hAnsi="Times New Roman;serif"/>
                  <w:b w:val="false"/>
                  <w:color w:val="000080"/>
                  <w:sz w:val="20"/>
                  <w:u w:val="single"/>
                </w:rPr>
                <w:t>Note</w:t>
              </w:r>
            </w:hyperlink>
            <w:hyperlink w:anchor="i49f82bc2aa33405eae1e0b45f37d1ae6_265">
              <w:r>
                <w:rPr>
                  <w:rStyle w:val="InternetLink"/>
                  <w:rFonts w:ascii="Times New Roman;serif" w:hAnsi="Times New Roman;serif"/>
                  <w:b w:val="false"/>
                  <w:color w:val="000080"/>
                  <w:sz w:val="20"/>
                  <w:u w:val="single"/>
                </w:rPr>
                <w:t> </w:t>
              </w:r>
            </w:hyperlink>
            <w:hyperlink w:anchor="i49f82bc2aa33405eae1e0b45f37d1ae6_265">
              <w:r>
                <w:rPr>
                  <w:rStyle w:val="InternetLink"/>
                  <w:rFonts w:ascii="Times New Roman;serif" w:hAnsi="Times New Roman;serif"/>
                  <w:b w:val="false"/>
                  <w:color w:val="000080"/>
                  <w:sz w:val="20"/>
                  <w:u w:val="single"/>
                </w:rPr>
                <w:t>14</w:t>
              </w:r>
            </w:hyperlink>
            <w:r>
              <w:rPr>
                <w:rFonts w:ascii="Times New Roman;serif" w:hAnsi="Times New Roman;serif"/>
                <w:b w:val="false"/>
                <w:color w:val="000000"/>
                <w:sz w:val="20"/>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RIPA derivative liability (</w:t>
            </w:r>
            <w:hyperlink w:anchor="i49f82bc2aa33405eae1e0b45f37d1ae6_262">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 liabilities (</w:t>
            </w:r>
            <w:hyperlink w:anchor="i49f82bc2aa33405eae1e0b45f37d1ae6_295">
              <w:r>
                <w:rPr>
                  <w:rStyle w:val="InternetLink"/>
                  <w:rFonts w:ascii="Times New Roman;serif" w:hAnsi="Times New Roman;serif"/>
                  <w:b w:val="false"/>
                  <w:color w:val="0000FF"/>
                  <w:sz w:val="20"/>
                  <w:u w:val="single"/>
                </w:rPr>
                <w:t>Note 16</w:t>
              </w:r>
            </w:hyperlink>
            <w:r>
              <w:rPr>
                <w:rFonts w:ascii="Times New Roman;serif" w:hAnsi="Times New Roman;serif"/>
                <w:b w:val="false"/>
                <w:color w:val="000000"/>
                <w:sz w:val="20"/>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 option purchase liability (</w:t>
            </w:r>
            <w:hyperlink w:anchor="i49f82bc2aa33405eae1e0b45f37d1ae6_262">
              <w:r>
                <w:rPr>
                  <w:rStyle w:val="InternetLink"/>
                  <w:rFonts w:ascii="Times New Roman;serif" w:hAnsi="Times New Roman;serif"/>
                  <w:b w:val="false"/>
                  <w:color w:val="000080"/>
                  <w:sz w:val="20"/>
                  <w:u w:val="single"/>
                </w:rPr>
                <w:t>Note</w:t>
              </w:r>
            </w:hyperlink>
            <w:hyperlink w:anchor="i49f82bc2aa33405eae1e0b45f37d1ae6_262">
              <w:r>
                <w:rPr>
                  <w:rStyle w:val="InternetLink"/>
                  <w:rFonts w:ascii="Times New Roman;serif" w:hAnsi="Times New Roman;serif"/>
                  <w:b w:val="false"/>
                  <w:color w:val="000080"/>
                  <w:sz w:val="20"/>
                  <w:u w:val="single"/>
                </w:rPr>
                <w:t> </w:t>
              </w:r>
            </w:hyperlink>
            <w:hyperlink w:anchor="i49f82bc2aa33405eae1e0b45f37d1ae6_262">
              <w:r>
                <w:rPr>
                  <w:rStyle w:val="InternetLink"/>
                  <w:rFonts w:ascii="Times New Roman;serif" w:hAnsi="Times New Roman;serif"/>
                  <w:b w:val="false"/>
                  <w:color w:val="000080"/>
                  <w:sz w:val="20"/>
                  <w:u w:val="single"/>
                </w:rPr>
                <w:t>13</w:t>
              </w:r>
            </w:hyperlink>
            <w:r>
              <w:rPr>
                <w:rFonts w:ascii="Times New Roman;serif" w:hAnsi="Times New Roman;serif"/>
                <w:b w:val="false"/>
                <w:color w:val="000000"/>
                <w:sz w:val="20"/>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(496,591)</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(496,591)</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Contingent consideration is recorded at estimated fair value and revalued each reporting period until the related contingency is resolved. The fair value measurement is based on inputs that are unobservable and significant to the overall fair value measurement (i.e., a Level 3 measurement within the fair value hierarchy) and are reviewed periodically by management. See </w:t>
            </w:r>
            <w:hyperlink w:anchor="i49f82bc2aa33405eae1e0b45f37d1ae6_250">
              <w:r>
                <w:rPr>
                  <w:rStyle w:val="InternetLink"/>
                  <w:rFonts w:ascii="Times New Roman;serif" w:hAnsi="Times New Roman;serif"/>
                  <w:b w:val="false"/>
                  <w:color w:val="0000FF"/>
                  <w:sz w:val="18"/>
                  <w:u w:val="single"/>
                </w:rPr>
                <w:t>Note 11</w:t>
              </w:r>
            </w:hyperlink>
            <w:r>
              <w:rPr>
                <w:color w:val="000000"/>
              </w:rPr>
              <w:t xml:space="preserve"> “</w:t>
            </w:r>
            <w:r>
              <w:rPr>
                <w:rFonts w:ascii="Times New Roman;serif" w:hAnsi="Times New Roman;serif"/>
                <w:b w:val="false"/>
                <w:i/>
                <w:color w:val="000000"/>
                <w:sz w:val="18"/>
              </w:rPr>
              <w:t>Commitments and Contingencies—Contingent Consideration Related to Business Combinations”</w:t>
            </w:r>
            <w:r>
              <w:rPr>
                <w:color w:val="000000"/>
              </w:rPr>
              <w:t xml:space="preserve"> </w:t>
            </w:r>
            <w:r>
              <w:rPr>
                <w:rFonts w:ascii="Times New Roman;serif" w:hAnsi="Times New Roman;serif"/>
                <w:b w:val="false"/>
                <w:color w:val="000000"/>
                <w:sz w:val="18"/>
              </w:rPr>
              <w:t>for more information.</w:t>
            </w:r>
          </w:p>
          <w:p>
            <w:pPr>
              <w:pStyle w:val="TableContents"/>
              <w:bidi w:val="0"/>
              <w:spacing w:lineRule="auto" w:line="288" w:before="120" w:after="283"/>
              <w:jc w:val="left"/>
              <w:rPr/>
            </w:pPr>
            <w:r>
              <w:rPr>
                <w:rFonts w:ascii="Times New Roman;serif" w:hAnsi="Times New Roman;serif"/>
                <w:b w:val="false"/>
                <w:color w:val="000000"/>
                <w:sz w:val="18"/>
              </w:rPr>
              <w:t>Changes in fair value of contingent consideration were immaterial during the years ended December 31, 2025</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8"/>
              </w:rPr>
              <w:t>2024 and 2023, and were primarily due to changes in foreign currency exchange rates.</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Non-Recurring Valuations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Non-financial assets and liabilities are recognized at fair value subsequent to initial recognition when they are deemed to be other-than-temporarily impaired. Except for the impairments discussed in </w:t>
      </w:r>
      <w:hyperlink w:anchor="i49f82bc2aa33405eae1e0b45f37d1ae6_6047313953940">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i/>
          <w:color w:val="000000"/>
          <w:sz w:val="20"/>
        </w:rPr>
        <w:t>Goodwill and Intangible Assets, Net”</w:t>
      </w:r>
      <w:r>
        <w:rPr>
          <w:color w:val="000000"/>
        </w:rPr>
        <w:t xml:space="preserve"> </w:t>
      </w:r>
      <w:r>
        <w:rPr>
          <w:rFonts w:ascii="Times New Roman;serif" w:hAnsi="Times New Roman;serif"/>
          <w:b w:val="false"/>
          <w:color w:val="000000"/>
          <w:sz w:val="20"/>
        </w:rPr>
        <w:t xml:space="preserve">there were no other non-financial assets or liabilities deemed to be other-than-temporarily impaired and measured at fair value on a non-recurring basis during the years ended December 31, 2025, 2024 and 2023.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measured the fair value of the promissory notes and the embedded conversion features as of December 10, 2024, December 29, 2023 and September 11, 2023, respectively, upon debt amendments to determine the accounting treatment, using a “with-and-without” method. We used binomial lattice models for the “with” scenario and discounted cash flow analyses for the “without” scenario. Since certain of the factors analyzed are considered to be unobservable inputs, both the lattice model and the discounted cash flow model are considered to be a Level 3 valuation. See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22885"/>
                <wp:effectExtent l="0" t="0" r="0" b="0"/>
                <wp:wrapNone/>
                <wp:docPr id="213" name="Frame2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10.    Collaboration and License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Collaboration Agreements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National Cancer Institute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began their relationship with HHS, as represented by the NCI of the NIH in 2015. Pursuant to the CRADAs, the NCI provides scientific staff and other support necessary to conduct research and related activities as described in the CRADAs. During the term of the initial and amended CRADAs, we collaborated with the NCI on the preclinical and clinical development of our proprietary adenovirus technology expressing TAAs for cancer immunotherapy.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2021, the CRADA was amended through May 2026, and the research plan was modified to include the preclinical and clinical development of ImmunityBio’s proprietary adenovirus platform expressing TAAs, proprietary agent ANKTIVA and derivatives, an antibody-based cytokine fusion protein and derivatives and/or TxM product candidates, proprietary recombinant NK cells and mAbs, proprietary adjuvants, and other proprietary agents owned or controlled by ImmunityBio for cancer immunotherapy. Under this agreement, we agreed to pay NCI funding totaling $1.3 million per year, payable in semi-annual installments each year through 2025. During the years ended December 31, 2025, 2024, and 2023, we recorded $1.3 million in </w:t>
      </w: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on the consolidated statements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CRADA, any party may unilaterally terminate the agreement by providing timely advance written notice to the other party before the desired termination date. Pursuant to the terms of the CRADA, we have an option to elect to negotiate an exclusive or non-exclusive commercialization license to any inventions discovered in the performance of the CRADA. The parties jointly own any inventions and materials that are jointly produced by employees of both parties in the course of performing activities under the CRADA.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Amyris Joint Venture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ImmunityBio and Amyris entered into a 50:50 joint venture arrangement and formed a new limited liability company to conduct the business of the joint venture. The purpose of the joint venture is to accelerate commercialization of a next-generation COVID-19 vaccine utilizing an RNA vaccine-platform. As part of the limited liability agreement, Amyris contributed $1.0 million in cash and rights to its license agreement with AAHI for an RNA platform for the field of COVID-19. ImmunityBio contributed $1.0 million in cash and priority access to its manufacturing capacity for the joint venture product. Both parties agreed to enter into a separate manufacturing and supply agreement and a sublicense agreement following the execution of the joint venture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joint venture agreement stipulates the initial terms for equal representation in the management of the newly-formed joint venture. The joint venture is managed by a board of directors consisting of four directors: two appointed by the company and two appointed by Amyris. Both parties agreed to make additional capital contributions in cash, in proportion to their respective interests, as determined by the board of directors of the joint venture.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considered the joint venture entity as a VIE and determined that we are not the primary beneficiary of the VIE. We account for our investment in the joint venture using the equity method of accounting. During the year ended December 31, 2023, we recorded our 50% share of net losses from the joint venture totaling $7.5 million in </w:t>
      </w:r>
      <w:r>
        <w:rPr>
          <w:rFonts w:ascii="Times New Roman;serif" w:hAnsi="Times New Roman;serif"/>
          <w:b w:val="false"/>
          <w:i/>
          <w:color w:val="000000"/>
          <w:sz w:val="20"/>
        </w:rPr>
        <w:t>other income (expense), net</w:t>
      </w:r>
      <w:r>
        <w:rPr>
          <w:rFonts w:ascii="Times New Roman;serif" w:hAnsi="Times New Roman;serif"/>
          <w:b w:val="false"/>
          <w:color w:val="000000"/>
          <w:sz w:val="20"/>
        </w:rPr>
        <w:t>, on the consolidated statement of operations. During the year ended December 31, 2023, such losses incurred included $7.5 million attributable to expenses incurred by us on behalf of the joint venture. We are not obligated to fund the joint venture’s potential future losses. In August 2023, Amyris announced that it filed for Chapter 11 bankruptcy protection. The Amyris bankruptcy case remains ongoing, and there can be no assurance that we will receive any recovery on account of our claims against Amyris, including for Amyris’ portion of expenses incurred by the joint venture. As of December 31, 2025, the carrying amount of our equity investment in the joint venture was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22885"/>
                <wp:effectExtent l="0" t="0" r="0" b="0"/>
                <wp:wrapNone/>
                <wp:docPr id="214" name="Frame2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120" w:after="283"/>
        <w:jc w:val="left"/>
        <w:rPr/>
      </w:pPr>
      <w:r>
        <w:rPr>
          <w:rFonts w:ascii="Times New Roman;serif" w:hAnsi="Times New Roman;serif"/>
          <w:b w:val="false"/>
          <w:i/>
          <w:color w:val="000000"/>
          <w:sz w:val="20"/>
        </w:rPr>
        <w:t>3M IPC and AAHI License Agreement</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licensed rights to 3M-052, a synthetic TLR7/8 agonist, 3M-052 formulations and related technology from 3M IPC and its affiliates and AAHI. In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LMIC, and (2) oncology applications, when used in combination with our proprietary technology and/or IL-15 receptor superagonist. In consideration for the license, we agreed to make certain periodic license payments, including $2.25 million each year through June 2025. We have also agreed to make payments upon the achievement of certain regulatory milestone events and tiered royalties ranging from the low to high single-digits as a percentage of net sales. As of December 31, 2025, no such sales have been made and no such regulatory milestone events have been achieved. Beginning in April 2026, the annual minimum licensing payment is $1.0 million, which can be credited against any royalty payments due under this agreement.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During the years ended December 31, 2025 and 2024, we recorded $2.3 million, respectively, and $2.0 million during the year ended December 31, 2023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on the consolidated statements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AAHI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ImmunityBio and AAHI entered into several agreements, including an RNA vaccine platform license agreement, an adjuvant formulation license agreement, and a sponsored research agreement (collectively, the “AAHI Agreements”). ImmunityBio is no longer pursuing development of the AAHI RNA platform and related technology it had licensed from AAHI in 2021. During the second half of 2024, the parties reached an agreement whereby ImmunityBio would owe no future payments to AAHI under the AAHI Agreements, ImmunityBio would return the licenses to AAHI, the AAHI Agreements were terminated, and each party mutually released and had no continuing obligations to the other.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With respect to the license agreements, we recorded $2.3 million and $4.5 million, respectively,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statements of operations during the years ended December 31, 2024 and 2023. During the year ended December 31, 2025, we recorded no expense related to these agreements.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With respect to the sponsored research agreement, we recorded $1.2 million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consolidated statement of operations related to the sponsored research agreement during the year ended December 31, 2023. During the years ended December 31, 2025 and 2024, we recorded no expense related to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Contingent Consideration Related to Business Combinations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VivaBioCell, S.p.A.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2015, NantWorks, a related party, acquired a 100% interest in VivaBioCell through its wholly-owned subsidiary, VBC Holdings for $0.7 million, less working capital adjustments. In June 2015, NantWorks contributed its equity interest in VBC Holdings to the company, in exchange for cash consideration equal to its cost basis in the investment. VivaBioCell develops bioreactors and products based on cell culture and tissue engineering in Italy.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 of VBC, we are obligated to pay the former owners contingent consideration upon the achievement of certain milestones related to the GMP-in-a-Box technology. If a government agency unconditionally approves the GMP-in-a-Box technology for commercial sale (the regulatory milestone) in the future, we will be obligated to pay an additional approximately $2.3 million to the former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22885"/>
                <wp:effectExtent l="0" t="0" r="0" b="0"/>
                <wp:wrapNone/>
                <wp:docPr id="215" name="Frame2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Altor BioScience, LLC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the transaction was recorded as an asset acquisition, future CVR payments will be recorded when the corresponding events are probable of achievement or the consideration becomes payable. As of December 31, 2025, Dr. Soon-Shiong, our Founder, Executive Chairman and Global Chief Scientific and Medical Officer,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Sorrento Therapeutics, Inc. Litigation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Sorrento, derivatively on behalf of NANTibody, filed an action in the Superior Court of California, Los Angeles County (the Superior Court) against the company’s subsidiary NantCell, Dr. Soon-Shiong, and Charles Kim. The action alleged that the defendants improperly caused NANTibody to acquire IgDraSol from NantPharma, LLC and sought to have the transaction undone and the purchase amount returned to NANTibody. In 2019, we filed a demurrer to several causes of action alleged in the Superior Court action, and Sorrento filed an amended complaint, eliminating Mr. Kim as a defendant and dropping the causes of action we had challenged in our demurrer. Trial had been set to commence in Sorrento’s Superior Court action on August 7, 2023, but on July 24, 2023 the Superior Court vacated the August 7, 2023 trial date at the parties’ request in light of the pending settlement discussed below.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Also in 2019, the company and Dr. Soon-Shiong filed cross-claims in the Superior Court action against Sorrento and its Chief Executive Officer Henry Ji, asserting claims for fraud, breach of contract, breach of the covenant of good faith and fair dealing, tortious interference with contract, unjust enrichment, and declaratory relief. Our claims alleged that Dr. Ji and Sorrento breached the terms of an exclusive license agreement between the company and Sorrento related to Sorrento’s antibody library and that Sorrento did not perform its obligations under the exclusive license agreement. The Superior Court ruled that the company’s claims should be pursued in arbitration and that Dr. Soon-Shiong’s claims could be pursued in Superior Court.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2019, the company, along with NANTibody, filed an arbitration against Sorrento and Dr. Ji asserting our claims relating to the exclusive license agreement. Sorrento filed counterclaims against the company and NANTibody in the arbitration. The hearings in the NANTibody arbitration commenced in April 2021 and concluded in early August 2021. After post-hearing briefing was concluded, the parties were notified on November 30, 2021 that the arbitrator in the NANTibody arbitration had passed away. A substitute arbitrator was appointed on February 25, 2022, and the parties worked with the substitute arbitrator to conclude the proceedings. Additional hearing sessions were held in May and July 2022, and summations took place on August 2, 2022.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 2022, the arbitrator issued a final award finding that Sorrento had breached the two exclusive license agreements with NantCell and NANTibody. The arbitrator awarded NantCell approximately $156.8 million and NANTibody approximately $16.7 million, plus post-award interest accruing at a daily rate. On December 21, 2022, NantCell and NANTibody filed petitions in the Superior Court to confirm the arbitration award; on January 16, 2023, Sorrento filed a response to the petitions and moved to vacate the award. On February 7, 2023, after a hearing, the Superior Court entered orders confirming the arbitration award and denying Sorrento’s motion to vacate. The Superior Court entered judgments against Sorrento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22885"/>
                <wp:effectExtent l="0" t="0" r="0" b="0"/>
                <wp:wrapNone/>
                <wp:docPr id="216" name="Frame20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pPr>
      <w:r>
        <w:rPr>
          <w:rFonts w:ascii="Times New Roman;serif" w:hAnsi="Times New Roman;serif"/>
          <w:b w:val="false"/>
          <w:color w:val="000000"/>
          <w:sz w:val="20"/>
        </w:rPr>
        <w:t xml:space="preserve">aggregate amount of approximately $176.4 million plus 10% post-judgment interest, of which approximately $159.4 million was payable to NantCell, and the remainder of which was payable to NANTibody. On February 13, 2023, Sorrento informed counsel to the company that it had filed a Chapter 11 proceeding in the United States District Court for the Southern District of Texas, </w:t>
      </w:r>
      <w:r>
        <w:rPr>
          <w:rFonts w:ascii="Times New Roman;serif" w:hAnsi="Times New Roman;serif"/>
          <w:b w:val="false"/>
          <w:i/>
          <w:color w:val="000000"/>
          <w:sz w:val="20"/>
        </w:rPr>
        <w:t>In re: Sorrento Therapeutics, Inc., et al.,</w:t>
      </w:r>
      <w:r>
        <w:rPr>
          <w:color w:val="000000"/>
        </w:rPr>
        <w:t xml:space="preserve"> </w:t>
      </w:r>
      <w:r>
        <w:rPr>
          <w:rFonts w:ascii="Times New Roman;serif" w:hAnsi="Times New Roman;serif"/>
          <w:b w:val="false"/>
          <w:color w:val="000000"/>
          <w:sz w:val="20"/>
        </w:rPr>
        <w:t xml:space="preserve">Case No. 23-90085 (DRJ), Docket Entry 810.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June 6, 2023, Sorrento filed a motion in its Chapter 11 proceeding for entry of an order approving and implementing a mediation settlement reached with the company and other entities. The settlement involved two possible scenarios: Either, if Sorrento were to raise an amount needed to pay its debtor in possession lender and its unsecured creditors by August 31, 2023, Sorrento would pay those obligations, including the judgments held by NantCell and NANTibody, by 2:00 p.m. ET on August 31, 2023 and be free to proceed with pending litigation; or, failing that, the judgments would be released, the litigation claims would be released, including, without limitation, the Superior Court action discussed above, Sorrento would relinquish its interests in NANTibody and certain other entities, Sorrento would forfeit its rights to any payments from NantCell arising out of its antibody exclusive license agreement with NantCell (rights to PD-L1), and certain other provisions not impacting the company would be implemented as described in the motion. On August 14, 2023, the United States Bankruptcy Court for the Southern District of Texas issued an order approving the settlement described above, such that the settlement became binding on the parties. As of 2:00 p.m. ET on August 31, 2023, Sorrento had not paid the judgments held by NantCell and NANTibody. Accordingly, in relevant part to the company and NantCell, a mutual release of claims became effective such that the aforementioned judgments were released, the litigation claims were released including, without limitation, the derivative litigation against NantCell described above, Sorrento relinquished its interests in NANTibody, and Sorrento forfeited its rights to any payments from NantCell arising out of its antibody exclusive license agreement with NantCell, including any royalties associated with the company’s engineered NK cell therapy in Phase 2 clinical trials, PD-L1 t-haNK. As a result of the settlement, the parties filed dismissals of the litigation matters discussed above. After the settlement, the company’s ownership in NANTibody increased from 60% to 100%, and, as a result, the carrying amount of the noncontrolling interest of $4.2 million was adjusted and recognized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 xml:space="preserve">attributable to the company, on the consolidated statement of stockholders’ deficit.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Shenzhen Beike Biotechnology Co. Ltd.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received a Request for Arbitration before the International Chamber of Commerce, International Court of Arbitration. The arbitration relates to a license, development, and commercialization agreement that Altor entered into with Beike in 2014, which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 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the company served its Statement of Defense and Counterclaim on June 21, 2024, 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was held from June 9, 2025 through June 13, 2025. Post-hearing submissions concluded in February 2026. It remains too early to evaluate the likely outcome of the case or to estimate any range of potential loss. We believe the claims asserted against the company lack merit.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22885"/>
                <wp:effectExtent l="0" t="0" r="0" b="0"/>
                <wp:wrapNone/>
                <wp:docPr id="217" name="Frame2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June 30, 2023, a putative securities class action complaint, captioned </w:t>
      </w:r>
      <w:r>
        <w:rPr>
          <w:rFonts w:ascii="Times New Roman;serif" w:hAnsi="Times New Roman;serif"/>
          <w:b w:val="false"/>
          <w:i/>
          <w:color w:val="000000"/>
          <w:sz w:val="20"/>
        </w:rPr>
        <w:t>Salzman v. ImmunityBio, Inc. et al.</w:t>
      </w:r>
      <w:r>
        <w:rPr>
          <w:rFonts w:ascii="Times New Roman;serif" w:hAnsi="Times New Roman;serif"/>
          <w:b w:val="false"/>
          <w:color w:val="000000"/>
          <w:sz w:val="20"/>
        </w:rPr>
        <w:t xml:space="preserve">, No. 3:23-cv-01216-GCP-VET, was filed in the United States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BLA for its then product candidate, ANKTIVA with BCG for the treatment of adult patients with BCG-unresponsive NMIBC CIS with or without papillary tumors, in its present form due to deficiencies related to its pre-license inspection of the company’s third-party CMOs, the complaint alleges that the defendants had previously made materially false and misleading statements and/or omitted material adverse facts regarding its third-party CMOs and the prospects for regulatory approval of the BLA. The complaint did not specify the amount of damages being sought. On September 27, 2023, the court appointed a lead plaintiff, approved their selection of lead counsel, and re-captioned the case </w:t>
      </w:r>
      <w:r>
        <w:rPr>
          <w:rFonts w:ascii="Times New Roman;serif" w:hAnsi="Times New Roman;serif"/>
          <w:b w:val="false"/>
          <w:i/>
          <w:color w:val="000000"/>
          <w:sz w:val="20"/>
        </w:rPr>
        <w:t>In re ImmunityBio, Inc. Securities Litigation,</w:t>
      </w:r>
      <w:r>
        <w:rPr>
          <w:color w:val="000000"/>
        </w:rPr>
        <w:t xml:space="preserve"> </w:t>
      </w:r>
      <w:r>
        <w:rPr>
          <w:rFonts w:ascii="Times New Roman;serif" w:hAnsi="Times New Roman;serif"/>
          <w:b w:val="false"/>
          <w:color w:val="000000"/>
          <w:sz w:val="20"/>
        </w:rPr>
        <w:t xml:space="preserve">No. 3:23-cv-01216. On November 17, 2023, the lead plaintiff filed an amended complaint, which named the same defendants and asserted the same claims as the previous complaint. On January 8, 2024, the defendants filed a motion to dismiss the amended complaint. On June 20, 2024, the court issued an order granting in part and denying in part the motion to dismiss. On July 16, 2024, the lead plaintiff notified the court that he would proceed with his current pleading, and the defendants answered the complaint on August 29, 2024. On January 25, 2025, following a mediation and the parties’ agreement in principle to settle the securities class action for $10.5 million, the lead plaintiff filed an unopposed motion for preliminary approval of class action settlement. On March 17, 2025, the court granted preliminary approval of the settlement. On June 16, 2025, following a final approval hearing, the court granted final approval of the settlement. The lawsuit is now fully resolved.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a result of the foregoing, the company recorded legal settlement expense of $10.5 million in </w:t>
      </w:r>
      <w:r>
        <w:rPr>
          <w:rFonts w:ascii="Times New Roman;serif" w:hAnsi="Times New Roman;serif"/>
          <w:b w:val="false"/>
          <w:i/>
          <w:color w:val="000000"/>
          <w:sz w:val="20"/>
        </w:rPr>
        <w:t>selling, general and administrative expense,</w:t>
      </w:r>
      <w:r>
        <w:rPr>
          <w:color w:val="000000"/>
        </w:rPr>
        <w:t xml:space="preserve"> </w:t>
      </w:r>
      <w:r>
        <w:rPr>
          <w:rFonts w:ascii="Times New Roman;serif" w:hAnsi="Times New Roman;serif"/>
          <w:b w:val="false"/>
          <w:color w:val="000000"/>
          <w:sz w:val="20"/>
        </w:rPr>
        <w:t xml:space="preserve">on the consolidated statement of operations during the year ended December 31, 2024 and a corresponding amount in </w:t>
      </w:r>
      <w:r>
        <w:rPr>
          <w:rFonts w:ascii="Times New Roman;serif" w:hAnsi="Times New Roman;serif"/>
          <w:b w:val="false"/>
          <w:i/>
          <w:color w:val="000000"/>
          <w:sz w:val="20"/>
        </w:rPr>
        <w:t>accrued expenses and other liabilities</w:t>
      </w:r>
      <w:r>
        <w:rPr>
          <w:rFonts w:ascii="Times New Roman;serif" w:hAnsi="Times New Roman;serif"/>
          <w:b w:val="false"/>
          <w:color w:val="000000"/>
          <w:sz w:val="20"/>
        </w:rPr>
        <w:t>, on the consolidated balance sheet. During the year ended December 31, 2025, the company settled in full the amount due under the settlement agreement. Of the $10.5 million, approximately $6.0 million were paid by the company’s insurers. The company paid the remaining $4.5 million under the settlement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Van Luven, Barbieri and Shin Derivative Actions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October 29, 2024, a shareholder derivative action was filed in the United States District Court for the Southern District of California against the members of our Board of Directors and certain officers, captioned </w:t>
      </w:r>
      <w:r>
        <w:rPr>
          <w:rFonts w:ascii="Times New Roman;serif" w:hAnsi="Times New Roman;serif"/>
          <w:b w:val="false"/>
          <w:i/>
          <w:color w:val="000000"/>
          <w:sz w:val="20"/>
        </w:rPr>
        <w:t>Van Luven v. Soon-Shiong et al.</w:t>
      </w:r>
      <w:r>
        <w:rPr>
          <w:rFonts w:ascii="Times New Roman;serif" w:hAnsi="Times New Roman;serif"/>
          <w:b w:val="false"/>
          <w:color w:val="000000"/>
          <w:sz w:val="20"/>
        </w:rPr>
        <w:t xml:space="preserve">, Case No. 3:24-cv-02014-GPCL-VET. The plaintiff purports to bring the action derivatively on behalf of ImmunityBio, and ImmunityBio is a nominal defendant to the action. Stemming from the company’s May 11, 2023 disclosure that it had received an FDA CRL stating, among other things, that it could not approve the company’s BLA for its then product candidate, ANKTIVA with BCG for the treatment of adult patients with BCG-unresponsive NMIBC CIS with or without papillary tumors, in its present form due to deficiencies related to its pre-license inspection of the company’s third-party CMOs, the derivative complaint alleges that the individual defendants authorized or permitted materially false and misleading statements and/or omitted material adverse facts regarding ImmunityBio’s third-party CMOs and the prospects for regulatory approval of the ANKTIVA BLA. The derivative complaint asserts claims for violations of Section 14(a) of the Exchange Act as well as claims for breach of fiduciary duty, unjust enrichment, and waste of corporate assets. The derivative complaint seeks unspecified damages on behalf of the company, disgorgement or restitution, declaratory relief, and an award of costs and expenses to the derivative plaintiff, including attorneys’ fees. The court entered an order extending the defendants’ deadline to respond to the complaint to May 30, 2025.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February 25, 2025, a second shareholder derivative action was filed in the United States District Court for the Southern District of California against certain members of our Board of Directors and certain officers, captioned </w:t>
      </w:r>
      <w:r>
        <w:rPr>
          <w:rFonts w:ascii="Times New Roman;serif" w:hAnsi="Times New Roman;serif"/>
          <w:b w:val="false"/>
          <w:i/>
          <w:color w:val="000000"/>
          <w:sz w:val="20"/>
        </w:rPr>
        <w:t>Barbieri v. Soon-Shiong, et al</w:t>
      </w:r>
      <w:r>
        <w:rPr>
          <w:rFonts w:ascii="Times New Roman;serif" w:hAnsi="Times New Roman;serif"/>
          <w:b w:val="false"/>
          <w:color w:val="000000"/>
          <w:sz w:val="20"/>
        </w:rPr>
        <w:t xml:space="preserve">., Case No. 3:25-cv-00416-AGS-JLB. The plaintiff purports to bring the action derivatively on behalf of ImmunityBio, and ImmunityBio is a nominal defendant in the action. This lawsuit asserts substantially similar claims and allegations as </w:t>
      </w:r>
      <w:r>
        <w:rPr>
          <w:rFonts w:ascii="Times New Roman;serif" w:hAnsi="Times New Roman;serif"/>
          <w:b w:val="false"/>
          <w:i/>
          <w:color w:val="000000"/>
          <w:sz w:val="20"/>
        </w:rPr>
        <w:t>Van Luven</w:t>
      </w:r>
      <w:r>
        <w:rPr>
          <w:rFonts w:ascii="Times New Roman;serif" w:hAnsi="Times New Roman;serif"/>
          <w:b w:val="false"/>
          <w:color w:val="000000"/>
          <w:sz w:val="20"/>
        </w:rPr>
        <w:t xml:space="preserve">. The court entered an order extending the defendants’ deadline to respond to the complaint to May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22885"/>
                <wp:effectExtent l="0" t="0" r="0" b="0"/>
                <wp:wrapNone/>
                <wp:docPr id="218" name="Frame20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February 26, 2025, a third shareholder derivative action was filed in the United States District Court for the Southern District of California against certain current and former members of our Board of Directors and certain officers, captioned </w:t>
      </w:r>
      <w:r>
        <w:rPr>
          <w:rFonts w:ascii="Times New Roman;serif" w:hAnsi="Times New Roman;serif"/>
          <w:b w:val="false"/>
          <w:i/>
          <w:color w:val="000000"/>
          <w:sz w:val="20"/>
        </w:rPr>
        <w:t>Shin v. Soon-Shiong, et al.</w:t>
      </w:r>
      <w:r>
        <w:rPr>
          <w:rFonts w:ascii="Times New Roman;serif" w:hAnsi="Times New Roman;serif"/>
          <w:b w:val="false"/>
          <w:color w:val="000000"/>
          <w:sz w:val="20"/>
        </w:rPr>
        <w:t xml:space="preserve">, Case No. 3:25-cv-00423-JAH-DDL. The plaintiff purports to bring the action derivatively on behalf of ImmunityBio, and ImmunityBio is a nominal defendant in the action. This lawsuit asserts substantially similar claims and allegations as </w:t>
      </w:r>
      <w:r>
        <w:rPr>
          <w:rFonts w:ascii="Times New Roman;serif" w:hAnsi="Times New Roman;serif"/>
          <w:b w:val="false"/>
          <w:i/>
          <w:color w:val="000000"/>
          <w:sz w:val="20"/>
        </w:rPr>
        <w:t>Van Luven</w:t>
      </w:r>
      <w:r>
        <w:rPr>
          <w:rFonts w:ascii="Times New Roman;serif" w:hAnsi="Times New Roman;serif"/>
          <w:b w:val="false"/>
          <w:color w:val="000000"/>
          <w:sz w:val="20"/>
        </w:rPr>
        <w:t xml:space="preserve">. The court entered an order extending the defendants’ deadline to respond to the complaint to May 30,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 2025, the court entered an order consolidating these three shareholder derivative actions. On May 22, 2025, the parties in the consolidated derivative action notified the court that they had entered into a Stipulation and Settlement Agreement to settle the consolidated derivative action for corporate governance reforms and attorneys’ fees. On November 6, 2025, the court entered an order and final judgment approving the settlement. As a result of the final judgment, the company was required to make various corporate governance modifications in which the company complied with.</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Carlson Derivative Action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November 20, 2024, a shareholder derivative action was filed in the Delaware Court of Chancery against the company’s Founder, Executive Chairman, Global Chief Scientific and Medical Officer and principal stockholder, Dr. Soon-Shiong, certain affiliates of Dr. Soon-Shiong, certain other members of management, and members of the company’s Board of Directors who serve on the Board of Directors’ Related Party Transaction Committee, captioned </w:t>
      </w:r>
      <w:r>
        <w:rPr>
          <w:rFonts w:ascii="Times New Roman;serif" w:hAnsi="Times New Roman;serif"/>
          <w:b w:val="false"/>
          <w:i/>
          <w:color w:val="000000"/>
          <w:sz w:val="20"/>
        </w:rPr>
        <w:t>Carlson v. Soon-Shiong, et al.,</w:t>
      </w:r>
      <w:r>
        <w:rPr>
          <w:color w:val="000000"/>
        </w:rPr>
        <w:t xml:space="preserve"> </w:t>
      </w:r>
      <w:r>
        <w:rPr>
          <w:rFonts w:ascii="Times New Roman;serif" w:hAnsi="Times New Roman;serif"/>
          <w:b w:val="false"/>
          <w:color w:val="000000"/>
          <w:sz w:val="20"/>
        </w:rPr>
        <w:t xml:space="preserve">Case No. 2024-1195-VCL. The plaintiff purports to bring the action derivatively on behalf of ImmunityBio, and ImmunityBio is a nominal defendant to the action. The plaintiff alleges that the previously disclosed September 2023 financing transactions between the company and Dr. Soon-Shiong and his affiliates were not fair to the company. In particular, the plaintiff alleges that the transactions were timed to benefit Dr. Soon-Shiong and his affiliates during a temporary decline in the company’s stock price, resulting in an artificially low conversion price for certain convertible promissory notes that were among the transactions, when defendants knew the company’s stock price would increase following the company’s imminent resubmission of a BLA for, and the subsequent FDA approval of, ANKTIVA with BCG for the treatment of adult patients with BCG-unresponsive NMIBC CIS with or without papillary tumors. The complaint alleges that defendants breached their fiduciary duties by entering into these transactions at that time and on those terms, thereby unjustly enriching Dr. Soon-Shiong and his affiliates. The derivative complaint seeks unspecified damages on behalf of the company, corporate governance changes with respect to related-party transactions, and an award of costs and expenses to the derivative plaintiff, including attorneys’ fees. On February 17, 2025, the defendants filed a motion to dismiss the complaint.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 2025, instead of filing an opposition to defendants’ motion to dismiss, the plaintiff filed an amended complaint. This amended complaint added certain additional members of the company’s Board of Directors as defendants but did not add new claims. On July 16, 2025, the defendants filed a motion to dismiss the amended complaint. On February 4, 2026, after complete briefing and oral argument, the court granted the defendants’ motion to dismiss. The plaintiff was not provided an opportunity to amend.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SRS/Altor Shareholder CVR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$304.0 million of contingent consideration upon calendar-year worldwide net sales of ANKTIVA exceeding $1.0 billion prior to December 31, 2026. As of December 31, 2025, Dr. Soon-Shiong, our Founder, Executive Chairman and Global Chief Scientific and Medical Officer, and his related party hold approximately $139.8 million of FDA approval CVRs and $139.8 million of net sales CVRs, and they have both irrevocably agreed to receive shares of the company’s common stock in satisfaction of their CVRs. Because the FDA did not approve our BLA on or before December 31, 2022, the first CVR milestone was not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22885"/>
                <wp:effectExtent l="0" t="0" r="0" b="0"/>
                <wp:wrapNone/>
                <wp:docPr id="219" name="Frame20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27, 2022, Shareholder Representative Services, LLC (SRS), in its capacity as shareholder representative on behalf of former Altor BioScience Corp. shareholders, sent the company’s subsidiary NantCell a notice of claims relating to the regulatory milestone CVR. The notice of claims asserted that SRS was exploring, and might pursue, claims on behalf of Altor shareholders for additional merger consideration in the amount of the $2.00 per share milestone payment under the regulatory CVR milestone. The notice stated that any such claim would be based on NantCell’s alleged failure to use commercially reasonable efforts to secure FDA approval of ANKTIVA on or before December 31, 2022. In a separate October 2022 letter, SRS requested that NantCell preserve all documents and information relating to its efforts to achieve milestones set forth in the regulatory milestone CVR, and requested that the company provide certain categories of documents under the information-sharing provisions of the CVR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company provided many of the requested documents, on September 29, 2023, SRS filed a demand for arbitration with JAMS, seeking to compel the company to produce additional documents identified in its October 2022 letter relating to its efforts to obtain FDA approval for ANKTIVA. The arbitration demand did not include any claims beyond SRS’s claim that it had a right to obtain additional documents, and sought a ruling that the company was obligated to provide additional documents. After the arbitrator issued a preliminary ruling regarding the scope of the company’s obligation to provide information under the CVR Agreements, the company produced additional documents responsive to SRS’s requests.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27, 2025, several months after SRS’s document-access claim had been resolved, SRS requested leave to amend its JAMS arbitration demand to state a claim for breach of contract. SRS’s proposed amended demand alleged that the company and NantCell had failed to exercise commercially reasonable efforts to obtain FDA approval ANKTIVA on or before December 31, 2022. The JAMS arbitrator presiding over the document-access arbitration denied SRS’s motion for leave to amend its claims, and on September 26, 2025, the parties filed a joint stipulation asking that the JAMS document-access arbitration be closed.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SRS’s motion for leave to amend was denied, on September 26, 2025, SRS sent the company a further notice of claims and essentially the same arbitration demand, asserting that the company had breached its obligations to exercise commercially reasonable efforts to achieve FDA approval of ANKTIVA on or before December 31, 2022. SRS’s arbitration demand seeks relief in the form of payment, in the amount of approximately $164.2 million plus interest exceeding $50.0 million, to former Altor shareholders not affiliated with Dr. Soon-Shiong. SRS filed its most recent arbitration demand with JAMS on November 5, 2025. The company filed its response on November 19, 2025, and an arbitrator was appointed on January 16, 2026. It remains too early to evaluate the likely outcome of the case or to estimate any range of potential loss. We believe the company exercised commercially reasonable efforts in its pursuit of FDA approval of ANKTIVA, and that the claims asserted against the company lack merit.</w:t>
      </w:r>
    </w:p>
    <w:p>
      <w:pPr>
        <w:pStyle w:val="TextBody"/>
        <w:bidi w:val="0"/>
        <w:spacing w:lineRule="auto" w:line="288" w:before="240" w:after="283"/>
        <w:jc w:val="left"/>
        <w:rPr>
          <w:rFonts w:ascii="Times New Roman;serif" w:hAnsi="Times New Roman;serif"/>
          <w:b/>
          <w:i/>
          <w:color w:val="000000"/>
          <w:sz w:val="20"/>
        </w:rPr>
      </w:pPr>
      <w:bookmarkStart w:id="23" w:name="i9fd628768c0f4950b7049633edaa9446_115411"/>
      <w:bookmarkEnd w:id="23"/>
      <w:r>
        <w:rPr>
          <w:rFonts w:ascii="Times New Roman;serif" w:hAnsi="Times New Roman;serif"/>
          <w:b/>
          <w:i/>
          <w:color w:val="000000"/>
          <w:sz w:val="20"/>
        </w:rPr>
        <w:t>Dunkirk Facility Leasehold Interest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2022, we completed the acquisition of the Dunkirk Facility (approximately 409,000 rentable square feet) from Athenex. We believe this facility has the potential to provide us with a state-of-the-art biotech production center that will expand and diversify our existing manufacturing capacity in the U.S. and the ability to scale production associated with certain of our product candidates. The company accounted for the transaction as an asset acquisition because the Dunkirk Facility’s integrated set of assets and activities does not meet the definition of a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closing of the Dunkirk transaction, the company became the tenant of the Dunkirk Facility under the Fort Schuyler Management Corporation Lease, dated October 1, 2021 and as amended as of the February 14, 2022 closing date (as amended, the Dunkirk Lease), with the FSMC as landlord. The Dunkirk Facility, as well as certain equipment, is owned by the FSMC and is leased to us under the Dunkirk Lease. We believe that the Dunkirk Facility has construction needs that may require approximately 12 to 18 months to complete in order for it to be used as intended as a result of an ongoing dispute with the Dunkirk Facility’s general contractor and a stay in resolving the dispute related to Athenex’s ongoing bankruptcy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22885"/>
                <wp:effectExtent l="0" t="0" r="0" b="0"/>
                <wp:wrapNone/>
                <wp:docPr id="220" name="Frame20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2025, we entered into a second amendment to the Dunkirk Lease (the “second amendment”). Under the second amendment, the annual lease payment was increased to $0.5 million for a revised lease term through December 31, 2028. The company has the option to purchase the Dunkirk Facility at $1.00 on either January 1, 2028, or January 1, 2029. The second amendment was accounted for as a modification of a single lease contract. The lease is classified as an operating lease. As of December 31, 2025, we recognized an operating right-of-use lease asset and lease liability of $1.4 million, respectively, on the consolidated balance sheet. See </w:t>
      </w:r>
      <w:hyperlink w:anchor="i49f82bc2aa33405eae1e0b45f37d1ae6_256">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i/>
          <w:color w:val="000000"/>
          <w:sz w:val="20"/>
        </w:rPr>
        <w:t>Lease Arrangements</w:t>
      </w:r>
      <w:r>
        <w:rPr>
          <w:color w:val="000000"/>
        </w:rPr>
        <w:t xml:space="preserve">” </w:t>
      </w:r>
      <w:r>
        <w:rPr>
          <w:rFonts w:ascii="Times New Roman;serif" w:hAnsi="Times New Roman;serif"/>
          <w:b w:val="false"/>
          <w:color w:val="000000"/>
          <w:sz w:val="20"/>
        </w:rPr>
        <w:t xml:space="preserve">for more information. The second amendment also removed the original spending obligations assumed from Athenex totaling $1.52 billion and replaced them with a series of spending targets totaling $55.0 million, including minimum of $40.0 million cumulative capital spending to be complied through December 31, 2028, and minimum of $5.0 million of annual operating spending to be complied from 2026 to 2028. As of December 31, 2025, we are in compliance with the requirements of such targets.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agreed to meet certain headcount targets by hiring at least 100 full-time employees by the end of the three-year term of the amended lease. If the option to purchase is exercised, we are required to hire at least 450 full-time employees by December 31, 2032 through December 31, 2033; and we are prohibited from conveying the premises for a five-year period without obtaining the prior written consent of FSMC and Empire State Development.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Unconditional Purchase Obligations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Unconditional purchase obligations are defined as an agreement to purchase goods or services that are enforceable and legally binding (non-cancelable, or cancellable only in certain circumstances). Estimated future minimum unconditional purchase obligations as of December 31, 2025 are as follows (in thousands): </w:t>
      </w:r>
    </w:p>
    <w:tbl>
      <w:tblPr>
        <w:tblW w:w="8897" w:type="dxa"/>
        <w:jc w:val="left"/>
        <w:tblInd w:w="0" w:type="dxa"/>
        <w:tblLayout w:type="fixed"/>
        <w:tblCellMar>
          <w:top w:w="28" w:type="dxa"/>
          <w:left w:w="28" w:type="dxa"/>
          <w:bottom w:w="28" w:type="dxa"/>
          <w:right w:w="28" w:type="dxa"/>
        </w:tblCellMar>
      </w:tblPr>
      <w:tblGrid>
        <w:gridCol w:w="1316"/>
        <w:gridCol w:w="1153"/>
        <w:gridCol w:w="1160"/>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fees and installation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Reserved cGMP manufacturing capacity at </w:t>
              <w:br/>
              <w:t>   third-party CMO facilities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launch and product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did not enter into any significant contracts, other than those disclosed in these consolidated financial statements.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those commitments already disclosed, we have conditional contractual commitments that are expected to be paid in fiscal year 2027 and beyond based on royalties on potential future net sales or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December 31, 2025, the maximum amount that may be payable related to the various development, regulatory, and commercial milestones commitments is $40.8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22885"/>
                <wp:effectExtent l="0" t="0" r="0" b="0"/>
                <wp:wrapNone/>
                <wp:docPr id="221" name="Frame2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12.    Lease Arrangements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lease property in multiple facilities across the U.S. and Italy, including facilities located in El Segundo, CA and the Dunkirk Facility in upstate New York. Substantially all of our operating lease right-of-use assets and operating lease liabilities relate to facilities leases. Our finance leases are related to equipment rentals. See </w:t>
      </w:r>
      <w:hyperlink w:anchor="i49f82bc2aa33405eae1e0b45f37d1ae6_277">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for more information about our related-party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leases generally have initial terms ranging from two to ten years and often include one or more options to renew. These renewal terms can extend the lease term from one to ten years and are included in the lease term when it is reasonably certain that we will exercise the option.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our leases is as follows (in thousands):</w:t>
      </w:r>
    </w:p>
    <w:tbl>
      <w:tblPr>
        <w:tblW w:w="9771" w:type="dxa"/>
        <w:jc w:val="left"/>
        <w:tblInd w:w="0" w:type="dxa"/>
        <w:tblLayout w:type="fixed"/>
        <w:tblCellMar>
          <w:top w:w="28" w:type="dxa"/>
          <w:left w:w="28" w:type="dxa"/>
          <w:bottom w:w="28" w:type="dxa"/>
          <w:right w:w="28" w:type="dxa"/>
        </w:tblCellMar>
      </w:tblPr>
      <w:tblGrid>
        <w:gridCol w:w="1136"/>
        <w:gridCol w:w="1000"/>
        <w:gridCol w:w="1014"/>
        <w:gridCol w:w="1279"/>
        <w:gridCol w:w="1279"/>
        <w:gridCol w:w="1282"/>
        <w:gridCol w:w="109"/>
        <w:gridCol w:w="109"/>
        <w:gridCol w:w="109"/>
        <w:gridCol w:w="211"/>
        <w:gridCol w:w="721"/>
        <w:gridCol w:w="109"/>
        <w:gridCol w:w="109"/>
        <w:gridCol w:w="109"/>
        <w:gridCol w:w="109"/>
        <w:gridCol w:w="211"/>
        <w:gridCol w:w="721"/>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(including </w:t>
              <w:br/>
              <w:t>   amounts with related parties)</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assets (including </w:t>
              <w:br/>
              <w:t>   amounts with related parties)</w:t>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(including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amounts with related parties)</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(including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amounts with related parties)</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liabilities (including </w:t>
              <w:br/>
              <w:t>   amounts with related parties)</w:t>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our lease terms is as follows:</w:t>
      </w:r>
    </w:p>
    <w:tbl>
      <w:tblPr>
        <w:tblW w:w="5705" w:type="dxa"/>
        <w:jc w:val="left"/>
        <w:tblInd w:w="0" w:type="dxa"/>
        <w:tblLayout w:type="fixed"/>
        <w:tblCellMar>
          <w:top w:w="28" w:type="dxa"/>
          <w:left w:w="28" w:type="dxa"/>
          <w:bottom w:w="28" w:type="dxa"/>
          <w:right w:w="28" w:type="dxa"/>
        </w:tblCellMar>
      </w:tblPr>
      <w:tblGrid>
        <w:gridCol w:w="1228"/>
        <w:gridCol w:w="1078"/>
        <w:gridCol w:w="1083"/>
        <w:gridCol w:w="266"/>
        <w:gridCol w:w="200"/>
        <w:gridCol w:w="459"/>
        <w:gridCol w:w="164"/>
        <w:gridCol w:w="164"/>
        <w:gridCol w:w="164"/>
        <w:gridCol w:w="206"/>
        <w:gridCol w:w="177"/>
        <w:gridCol w:w="516"/>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years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22885"/>
                <wp:effectExtent l="0" t="0" r="0" b="0"/>
                <wp:wrapNone/>
                <wp:docPr id="222" name="Frame2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consist of the following (in thousands):</w:t>
      </w:r>
    </w:p>
    <w:tbl>
      <w:tblPr>
        <w:tblW w:w="7857" w:type="dxa"/>
        <w:jc w:val="left"/>
        <w:tblInd w:w="0" w:type="dxa"/>
        <w:tblLayout w:type="fixed"/>
        <w:tblCellMar>
          <w:top w:w="28" w:type="dxa"/>
          <w:left w:w="28" w:type="dxa"/>
          <w:bottom w:w="28" w:type="dxa"/>
          <w:right w:w="28" w:type="dxa"/>
        </w:tblCellMar>
      </w:tblPr>
      <w:tblGrid>
        <w:gridCol w:w="1460"/>
        <w:gridCol w:w="1283"/>
        <w:gridCol w:w="1292"/>
        <w:gridCol w:w="211"/>
        <w:gridCol w:w="721"/>
        <w:gridCol w:w="109"/>
        <w:gridCol w:w="109"/>
        <w:gridCol w:w="109"/>
        <w:gridCol w:w="109"/>
        <w:gridCol w:w="211"/>
        <w:gridCol w:w="721"/>
        <w:gridCol w:w="109"/>
        <w:gridCol w:w="109"/>
        <w:gridCol w:w="109"/>
        <w:gridCol w:w="109"/>
        <w:gridCol w:w="211"/>
        <w:gridCol w:w="721"/>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costs (including right-of-use asset </w:t>
              <w:br/>
              <w:t>   amortization and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 is as follows (in thousands):</w:t>
      </w:r>
    </w:p>
    <w:tbl>
      <w:tblPr>
        <w:tblW w:w="8861" w:type="dxa"/>
        <w:jc w:val="left"/>
        <w:tblInd w:w="0" w:type="dxa"/>
        <w:tblLayout w:type="fixed"/>
        <w:tblCellMar>
          <w:top w:w="28" w:type="dxa"/>
          <w:left w:w="28" w:type="dxa"/>
          <w:bottom w:w="28" w:type="dxa"/>
          <w:right w:w="28" w:type="dxa"/>
        </w:tblCellMar>
      </w:tblPr>
      <w:tblGrid>
        <w:gridCol w:w="1861"/>
        <w:gridCol w:w="1636"/>
        <w:gridCol w:w="1647"/>
        <w:gridCol w:w="211"/>
        <w:gridCol w:w="721"/>
        <w:gridCol w:w="109"/>
        <w:gridCol w:w="109"/>
        <w:gridCol w:w="109"/>
        <w:gridCol w:w="109"/>
        <w:gridCol w:w="211"/>
        <w:gridCol w:w="721"/>
        <w:gridCol w:w="109"/>
        <w:gridCol w:w="109"/>
        <w:gridCol w:w="109"/>
        <w:gridCol w:w="109"/>
        <w:gridCol w:w="211"/>
        <w:gridCol w:w="61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(excluding variable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 from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from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as of December 31, 2025, including $11.5 million related to options to extend lease terms that are reasonably certain of being exercised, are presented in the following table (in thousands). Common area maintenance costs and taxes are not included in these payments.</w:t>
      </w:r>
    </w:p>
    <w:tbl>
      <w:tblPr>
        <w:tblW w:w="7073" w:type="dxa"/>
        <w:jc w:val="left"/>
        <w:tblInd w:w="0" w:type="dxa"/>
        <w:tblLayout w:type="fixed"/>
        <w:tblCellMar>
          <w:top w:w="28" w:type="dxa"/>
          <w:left w:w="28" w:type="dxa"/>
          <w:bottom w:w="28" w:type="dxa"/>
          <w:right w:w="28" w:type="dxa"/>
        </w:tblCellMar>
      </w:tblPr>
      <w:tblGrid>
        <w:gridCol w:w="1149"/>
        <w:gridCol w:w="1013"/>
        <w:gridCol w:w="1017"/>
        <w:gridCol w:w="109"/>
        <w:gridCol w:w="109"/>
        <w:gridCol w:w="109"/>
        <w:gridCol w:w="211"/>
        <w:gridCol w:w="721"/>
        <w:gridCol w:w="109"/>
        <w:gridCol w:w="109"/>
        <w:gridCol w:w="109"/>
        <w:gridCol w:w="109"/>
        <w:gridCol w:w="211"/>
        <w:gridCol w:w="466"/>
        <w:gridCol w:w="109"/>
        <w:gridCol w:w="109"/>
        <w:gridCol w:w="109"/>
        <w:gridCol w:w="109"/>
        <w:gridCol w:w="211"/>
        <w:gridCol w:w="721"/>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Finance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40,982 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41,261 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27, 2025, we entered into an amendment to an existing operating lease of office space, which was initially scheduled to expire on December 31, 2025. We executed the first option to extend the lease through December 31, 2030, with no changes to any of the other terms of the lease. We have a second option to extend the lease for an additional five years. Management has identified this extension as a reassessment event as we elected to exercise the lease extension option, which was previously determined that it was not reasonably certain to do so. We reassessed the discount rate at the remeasurement date, at 11.8% and we remeasured the operating lease right-of-use asset and operating lease liability on our consolidated balance sheet based on the reassessed discount rate, remaining lease term and lease payments. We determined that the lease extension has no effect on the classification of the lease. In addition, we also determined that the second option to extend the lease is not reasonably certain to be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22885"/>
                <wp:effectExtent l="0" t="0" r="0" b="0"/>
                <wp:wrapNone/>
                <wp:docPr id="223" name="Frame2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the extension, the remaining lease liability amounted to $0.6 million. On the date of the extension, we determined that the value of the new operating lease right-of-use asset and operating lease liability was $4.6 million, respectively. As such, as of June 30, 2025, the company recorded an increase in lease liability of $4.0 million because of the lease extension.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there have been no material changes related to our existing lease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13.    Revenue Interest Purchase Agreement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Interest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we entered into the RIPA with Infinity and Oberland. Pursuant to the RIPA, Oberland acquired certain initial Revenue Interests from us for a gross purchase price of $200.0 million paid on closing, less $7.5 million of issuance costs. Oberland had the option to purchase additional Revenue Interests from us in exchange for a $100.0 million Second Payment upon satisfaction of certain conditions in the RIPA, including receipt of approval from the FDA of our BLA for ANKTIVA on or before June 30,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FDA approved our product ANKTIVA and as a result, on May 13, 2024 Oberland purchased additional Revenue Interests from us for a gross purchase price of $100.0 million, less $3.1 million of issuance costs. The issuance costs incurred are being amortized to interest expense over the estimated term of the debt.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aforementioned payments, Oberland has the right to receive quarterly Revenue Interest Payments from us based on, among other things, a certain percentage of our net sales during such quarter, which are tiered payments ranging from 4.5% to 10.0% (before funding of the Second Payment, 3.0% to 7.0%) of the company’s worldwide net sales, excluding those in China.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aggregate Revenue Interest Payments made to Oberland as of December 31, 2029 (Test Date) equal or exceed the Cumulative Purchaser Payments ($300.0 million) as of that date, the initially tiered revenue interest rate will be decreased to a single rate of 2.25% (before the funding of the Second Payment, 1.50%) of the company’s worldwide net sales, excluding those in China. If the aggregate Revenue Interest Payments made to Oberland as of the Test Date are less than the aggregate amount of Cumulative Purchaser Payments as of the Test Date, then following the Test Date the initially tiered revenue interest rate will increase to a rate that, had such increased rate applied during the period from December 29, 2023 through December 31, 2029, it would have resulted in Oberland receiving aggregate Revenue Interest Payments (excluding certain payments detailed in the RIPA) equal to the Cumulative Purchaser Payments as of the Test Date. In addition, if aggregate Revenue Interest Payments made to Oberland as of the Test Date are less than the aggregate amount of Cumulative Purchaser Payments as of the Test Date, then the company must make the True-Up Payment.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Oberland’s rights to receive Revenue Interest Payments under the RIPA shall terminate when Oberland has received payments (including any True-Up Payment) equal to 195.0% of the then Cumulative Purchaser Payments unless the RIPA is terminated prior to such date (subject to certain Call/Put Option scenarios as described below). If Oberland has not received total payments (including any True-Up Payment) equal to 195.0% of the then Cumulative Purchaser Payments on or before the twelfth anniversary of the RIPA, then the company shall be obligated to pay to Oberland an amount equal to 195.0% of the then Cumulative Purchaser Payments less the aggregate payments (including any True-Up Payments) made as of such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RIPA are guaranteed by certain of its subsidiaries meeting materiality thresholds set forth in the RIPA. To secure the company’s obligations under the RIPA and the subsidiary guarantors’ obligations under the guarantees, each of the company and the subsidiary guarantors has granted a security interest in substantially all its assets, subject to certain exceptions and limitations.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RIPA contains affirmative and negative covenants and events of default, including covenants and restrictions that, among other things, restrict our ability to incur additional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As of December 31, 2025, the company was in compliance with all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22885"/>
                <wp:effectExtent l="0" t="0" r="0" b="0"/>
                <wp:wrapNone/>
                <wp:docPr id="224" name="Frame2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RIPA is considered a sale of future revenues and is accounted for as long-term debt recorded at amortized cost using the effective interest rate method.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10, 2024, the company entered into an amendment to the RIPA to add additional conditions to the payment of certain existing indebtedness. Such amendment did not have an impact on the valuation or financial statement classification of the revenue interest liability or the embedded derivative liabilities related to the RIPA.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recorded $51.5 million, $39.7 million and $0.3 million of interest expense, respectively, related to this arrangement.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 interest liability activity during the years ended December 31, 2025 and 2024 (in thousands):</w:t>
      </w:r>
    </w:p>
    <w:tbl>
      <w:tblPr>
        <w:tblW w:w="7000" w:type="dxa"/>
        <w:jc w:val="left"/>
        <w:tblInd w:w="0" w:type="dxa"/>
        <w:tblLayout w:type="fixed"/>
        <w:tblCellMar>
          <w:top w:w="28" w:type="dxa"/>
          <w:left w:w="28" w:type="dxa"/>
          <w:bottom w:w="28" w:type="dxa"/>
          <w:right w:w="28" w:type="dxa"/>
        </w:tblCellMar>
      </w:tblPr>
      <w:tblGrid>
        <w:gridCol w:w="2063"/>
        <w:gridCol w:w="1812"/>
        <w:gridCol w:w="1825"/>
        <w:gridCol w:w="211"/>
        <w:gridCol w:w="826"/>
        <w:gridCol w:w="109"/>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liability,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Second Payment, net of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derivative liability related to Second Payment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payment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liability, at December 31, 2024</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payment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revenue interest payment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liability, at December 31, 2025</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324,615 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Embedded Derivative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RIPA, the company has a Call Option to terminate the RIPA and repurchase the Revenue Interests at any time upon advance written notice, subject to certain limitations set forth in the RIPA. Additionally, Oberland has a Put Option enabling them to terminate the RIPA and to require the company to repurchase the Revenue Interests upon enumerated events, such as a bankruptcy event, failure to make a payment, an uncured material breach, default in certain third-party agreements, a breach or default under any subordination agreements with respect to indebtedness to existing stockholders, or subordinated notes during certain time periods, judgments in excess of certain amounts against the company, a material adverse effect, the loss of regulatory approval of our product candidates or a change of control.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required purchase price with respect to the Call Option and/or Put Option, as applicable, shall be (a) 120.0% of the Cumulative Purchaser Payments as of such date, if Oberland exercises the Put Option (other than in connection with a change of control) on or prior to the first anniversary the Closing Date, (b) 135.0% of the Cumulative Purchaser Payments as of such date, if the Put Option or the Call Option is exercised in connection with a change of control on or prior to the date that is eighteen (18) months after the Closing Date, and (c) in all other cases, (i) 175.0% of the Cumulative Purchaser Payments as of such date, if the Put Option or the Call Option is exercised no later than the date that is thirty six (36) months after the Closing Date, and (ii) 195.0% of the Cumulative Purchaser Payments as of such date, if the Put Option or the Call Option is exercised later than the date that is thirty six (36) months after the Closing Date, minus, in each case, the total payments made to Oberland on or prior to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22885"/>
                <wp:effectExtent l="0" t="0" r="0" b="0"/>
                <wp:wrapNone/>
                <wp:docPr id="225" name="Frame2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aforementioned Call and Put Options are considered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is the fair value of the derivative liability.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company recorded $34.5 million for the initial fair value of the derivative liability upon the closing of the initial $200.0 million Revenue Interests acquired by Oberland. The company recorded an incremental $6.2 million for the fair value of the derivative liability upon the closing of the additional $100.0 million Revenue Interests acquired by Oberland in May 2024. The initial and incremental fair value allocated to the derivative liability is recorded against the RIPA as a debt discount, which is being amortized in </w:t>
      </w: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on the consolidated statement of operations over the expected term of the debt using the effective interest method. Such embedded derivative is classified in </w:t>
      </w:r>
      <w:r>
        <w:rPr>
          <w:rFonts w:ascii="Times New Roman;serif" w:hAnsi="Times New Roman;serif"/>
          <w:b w:val="false"/>
          <w:i/>
          <w:color w:val="000000"/>
          <w:sz w:val="20"/>
        </w:rPr>
        <w:t>derivative liabilities,</w:t>
      </w:r>
      <w:r>
        <w:rPr>
          <w:color w:val="000000"/>
        </w:rPr>
        <w:t xml:space="preserve"> </w:t>
      </w:r>
      <w:r>
        <w:rPr>
          <w:rFonts w:ascii="Times New Roman;serif" w:hAnsi="Times New Roman;serif"/>
          <w:b w:val="false"/>
          <w:color w:val="000000"/>
          <w:sz w:val="20"/>
        </w:rPr>
        <w:t>on the consolidated balance sheet. The embedded derivative is subsequently remeasured at fair value each reporting period using a Monte Carlo Simulation valuation technique, with the change in fair value being recorded in</w:t>
      </w:r>
      <w:r>
        <w:rPr>
          <w:color w:val="000000"/>
        </w:rPr>
        <w:t xml:space="preserve"> </w:t>
      </w:r>
      <w:r>
        <w:rPr>
          <w:rFonts w:ascii="Times New Roman;serif" w:hAnsi="Times New Roman;serif"/>
          <w:b w:val="false"/>
          <w:i/>
          <w:color w:val="000000"/>
          <w:sz w:val="20"/>
        </w:rPr>
        <w:t>change in fair value of derivative liabilities</w:t>
      </w:r>
      <w:r>
        <w:rPr>
          <w:rFonts w:ascii="Times New Roman;serif" w:hAnsi="Times New Roman;serif"/>
          <w:b w:val="false"/>
          <w:color w:val="000000"/>
          <w:sz w:val="20"/>
        </w:rPr>
        <w:t xml:space="preserve">, on the consolidated statement of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probability and timing of underlying events triggering the exercisability of the Put Option contained in the RIPA, forecasted cash flows and the discount rate are significant unobservable inputs used to determine the estimated fair value of the entire instrument with the embedded derivative. As of December 31, 2025 and 2024, the discount rate used for valuation of the derivative liability was 11.7% and 10.4%,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derivative liability is as follows (in thousands):</w:t>
      </w:r>
    </w:p>
    <w:tbl>
      <w:tblPr>
        <w:tblW w:w="6785" w:type="dxa"/>
        <w:jc w:val="left"/>
        <w:tblInd w:w="0" w:type="dxa"/>
        <w:tblLayout w:type="fixed"/>
        <w:tblCellMar>
          <w:top w:w="28" w:type="dxa"/>
          <w:left w:w="28" w:type="dxa"/>
          <w:bottom w:w="28" w:type="dxa"/>
          <w:right w:w="28" w:type="dxa"/>
        </w:tblCellMar>
      </w:tblPr>
      <w:tblGrid>
        <w:gridCol w:w="2063"/>
        <w:gridCol w:w="1812"/>
        <w:gridCol w:w="1824"/>
        <w:gridCol w:w="211"/>
        <w:gridCol w:w="721"/>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derivative liability related to Second Payment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2024</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 Purchase and Option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RIPA, we entered into a SPOA with Oberland pursuant to which we sold an aggregate of approximately $10.0 million of our common stock at $4.1103 per share in a private placement. Oberland also had an option to purchase up to an additional $10.0 million of our common stock, at a price per share to be determined by reference to the 30-day trailing volume weighted-average price of our common stock calculated from the date of exercise.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stock purchase option was classified as a liability estimated at fair value at issuance. The initial $200.0 million received pursuant to the RIPA and $10.0 million received pursuant to the SPOA were allocated among the resulting financial instruments on a relative fair value basis, with $197.1 million allocated to the debt under the RIPA, $12.0 million allocated to the common stock issued under the SPOA, and $0.8 million allocated to the stock purchase option as of December 31, 2023.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April 2024, Oberland exercised part of their option and purchased 858,990 shares of our common stock at an exercise price of $5.8208 per share generating net proceeds of approximately $4.9 million. In relation to this transaction, we recorded $7.6 million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on the statement of stockholders’ deficit during the year ended December 31, 2024. Following such exercise, approximately $5.0 million remains available for future exercise under the SPOA as of December 31, 2025. This option expires on December 29, 2028.</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This stock purchase option is classified in</w:t>
      </w:r>
      <w:r>
        <w:rPr>
          <w:color w:val="000000"/>
        </w:rPr>
        <w:t xml:space="preserve"> </w:t>
      </w:r>
      <w:r>
        <w:rPr>
          <w:rFonts w:ascii="Times New Roman;serif" w:hAnsi="Times New Roman;serif"/>
          <w:b w:val="false"/>
          <w:i/>
          <w:color w:val="000000"/>
          <w:sz w:val="20"/>
        </w:rPr>
        <w:t>derivative liabilities</w:t>
      </w:r>
      <w:r>
        <w:rPr>
          <w:rFonts w:ascii="Times New Roman;serif" w:hAnsi="Times New Roman;serif"/>
          <w:b w:val="false"/>
          <w:color w:val="000000"/>
          <w:sz w:val="20"/>
        </w:rPr>
        <w:t>, on the consolidated balance sheet at its fair value and is subsequently remeasured at fair value each reporting period, with the change in fair value being recorded in</w:t>
      </w:r>
      <w:r>
        <w:rPr>
          <w:color w:val="000000"/>
        </w:rPr>
        <w:t xml:space="preserve"> </w:t>
      </w:r>
      <w:r>
        <w:rPr>
          <w:rFonts w:ascii="Times New Roman;serif" w:hAnsi="Times New Roman;serif"/>
          <w:b w:val="false"/>
          <w:i/>
          <w:color w:val="000000"/>
          <w:sz w:val="20"/>
        </w:rPr>
        <w:t>change in fair value of derivative liabilities</w:t>
      </w:r>
      <w:r>
        <w:rPr>
          <w:rFonts w:ascii="Times New Roman;serif" w:hAnsi="Times New Roman;serif"/>
          <w:b w:val="false"/>
          <w:color w:val="000000"/>
          <w:sz w:val="20"/>
        </w:rPr>
        <w:t xml:space="preserve">, on the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22885"/>
                <wp:effectExtent l="0" t="0" r="0" b="0"/>
                <wp:wrapNone/>
                <wp:docPr id="226" name="Frame2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207</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stock option purchase liability was computed using a Monte Carlo Simulation valuation technique that used the calculated exercise price and discounted it back to a present value at the risk-free rate with the following unobservable input at the following dates:</w:t>
      </w:r>
    </w:p>
    <w:tbl>
      <w:tblPr>
        <w:tblW w:w="3982" w:type="dxa"/>
        <w:jc w:val="left"/>
        <w:tblInd w:w="0" w:type="dxa"/>
        <w:tblLayout w:type="fixed"/>
        <w:tblCellMar>
          <w:top w:w="28" w:type="dxa"/>
          <w:left w:w="28" w:type="dxa"/>
          <w:bottom w:w="28" w:type="dxa"/>
          <w:right w:w="28" w:type="dxa"/>
        </w:tblCellMar>
      </w:tblPr>
      <w:tblGrid>
        <w:gridCol w:w="614"/>
        <w:gridCol w:w="539"/>
        <w:gridCol w:w="541"/>
        <w:gridCol w:w="308"/>
        <w:gridCol w:w="308"/>
        <w:gridCol w:w="313"/>
        <w:gridCol w:w="126"/>
        <w:gridCol w:w="126"/>
        <w:gridCol w:w="126"/>
        <w:gridCol w:w="308"/>
        <w:gridCol w:w="308"/>
        <w:gridCol w:w="365"/>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stock option purchase liability is as follows (in thousands):</w:t>
      </w:r>
    </w:p>
    <w:tbl>
      <w:tblPr>
        <w:tblW w:w="3634" w:type="dxa"/>
        <w:jc w:val="left"/>
        <w:tblInd w:w="0" w:type="dxa"/>
        <w:tblLayout w:type="fixed"/>
        <w:tblCellMar>
          <w:top w:w="28" w:type="dxa"/>
          <w:left w:w="28" w:type="dxa"/>
          <w:bottom w:w="28" w:type="dxa"/>
          <w:right w:w="28" w:type="dxa"/>
        </w:tblCellMar>
      </w:tblPr>
      <w:tblGrid>
        <w:gridCol w:w="1010"/>
        <w:gridCol w:w="887"/>
        <w:gridCol w:w="893"/>
        <w:gridCol w:w="215"/>
        <w:gridCol w:w="475"/>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2023</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2024</w:t>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14.    Related-Party Debt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related-party debt is summarized below (in thousands):</w:t>
      </w:r>
    </w:p>
    <w:tbl>
      <w:tblPr>
        <w:tblW w:w="9063" w:type="dxa"/>
        <w:jc w:val="left"/>
        <w:tblInd w:w="0" w:type="dxa"/>
        <w:tblLayout w:type="fixed"/>
        <w:tblCellMar>
          <w:top w:w="28" w:type="dxa"/>
          <w:left w:w="28" w:type="dxa"/>
          <w:bottom w:w="28" w:type="dxa"/>
          <w:right w:w="28" w:type="dxa"/>
        </w:tblCellMar>
      </w:tblPr>
      <w:tblGrid>
        <w:gridCol w:w="1259"/>
        <w:gridCol w:w="1109"/>
        <w:gridCol w:w="1112"/>
        <w:gridCol w:w="255"/>
        <w:gridCol w:w="255"/>
        <w:gridCol w:w="256"/>
        <w:gridCol w:w="109"/>
        <w:gridCol w:w="109"/>
        <w:gridCol w:w="109"/>
        <w:gridCol w:w="220"/>
        <w:gridCol w:w="220"/>
        <w:gridCol w:w="221"/>
        <w:gridCol w:w="109"/>
        <w:gridCol w:w="109"/>
        <w:gridCol w:w="109"/>
        <w:gridCol w:w="196"/>
        <w:gridCol w:w="736"/>
        <w:gridCol w:w="109"/>
        <w:gridCol w:w="109"/>
        <w:gridCol w:w="109"/>
        <w:gridCol w:w="109"/>
        <w:gridCol w:w="196"/>
        <w:gridCol w:w="736"/>
        <w:gridCol w:w="109"/>
        <w:gridCol w:w="109"/>
        <w:gridCol w:w="109"/>
        <w:gridCol w:w="109"/>
        <w:gridCol w:w="224"/>
        <w:gridCol w:w="224"/>
        <w:gridCol w:w="318"/>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27"/>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Balance as of December 31, 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Leveling</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Related-Party Convertible Note at Fair Value:</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$505 million December 2024 Promissory Note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Term</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SOFR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477,093 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tbl>
      <w:tblPr>
        <w:tblW w:w="9063" w:type="dxa"/>
        <w:jc w:val="left"/>
        <w:tblInd w:w="0" w:type="dxa"/>
        <w:tblLayout w:type="fixed"/>
        <w:tblCellMar>
          <w:top w:w="28" w:type="dxa"/>
          <w:left w:w="28" w:type="dxa"/>
          <w:bottom w:w="28" w:type="dxa"/>
          <w:right w:w="28" w:type="dxa"/>
        </w:tblCellMar>
      </w:tblPr>
      <w:tblGrid>
        <w:gridCol w:w="1259"/>
        <w:gridCol w:w="1109"/>
        <w:gridCol w:w="1112"/>
        <w:gridCol w:w="255"/>
        <w:gridCol w:w="255"/>
        <w:gridCol w:w="256"/>
        <w:gridCol w:w="109"/>
        <w:gridCol w:w="109"/>
        <w:gridCol w:w="109"/>
        <w:gridCol w:w="220"/>
        <w:gridCol w:w="220"/>
        <w:gridCol w:w="221"/>
        <w:gridCol w:w="109"/>
        <w:gridCol w:w="109"/>
        <w:gridCol w:w="109"/>
        <w:gridCol w:w="196"/>
        <w:gridCol w:w="736"/>
        <w:gridCol w:w="109"/>
        <w:gridCol w:w="109"/>
        <w:gridCol w:w="109"/>
        <w:gridCol w:w="109"/>
        <w:gridCol w:w="196"/>
        <w:gridCol w:w="736"/>
        <w:gridCol w:w="109"/>
        <w:gridCol w:w="109"/>
        <w:gridCol w:w="109"/>
        <w:gridCol w:w="109"/>
        <w:gridCol w:w="224"/>
        <w:gridCol w:w="224"/>
        <w:gridCol w:w="318"/>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27"/>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Balances as of December 31, 2024</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Leveling</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Related-Party Convertible Note at Fair Value:</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$505 million December 2024 Promissory Note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Term</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SOFR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461,877 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22885"/>
                <wp:effectExtent l="0" t="0" r="0" b="0"/>
                <wp:wrapNone/>
                <wp:docPr id="227" name="Frame2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208</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pPr>
      <w:r>
        <w:rPr>
          <w:rFonts w:ascii="Times New Roman;serif" w:hAnsi="Times New Roman;serif"/>
          <w:b/>
          <w:i/>
          <w:color w:val="000000"/>
          <w:sz w:val="20"/>
        </w:rPr>
        <w:t xml:space="preserve">$505 million December 2024 Promissory Note </w:t>
      </w:r>
      <w:r>
        <w:rPr>
          <w:rFonts w:ascii="Times New Roman;serif" w:hAnsi="Times New Roman;serif"/>
          <w:b/>
          <w:i/>
          <w:color w:val="000000"/>
          <w:sz w:val="16"/>
        </w:rPr>
        <w:t>(4)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10, 2024 in connection with an equity offering, the company and Nant Capital entered into a second amended and restated promissory note. Pursuant to the terms of the second amended and restated promissory note, Tranche 1 of the December 2023 Promissory Note with a principal amount of $125.0 million and Tranche 2 of the December 2023 Promissory Note with a principal amount of $380.0 million were combined into one convertible promissory note with a principal amount of $505.0 million with a maturity date of December 31, 2027. The $505 million December 2024 Promissory Note bears an interest rate of Term SOFR plus 8.0% per annum, payable on a quarterly basis. Pursuant to the terms of the second amended and restated promissory note, the noteholder, in its sole discretion, may convert all of the outstanding principal amount into shares of common stock at a conversion price of $5.4270 per share. The company may prepay the outstanding promissory note, at any time, in whole or in part, without penalty. Upon receipt of a written notice of prepayment from the company, the noteholder has the option to convert the outstanding principal amount to be prepaid and the accrued and unpaid interest thereon into shares of the company’s common stock at the same conversion price of $5.4270 per share. In addition, the noteholder can request up to $50.0 million of the outstanding principal amount and accrued interest to be repaid upon consummation of a specified transaction.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On January 23, 2026, the company entered into an amendment to the $505 million December 2024 Promissory Note, to grant the holder the right to convert any portion of the outstanding principal amount into shares of the company’s common stock at any time prior to the maturity date. See </w:t>
      </w:r>
      <w:hyperlink w:anchor="i3e2e5ed48f1e44e48efd06ef3df89bf3_5514">
        <w:r>
          <w:rPr>
            <w:rStyle w:val="InternetLink"/>
            <w:rFonts w:ascii="Times New Roman;serif" w:hAnsi="Times New Roman;serif"/>
            <w:b w:val="false"/>
            <w:color w:val="0000FF"/>
            <w:sz w:val="20"/>
            <w:u w:val="single"/>
          </w:rPr>
          <w:t>Note 23</w:t>
        </w:r>
      </w:hyperlink>
      <w:r>
        <w:rPr>
          <w:color w:val="000000"/>
        </w:rPr>
        <w:t xml:space="preserve"> “</w:t>
      </w:r>
      <w:r>
        <w:rPr>
          <w:rFonts w:ascii="Times New Roman;serif" w:hAnsi="Times New Roman;serif"/>
          <w:b w:val="false"/>
          <w:i/>
          <w:color w:val="000000"/>
          <w:sz w:val="20"/>
        </w:rPr>
        <w:t>Subsequent Events—Amendment to the Second Amended and Restated Promissory Note”</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RIPA transaction, the outstanding related party convertible note was subordinated to the RIPA payment obligations.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Mandatory Prepayment Feature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embedded derivative related to a contingently exercisable prepayment feature, which allows the noteholder to request up to a $50.0 million prepayment and accrued interest upon occurrence of a specified transaction (defined in the promissory note) was recorded as a derivative liability on the consolidated balance sheet and measured at fair value prior to the second amended and restated promissory note. The fair value of the derivative liability was determined at each period end using the with-and-without method, which assessed the likelihood and timing of a specified transaction that if triggered could have resulted in a repayment. Changes in the fair value of the derivative liability were reported in </w:t>
      </w:r>
      <w:r>
        <w:rPr>
          <w:rFonts w:ascii="Times New Roman;serif" w:hAnsi="Times New Roman;serif"/>
          <w:b w:val="false"/>
          <w:i/>
          <w:color w:val="000000"/>
          <w:sz w:val="20"/>
        </w:rPr>
        <w:t>change in fair value of derivative liabilities</w:t>
      </w:r>
      <w:r>
        <w:rPr>
          <w:rFonts w:ascii="Times New Roman;serif" w:hAnsi="Times New Roman;serif"/>
          <w:b w:val="false"/>
          <w:color w:val="000000"/>
          <w:sz w:val="20"/>
        </w:rPr>
        <w:t xml:space="preserve">, on the consolidated statement of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company elected the fair value option to account for the $505 million December 2024 Promissory Note, the embedded derivative is no longer required to be recorded separately but is considered when estimating the fair value of the $505 million December 2024 Promissory Note. The change in fair value of the contingently exercisable prepayment feature embedded derivative through December 10, 2024, the date of the $505 million December 2024 Promissory Note amendment, was $0.8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 xml:space="preserve">$300 million December 2021 Promissory Note </w:t>
      </w:r>
      <w:r>
        <w:rPr>
          <w:rFonts w:ascii="Times New Roman;serif" w:hAnsi="Times New Roman;serif"/>
          <w:b/>
          <w:i/>
          <w:color w:val="000000"/>
          <w:sz w:val="16"/>
        </w:rPr>
        <w:t>(1), (2), (3)</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On December 17, 2021, the company executed a $300.0 million promissory note with N</w:t>
      </w:r>
      <w:r>
        <w:rPr>
          <w:rFonts w:ascii="Times New Roman;serif" w:hAnsi="Times New Roman;serif"/>
          <w:b w:val="false"/>
          <w:color w:val="000000"/>
          <w:sz w:val="20"/>
          <w:shd w:fill="FFFFFF" w:val="clear"/>
        </w:rPr>
        <w:t>ant Capital, an af</w:t>
      </w:r>
      <w:r>
        <w:rPr>
          <w:rFonts w:ascii="Times New Roman;serif" w:hAnsi="Times New Roman;serif"/>
          <w:b w:val="false"/>
          <w:color w:val="000000"/>
          <w:sz w:val="20"/>
        </w:rPr>
        <w:t xml:space="preserve">filiated entity under common control of our Founder, Executive Chairman and Global Chief Scientific and Medical Officer. The note bore an interest rate of Term SOFR plus 5.4% per annum, payable on a quarterly basis. The outstanding principal amount and any accrued and unpaid interest on advances were due on December 17, 2022. In the event of a default on the loan (as defined in both the original and amended and restated promissory notes), including if the company does not repay the loan at maturity, the company had the right, at its sole option, to convert the outstanding principal amount and accrued and unpaid interest due under this note into shares of the company’s common stock at a price of $5.67 per share.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31, 2022, the company and Nant Capital entered into an amended and restated promissory note, pursuant to which the maturity date of the promissory note was extended to December 31, 2023 and the interest rate was amended to Term SOFR plus 8.0% per annum.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22885"/>
                <wp:effectExtent l="0" t="0" r="0" b="0"/>
                <wp:wrapNone/>
                <wp:docPr id="228" name="Frame2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and Nant Capital entered into a letter amendment pursuant to which the maturity date of the promissory note was further extended to December 31,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in connection with the RIPA, the company and Nant Capital entered into an amended and restated promissory note pursuant to which this existing promissory note was amended to be included in the Tranche 2 principal amount of the amended $505 million December 2023 promissory note, with a maturity date of December 31, 2025, and an interest rate of Term SOFR plus 7.5% per annum. Based on the terms of the amended and restated promissory note, the noteholder, at its sole discretion, could convert all of the Tranche 2 $380.0 million principal amount into shares of common stock at a conversion price of $8.2690 per share. </w:t>
      </w:r>
    </w:p>
    <w:p>
      <w:pPr>
        <w:pStyle w:val="TextBody"/>
        <w:bidi w:val="0"/>
        <w:spacing w:lineRule="auto" w:line="288" w:before="240" w:after="283"/>
        <w:jc w:val="left"/>
        <w:rPr/>
      </w:pPr>
      <w:r>
        <w:rPr>
          <w:rFonts w:ascii="Times New Roman;serif" w:hAnsi="Times New Roman;serif"/>
          <w:b/>
          <w:i/>
          <w:color w:val="000000"/>
          <w:sz w:val="20"/>
        </w:rPr>
        <w:t xml:space="preserve">$125 million August 2022 Promissory Note </w:t>
      </w:r>
      <w:r>
        <w:rPr>
          <w:rFonts w:ascii="Times New Roman;serif" w:hAnsi="Times New Roman;serif"/>
          <w:b/>
          <w:i/>
          <w:color w:val="000000"/>
          <w:sz w:val="16"/>
        </w:rPr>
        <w:t>(1), (2), (3)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31, 2022, the company executed a $125.0 million promissory note with Nant Capital. The note bears an interest rate of Term SOFR plus 8.0% per annum, payable on a quarterly basis. The company may prepay the outstanding promissory note, at any time, in whole or in part, without penalty.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and Nant Capital entered into a letter amendment pursuant to which the maturity date of the promissory note was extended to December 31,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in connection with the RIPA, the company and Nant Capital entered into an amended and restated promissory note letter agreement pursuant to which the existing promissory note was amended to be included in the Tranche 1 principal amount of the amended $505 million December 2023 promissory note, with a maturity date of December 31, 2025 and an interest rate of Term SOFR plus 8.0% per annum. </w:t>
      </w:r>
    </w:p>
    <w:p>
      <w:pPr>
        <w:pStyle w:val="TextBody"/>
        <w:bidi w:val="0"/>
        <w:spacing w:lineRule="auto" w:line="288" w:before="240" w:after="283"/>
        <w:jc w:val="left"/>
        <w:rPr/>
      </w:pPr>
      <w:r>
        <w:rPr>
          <w:rFonts w:ascii="Times New Roman;serif" w:hAnsi="Times New Roman;serif"/>
          <w:b/>
          <w:i/>
          <w:color w:val="000000"/>
          <w:sz w:val="20"/>
        </w:rPr>
        <w:t xml:space="preserve">$50 million December 2022 Promissory Note </w:t>
      </w:r>
      <w:r>
        <w:rPr>
          <w:rFonts w:ascii="Times New Roman;serif" w:hAnsi="Times New Roman;serif"/>
          <w:b/>
          <w:i/>
          <w:color w:val="000000"/>
          <w:sz w:val="16"/>
        </w:rPr>
        <w:t>(2), (3)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12, 2022, the company executed a $50.0 million promissory note with Nant Capital. The note bore an interest rate of Term SOFR plus 8.0% per annum, payable on a quarterly basis. The company could prepay the outstanding promissory note, at any time, in whole or in part, without penalty. In the event of a specified transaction (as defined in the note), the noteholder could request the outstanding principal and interest due on the loan to be repaid in full upon consummation of such specified transaction.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and Nant Capital entered into a letter amendment pursuant to which the maturity date of the promissory note was further extended to December 31,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29, 2023 in connection with the RIPA, the company and Nant Capital entered into an amended and restated promissory note pursuant to which the existing promissory note was amended to be included in the Tranche 2 principal amount of the amended $505 million December 2023 promissory note, with a maturity date of December 31, 2025, and an interest rate of Term SOFR plus 7.5% per annum. Pursuant to the terms of the amended and restated promissory note, the investor, in its sole discretion, could convert all of the outstanding Tranche 2 principal amount into shares of common stock at a conversion price of $8.2690 per share. The noteholder could request up to $50.0 million of the Tranche 2 principal amount and accrued interest to be repaid upon consummation of such specified transaction.</w:t>
      </w:r>
    </w:p>
    <w:p>
      <w:pPr>
        <w:pStyle w:val="TextBody"/>
        <w:bidi w:val="0"/>
        <w:spacing w:lineRule="auto" w:line="288" w:before="240" w:after="283"/>
        <w:jc w:val="left"/>
        <w:rPr/>
      </w:pPr>
      <w:r>
        <w:rPr>
          <w:rFonts w:ascii="Times New Roman;serif" w:hAnsi="Times New Roman;serif"/>
          <w:b/>
          <w:i/>
          <w:color w:val="000000"/>
          <w:sz w:val="20"/>
        </w:rPr>
        <w:t xml:space="preserve">$30 million March 2023 Promissory Note </w:t>
      </w:r>
      <w:r>
        <w:rPr>
          <w:rFonts w:ascii="Times New Roman;serif" w:hAnsi="Times New Roman;serif"/>
          <w:b/>
          <w:i/>
          <w:color w:val="000000"/>
          <w:sz w:val="16"/>
        </w:rPr>
        <w:t>(2), (4)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2023, the company executed a $30.0 million promissory note with Nant Capital. This note bore interest at Term SOFR plus 8.0% per annum, payable on a quarterly basis. The outstanding principal amount and any accrued and unpaid interest was originally due on December 31, 2023. The company may prepay the outstanding promissory note, at any time, in whole or in part, without penalty. Upon receipt of a written notice of prepayment from the company, the noteholder could choose to convert the outstanding principal amount to be prepaid and the accrued and unpaid interest thereon into shares of the company’s common stock at a price of $2.28 per share. Additionally, the noteholder could at its option convert the entire outstanding principal amount of the promissory note and accrued interest into shares of the company’s common stock at a conversion price of $2.28 per share, at the option of the noteholder.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22885"/>
                <wp:effectExtent l="0" t="0" r="0" b="0"/>
                <wp:wrapNone/>
                <wp:docPr id="229" name="Frame2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net proceeds of approximately $29.9 million from this financing, net of a $0.1 million origination fee paid to the noteholder.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and Nant Capital entered into a letter agreement pursuant to which the maturity date of the $30.0 million promissory note described above was extended from December 31, 2023 to December 31,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in connection with the RIPA, the company and Nant Capital entered into a letter agreement pursuant to which the maturity date of this promissory note was extended to December 31, 2025.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On December 10, 2024 in connection with an equity offering, the company received a written notice from Nant Capital, the holder of the $30.0 million promissory note due December 31, 2025, of its election to convert the entire outstanding principal and accrued interest under the existing note into shares of the company’s common stock. As of such date, the total outstanding principal amount and accrued and unpaid interest due under the existing note were converted into shares of the company’s common stock. See </w:t>
      </w:r>
      <w:hyperlink w:anchor="i49f82bc2aa33405eae1e0b45f37d1ae6_298">
        <w:r>
          <w:rPr>
            <w:rStyle w:val="InternetLink"/>
            <w:rFonts w:ascii="Times New Roman;serif" w:hAnsi="Times New Roman;serif"/>
            <w:b w:val="false"/>
            <w:color w:val="0000FF"/>
            <w:sz w:val="20"/>
            <w:u w:val="single"/>
          </w:rPr>
          <w:t>Note 17</w:t>
        </w:r>
      </w:hyperlink>
      <w:r>
        <w:rPr>
          <w:color w:val="000000"/>
        </w:rPr>
        <w:t xml:space="preserve"> “</w:t>
      </w:r>
      <w:r>
        <w:rPr>
          <w:rFonts w:ascii="Times New Roman;serif" w:hAnsi="Times New Roman;serif"/>
          <w:b w:val="false"/>
          <w:i/>
          <w:color w:val="000000"/>
          <w:sz w:val="20"/>
        </w:rPr>
        <w:t>Stockholders’ Deficit”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jc w:val="left"/>
        <w:rPr/>
      </w:pPr>
      <w:r>
        <w:rPr>
          <w:rFonts w:ascii="Times New Roman;serif" w:hAnsi="Times New Roman;serif"/>
          <w:b/>
          <w:i/>
          <w:color w:val="000000"/>
          <w:sz w:val="20"/>
        </w:rPr>
        <w:t xml:space="preserve">$30 million June 2023 Promissory Note </w:t>
      </w:r>
      <w:r>
        <w:rPr>
          <w:rFonts w:ascii="Times New Roman;serif" w:hAnsi="Times New Roman;serif"/>
          <w:b/>
          <w:i/>
          <w:color w:val="000000"/>
          <w:sz w:val="16"/>
        </w:rPr>
        <w:t>(2), (3)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13, 2023, the company executed a $30.0 million promissory note with Nant Capital, pursuant to which, the company could request up to three (3) advances of $10.0 million each. The principal amount of each advance bore interest rate at Term SOFR plus 8.0% per annum, payable on a quarterly basis. The outstanding principal amount and any accrued and unpaid interest on advances was originally due on December 31, 2023. We could prepay the outstanding principal amount, together with any accrued interest, on any then-outstanding advances, at any time, in whole or in part, without premium or penalty, and without the prior consent of the noteholder upon five (5) days written notice to the noteholder.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received net proceeds of approximately $29.9 million from this promissory note, net of a $0.1 million origination fee paid to Nant Capital.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and Nant Capital entered into a letter amendment pursuant to which the maturity date of the promissory note was further extended to December 31,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in connection with the RIPA, the company and Nant Capital entered into an amended and restated promissory note pursuant to which the existing promissory note was amended to be included in the Tranche 2 principal amount of the amended $505 million December 2023 promissory note, with a maturity date of December 31, 2025, and an interest rate of Term SOFR plus 7.5% per annum. Pursuant to the terms of the amended and restated promissory note the investor, in its sole discretion, could convert all of the Tranche 2 $380.0 million principal amount into shares of common stock at a conversion price of $8.2690 per share. </w:t>
      </w:r>
    </w:p>
    <w:p>
      <w:pPr>
        <w:pStyle w:val="TextBody"/>
        <w:bidi w:val="0"/>
        <w:spacing w:lineRule="auto" w:line="288" w:before="240" w:after="283"/>
        <w:jc w:val="left"/>
        <w:rPr/>
      </w:pPr>
      <w:r>
        <w:rPr>
          <w:rFonts w:ascii="Times New Roman;serif" w:hAnsi="Times New Roman;serif"/>
          <w:b/>
          <w:i/>
          <w:color w:val="000000"/>
          <w:sz w:val="20"/>
        </w:rPr>
        <w:t>$200 million September 2023 Promissory Note</w:t>
      </w:r>
      <w:r>
        <w:rPr>
          <w:color w:val="000000"/>
        </w:rPr>
        <w:t xml:space="preserve"> </w:t>
      </w:r>
      <w:r>
        <w:rPr>
          <w:rFonts w:ascii="Times New Roman;serif" w:hAnsi="Times New Roman;serif"/>
          <w:b/>
          <w:i/>
          <w:color w:val="000000"/>
          <w:sz w:val="16"/>
        </w:rPr>
        <w:t>(2), (4)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executed a $200.0 million convertible promissory note with Nant Capital. The note bore interest at Term SOFR plus 8.0% per annum, payable on a monthly basis. The outstanding principal amount and any accrued and unpaid interest were due on September 11, 2026. We could prepay the outstanding principal amount, together with any accrued interest, at any time, in whole or in part, without premium or penalty upon five (5) days’ written notice to the noteholder. The noteholder had the sole option to convert all (but not less than all) of the outstanding principal amount and accrued but unpaid interest into shares of the company’s common stock at a conversion price of $1.9350 per share. The company received net proceeds of approximately $199.0 million from this financing, net of a $1.0 million origination fee paid to the noteholder.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On December 10, 2024 in connection with an equity offering, the company received a written notice from Nant Capital, the holder of the $200.0 million promissory note due September 11, 2026 of its election to convert the entire outstanding principal and accrued interest due under the existing note into shares of the company’s common stock. As of such date, the total outstanding principal amount and accrued and unpaid interest due under the note were converted into shares of the company’s common stock. See </w:t>
      </w:r>
      <w:hyperlink w:anchor="i49f82bc2aa33405eae1e0b45f37d1ae6_298">
        <w:r>
          <w:rPr>
            <w:rStyle w:val="InternetLink"/>
            <w:rFonts w:ascii="Times New Roman;serif" w:hAnsi="Times New Roman;serif"/>
            <w:b w:val="false"/>
            <w:color w:val="0000FF"/>
            <w:sz w:val="20"/>
            <w:u w:val="single"/>
          </w:rPr>
          <w:t>Note 17</w:t>
        </w:r>
      </w:hyperlink>
      <w:r>
        <w:rPr>
          <w:color w:val="000000"/>
        </w:rPr>
        <w:t xml:space="preserve"> “</w:t>
      </w:r>
      <w:r>
        <w:rPr>
          <w:rFonts w:ascii="Times New Roman;serif" w:hAnsi="Times New Roman;serif"/>
          <w:b w:val="false"/>
          <w:i/>
          <w:color w:val="000000"/>
          <w:sz w:val="20"/>
        </w:rPr>
        <w:t>Stockholders’ Deficit”</w:t>
      </w:r>
      <w:r>
        <w:rPr>
          <w:color w:val="000000"/>
        </w:rPr>
        <w:t xml:space="preserve"> </w:t>
      </w:r>
      <w:r>
        <w:rPr>
          <w:rFonts w:ascii="Times New Roman;serif" w:hAnsi="Times New Roman;serif"/>
          <w:b w:val="false"/>
          <w:color w:val="000000"/>
          <w:sz w:val="20"/>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22885"/>
                <wp:effectExtent l="0" t="0" r="0" b="0"/>
                <wp:wrapNone/>
                <wp:docPr id="230" name="Frame2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211</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Footnotes to Related-Party Debt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Debt Modification and Debt Extinguishments</w:t>
      </w:r>
    </w:p>
    <w:p>
      <w:pPr>
        <w:pStyle w:val="TextBody"/>
        <w:bidi w:val="0"/>
        <w:spacing w:lineRule="auto" w:line="288" w:before="120" w:after="283"/>
        <w:ind w:left="0" w:right="0" w:hanging="540"/>
        <w:jc w:val="left"/>
        <w:rPr/>
      </w:pPr>
      <w:r>
        <w:rPr>
          <w:rFonts w:ascii="Times New Roman;serif" w:hAnsi="Times New Roman;serif"/>
          <w:b w:val="false"/>
          <w:i/>
          <w:color w:val="000000"/>
          <w:sz w:val="18"/>
        </w:rPr>
        <w:t>(1)</w:t>
      </w:r>
      <w:r>
        <w:rPr>
          <w:rFonts w:ascii="Times New Roman;serif" w:hAnsi="Times New Roman;serif"/>
          <w:b w:val="false"/>
          <w:i/>
          <w:color w:val="000000"/>
          <w:sz w:val="20"/>
        </w:rPr>
        <w:t>August 2022 Debt Extinguishment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31, 2022, the company amended and restated the above fixed-rate notes payables held by Nant Capital, NantWorks, NantMobile and NCSC, which are entities affiliated with Dr. Soon-Shiong. Prior to the amendments and restatements, these notes bore and thereafter continued to bear interest at a per annum rate ranging from 3.0% to 6.0%, provided that the outstanding principal was and thereafter continued to be due and payable on September 30, 2025, and accrued and unpaid interest was or continued to be payable either upon maturity or, with respect to one of the notes, on a quarterly basis. Prior to the amendments and restatements, the company could and thereafter continued to be able to prepay the outstanding principal (together with accrued and unpaid interest), either in whole or in part, at any time without premium or penalty and without the prior consent of the noteholder, subject to an advance notice period of at least five business days during which the noteholder could convert the amount requested to be prepaid by the company into shares of the company’s common stock, as part of the amendment and restatement.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these fixed-rate promissory notes were amended and restated to include a conversion feature that gave each noteholder, at its sole option, at any time (other than when the noteholder is in receipt of a written notice of prepayment from the borrower), the right to convert the entire outstanding principal amount and accrued and unpaid interest due under each note at the time of conversion into shares of the company’s common stock at a price of $5.67 per share.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Since all of the above promissory notes were entered into or amended at the same time and with entities under common control, the company determined that the promissory notes were required to be evaluated collectively to accurately capture the economics of the transactions entered in contemplation of each other and contemporaneously. ASC 470-50 provides that a modification or an exchange that adds or eliminates a substantive conversion option as of the conversion date would always be considered substantial and require extinguishment accounting. Accordingly, as a result of the addition of the conversion feature to the fixed-rate promissory notes, the fixed-rate promissory notes and the variable-rate promissory notes were determined to be extinguished given the contemporaneous nature of the amendments. The company performed a valuation of the fixed-rate promissory notes and variable-rate promissory notes before and after amendments. Under this model, the company calculated a gain on extinguishment of $82.9 million, representing the difference between the fair value of the new and amended promissory notes and the carrying value of the extinguished debt, net of any unamortized related-party notes discounts plus the cash proceeds from the new promissory note. Since the debt was obtained from entities under common control, such gain was recorded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xml:space="preserve">, on the consolidated statement of stockholders’ deficit during the year ended December 31, 2022. Also, the difference between the face values of the new and amended promissory notes (and accrued interest on the date of the amendment) and the fair values of the new and restated promissory notes was recorded as a debt discount to be amortized to interest expense over the remaining term (or until conversion in the case of fixed-rate promissory notes) of the respective promissory notes. During the years ended December 31, 2023 and 2022, we recorded amortization of related-party notes discounts totaling $42.4 million and $16.3 million, respectively, in </w:t>
      </w:r>
      <w:r>
        <w:rPr>
          <w:rFonts w:ascii="Times New Roman;serif" w:hAnsi="Times New Roman;serif"/>
          <w:b w:val="false"/>
          <w:i/>
          <w:color w:val="000000"/>
          <w:sz w:val="20"/>
        </w:rPr>
        <w:t>interest expense</w:t>
      </w:r>
      <w:r>
        <w:rPr>
          <w:rFonts w:ascii="Times New Roman;serif" w:hAnsi="Times New Roman;serif"/>
          <w:b w:val="false"/>
          <w:color w:val="000000"/>
          <w:sz w:val="20"/>
        </w:rPr>
        <w:t>, on the consolidated statement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of the promissory notes without a holder conversion option were estimated using discounted cash flow analyses, based on market rates available to the company for similar debt at issuance after consideration of default and credit risk and the level of subordination. The fair values of the fixed-rate promissory notes, which were each modified to include a holder conversion option, were determined based on a binomial lattice convertible note model. The analysis involved the construction of various intermediate lattices: stock price tree, conversion value tree, conversion probability tree, and discount rate tree. Since certain of the factors analyzed are considered to be unobservable inputs, both the discounted cash flow model and the lattice model are considered to be Level 3 valuations. Significant unobservable inputs used for the discounted cash flow analysis included market yields from 18.0% to 24.8%, and the significant unobservable inputs used for the binomial lattice model included a volatility of 84.9%, and a market yield of 17.4%.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22885"/>
                <wp:effectExtent l="0" t="0" r="0" b="0"/>
                <wp:wrapNone/>
                <wp:docPr id="231" name="Frame2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212</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12, 2022, the company received written notice from NantWorks, the holder of an existing convertible promissory note of NantCell, a wholly-owned subsidiary of the company, of its election to convert the NantCell promissory note into shares of the company’s common stock. As of such date, the holder of the NantCell note converted the entire $56.6 million of outstanding principal and accrued and unpaid interest due under the note into 9,986,920 shares of the company’s common stock at a price of $5.67 per share in accordance with the terms of the promissory note. </w:t>
      </w:r>
    </w:p>
    <w:p>
      <w:pPr>
        <w:pStyle w:val="TextBody"/>
        <w:bidi w:val="0"/>
        <w:spacing w:lineRule="auto" w:line="288" w:before="240" w:after="283"/>
        <w:ind w:left="0" w:right="0" w:hanging="540"/>
        <w:jc w:val="left"/>
        <w:rPr/>
      </w:pPr>
      <w:r>
        <w:rPr>
          <w:rFonts w:ascii="Times New Roman;serif" w:hAnsi="Times New Roman;serif"/>
          <w:b w:val="false"/>
          <w:i/>
          <w:color w:val="000000"/>
          <w:sz w:val="18"/>
        </w:rPr>
        <w:t>(2)</w:t>
      </w:r>
      <w:r>
        <w:rPr>
          <w:rFonts w:ascii="Times New Roman;serif" w:hAnsi="Times New Roman;serif"/>
          <w:b w:val="false"/>
          <w:i/>
          <w:color w:val="000000"/>
          <w:sz w:val="20"/>
        </w:rPr>
        <w:t>September 11, 2023 Debt Modification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11, 2023, the company entered into a stock purchase agreement with Nant Capital, NantMobile and NCSC pursuant to which the holders exchanged promissory notes totaling approximately $270.0 million in aggregate principal amount and accrued unpaid interest for an aggregate of 209,291,936 shares of common stock at an exchange price of $1.29 per share. As a result of the exchange, the company was forever released and discharged from all its obligations and liabilities under the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and Nant Capital entered into a series of letter agreements pursuant to which the maturity date of the related-party nonconvertible notes described above totaling $505.0 million in principal and the $30.0 million March 2023 Promissory Note was extended from December 31, 2023 to December 31, 2024. In addition, the company entered into the $200.0 million September 2023 promissory note with Nant Capital. No other material terms or conditions of these promissory notes were modified.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Since all of the above promissory notes were entered into or amended at the same time on September 11, 2023 and with entities under common control, the company determined that the promissory notes were required to be evaluated collectively to accurately capture the economics of the transactions entered in contemplation of each other and contemporaneously. Pursuant to ASC 470-50, as the terms of the amendment were not substantially different than the terms of the promissory notes prior to the amendment, the amendment was accounted for as a debt modification. The unamortized debt discounts from the promissory notes are being amortized as an adjustment to interest expense over the remaining term of modified promissory notes that are not recorded at fair value using the effective interest rate method. Also, a $29.6 million increase in fair value of the embedded conversion feature from the debt modification was accounted for as a debt discount to the $200.0 million convertible note that is not recorded at fair value, and a $1.6 million increase in fair value of the embedded conversion feature related to the promissory note recorded at fair value was accounted for as interest expense during the year ended December 31, 2023. Such increase in fair values of the embedded conversion features totaling $31.2 million has been recorded with a corresponding increase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on the consolidated statement of stockholders’ deficit.</w:t>
      </w:r>
    </w:p>
    <w:p>
      <w:pPr>
        <w:pStyle w:val="TextBody"/>
        <w:bidi w:val="0"/>
        <w:spacing w:lineRule="auto" w:line="288" w:before="240" w:after="283"/>
        <w:ind w:left="0" w:right="0" w:hanging="540"/>
        <w:jc w:val="left"/>
        <w:rPr/>
      </w:pPr>
      <w:r>
        <w:rPr>
          <w:rFonts w:ascii="Times New Roman;serif" w:hAnsi="Times New Roman;serif"/>
          <w:b w:val="false"/>
          <w:i/>
          <w:color w:val="000000"/>
          <w:sz w:val="18"/>
        </w:rPr>
        <w:t>(3)</w:t>
      </w:r>
      <w:r>
        <w:rPr>
          <w:rFonts w:ascii="Times New Roman;serif" w:hAnsi="Times New Roman;serif"/>
          <w:b w:val="false"/>
          <w:i/>
          <w:color w:val="000000"/>
          <w:sz w:val="20"/>
        </w:rPr>
        <w:t>December 29, 2023 Debt Extinguishment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29, 2023 in connection with the RIPA, the company and Nant Capital entered into an amended and restated promissory note and a letter amendment for the following outstanding promissory notes. Pursuant to the terms of the amended and restated promissory note, the amended $505 million December 2023 promissory note became comprised of a Tranche 1 with principal amount of $125.0 million which was previously the $125 million August 2022 promissory note before amendment, and a Tranche 2 with principal amount of $380.0 million, which was made up of the previous $300 million December 2021 promissory note, $50 million December 2022 promissory note and $30 million June 2023 promissory note. In addition, the amendment allowed Nant Capital, in its sole discretion, to convert all the Tranche 2 principal amount of $380.0 million of the amended promissory note into shares of common stock. The conversion price was subsequently determined at $8.2690 per share based on the agreement. The maturity date of the amended promissory note was December 31, 2025. Pursuant to the terms of the letter amendment, the maturity date of the $30 million March 2023 promissory note was extended from December 31, 2024 to December 31, 2025. Also, in connection with the RIPA transaction, all outstanding related-party promissory notes became subordinated to the RIPA payment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22885"/>
                <wp:effectExtent l="0" t="0" r="0" b="0"/>
                <wp:wrapNone/>
                <wp:docPr id="232" name="Frame2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213</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Nant Capital promissory notes before the amendments on December 29, 2023 (principal amount in thousands): </w:t>
      </w:r>
    </w:p>
    <w:tbl>
      <w:tblPr>
        <w:tblW w:w="8460" w:type="dxa"/>
        <w:jc w:val="left"/>
        <w:tblInd w:w="0" w:type="dxa"/>
        <w:tblLayout w:type="fixed"/>
        <w:tblCellMar>
          <w:top w:w="28" w:type="dxa"/>
          <w:left w:w="28" w:type="dxa"/>
          <w:bottom w:w="28" w:type="dxa"/>
          <w:right w:w="28" w:type="dxa"/>
        </w:tblCellMar>
      </w:tblPr>
      <w:tblGrid>
        <w:gridCol w:w="1425"/>
        <w:gridCol w:w="1249"/>
        <w:gridCol w:w="1256"/>
        <w:gridCol w:w="211"/>
        <w:gridCol w:w="826"/>
        <w:gridCol w:w="109"/>
        <w:gridCol w:w="109"/>
        <w:gridCol w:w="109"/>
        <w:gridCol w:w="109"/>
        <w:gridCol w:w="255"/>
        <w:gridCol w:w="255"/>
        <w:gridCol w:w="256"/>
        <w:gridCol w:w="109"/>
        <w:gridCol w:w="109"/>
        <w:gridCol w:w="109"/>
        <w:gridCol w:w="310"/>
        <w:gridCol w:w="310"/>
        <w:gridCol w:w="311"/>
        <w:gridCol w:w="109"/>
        <w:gridCol w:w="109"/>
        <w:gridCol w:w="109"/>
        <w:gridCol w:w="206"/>
        <w:gridCol w:w="206"/>
        <w:gridCol w:w="294"/>
      </w:tblGrid>
      <w:tr>
        <w:trPr/>
        <w:tc>
          <w:tcPr>
            <w:tcW w:w="142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Conversion</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9"/>
              </w:rPr>
            </w:pPr>
            <w:r>
              <w:rPr>
                <w:rFonts w:ascii="Times New Roman;serif" w:hAnsi="Times New Roman;serif"/>
                <w:b/>
                <w:i/>
                <w:color w:val="000000"/>
                <w:sz w:val="19"/>
              </w:rPr>
              <w:t>Related-Party Nonconvertible Note: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$125 million August 2022 Promissory Note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9"/>
              </w:rPr>
            </w:pPr>
            <w:r>
              <w:rPr>
                <w:rFonts w:ascii="Times New Roman;serif" w:hAnsi="Times New Roman;serif"/>
                <w:b/>
                <w:i/>
                <w:color w:val="000000"/>
                <w:sz w:val="19"/>
              </w:rPr>
              <w:t>Related-Party Convertible Notes: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$300 million December 2021 Promissory Note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$50 million December 2022 Promissory Note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$30 million June 2023 Promissory Note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$30 million March 2023 Promissory Note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$2.2800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$200 million September 2023 Promissory Note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$1.9350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related-party promissory notes</w:t>
              <w:br/>
              <w:t>   before amendments</w:t>
            </w:r>
          </w:p>
        </w:tc>
        <w:tc>
          <w:tcPr>
            <w:tcW w:w="21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735,000 </w:t>
            </w:r>
          </w:p>
        </w:tc>
        <w:tc>
          <w:tcPr>
            <w:tcW w:w="10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22885"/>
                <wp:effectExtent l="0" t="0" r="0" b="0"/>
                <wp:wrapNone/>
                <wp:docPr id="233" name="Frame2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214</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Nant Capital promissory notes after the amendments on December 29, 2023 (principal amount in thousands): </w:t>
      </w:r>
    </w:p>
    <w:tbl>
      <w:tblPr>
        <w:tblW w:w="8939" w:type="dxa"/>
        <w:jc w:val="left"/>
        <w:tblInd w:w="0" w:type="dxa"/>
        <w:tblLayout w:type="fixed"/>
        <w:tblCellMar>
          <w:top w:w="28" w:type="dxa"/>
          <w:left w:w="28" w:type="dxa"/>
          <w:bottom w:w="28" w:type="dxa"/>
          <w:right w:w="28" w:type="dxa"/>
        </w:tblCellMar>
      </w:tblPr>
      <w:tblGrid>
        <w:gridCol w:w="1598"/>
        <w:gridCol w:w="1403"/>
        <w:gridCol w:w="1408"/>
        <w:gridCol w:w="211"/>
        <w:gridCol w:w="826"/>
        <w:gridCol w:w="109"/>
        <w:gridCol w:w="109"/>
        <w:gridCol w:w="109"/>
        <w:gridCol w:w="109"/>
        <w:gridCol w:w="255"/>
        <w:gridCol w:w="255"/>
        <w:gridCol w:w="256"/>
        <w:gridCol w:w="109"/>
        <w:gridCol w:w="109"/>
        <w:gridCol w:w="109"/>
        <w:gridCol w:w="310"/>
        <w:gridCol w:w="310"/>
        <w:gridCol w:w="311"/>
        <w:gridCol w:w="109"/>
        <w:gridCol w:w="109"/>
        <w:gridCol w:w="109"/>
        <w:gridCol w:w="206"/>
        <w:gridCol w:w="206"/>
        <w:gridCol w:w="294"/>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Conversion</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9"/>
              </w:rPr>
            </w:pPr>
            <w:r>
              <w:rPr>
                <w:rFonts w:ascii="Times New Roman;serif" w:hAnsi="Times New Roman;serif"/>
                <w:b/>
                <w:i/>
                <w:color w:val="000000"/>
                <w:sz w:val="19"/>
              </w:rPr>
              <w:t>Related-Party Nonconvertible Note: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$505 million December 2023 Promissory Note –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9"/>
              </w:rPr>
              <w:t>Tranche 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9"/>
              </w:rPr>
            </w:pPr>
            <w:r>
              <w:rPr>
                <w:rFonts w:ascii="Times New Roman;serif" w:hAnsi="Times New Roman;serif"/>
                <w:b/>
                <w:i/>
                <w:color w:val="000000"/>
                <w:sz w:val="19"/>
              </w:rPr>
              <w:t>Related-Party Convertible Notes: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$300 million December 2021 Promissory Note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$50 million December 2022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9"/>
              </w:rPr>
              <w:t xml:space="preserve">Promissory Note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$30 million June 2023 Promissory Note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$505 million December 2023 Promissory Note –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9"/>
              </w:rPr>
              <w:t>Tranche 2</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$8.2690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+7.5%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Total $505 million December 2023 Promissory Note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505,000 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$30 million March 2023 Promissory Note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$2.2800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$200 million September 2023 Promissory Note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$1.9350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Term</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SOFR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+8.0%</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Total related-party promissory notes </w:t>
              <w:br/>
              <w:t>   after amendments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735,000 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Since all of the above outstanding promissory notes were amended at the same time, with entities under common control, the company determined that the promissory notes were required to be evaluated collectively to accurately capture the economics of the transactions entered in contemplation of each other and contemporaneously. Also, in accordance with ASC 470-50 the company used the debt terms that existed before the September 11, 2023 modification to determine whether the modification was substantially different, as the September 11, 2023 modification was within a year of the transaction, and the promissory notes, at that time, had been modified without being deemed to be substantially different. As the modifications (September 11, 2023 and December 29, 2023 on a cumulative basis) added a substantive conversion feature to the promissory notes, these promissory notes were determined to be extinguished given the contemporaneous nature of the amendments. The company performed a valuation of all the promissory notes before and after amendments. Under this model, the company calculated a loss on extinguishment of $318.8 million, representing the difference between the fair value of the amended promissory notes and the carrying value of the extinguished debt, net of any unamortized related-party notes discounts. Since the debt was obtained from entities under common control, such loss was recorded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 xml:space="preserve">In addition, a debt premium totaling $354.9 million, calculated as the difference between the fair values of certain promissory notes after modifications and their respective face values, was also recorded in </w:t>
      </w:r>
      <w:r>
        <w:rPr>
          <w:rFonts w:ascii="Times New Roman;serif" w:hAnsi="Times New Roman;serif"/>
          <w:b w:val="false"/>
          <w:i/>
          <w:color w:val="000000"/>
          <w:sz w:val="20"/>
        </w:rPr>
        <w:t xml:space="preserve">additional paid-in capital. </w:t>
      </w:r>
      <w:r>
        <w:rPr>
          <w:rFonts w:ascii="Times New Roman;serif" w:hAnsi="Times New Roman;serif"/>
          <w:b w:val="false"/>
          <w:color w:val="000000"/>
          <w:sz w:val="20"/>
        </w:rPr>
        <w:t xml:space="preserve">Collectively, a net gain on debt extinguishment of $36.1 million was recorded in </w:t>
      </w:r>
      <w:r>
        <w:rPr>
          <w:rFonts w:ascii="Times New Roman;serif" w:hAnsi="Times New Roman;serif"/>
          <w:b w:val="false"/>
          <w:i/>
          <w:color w:val="000000"/>
          <w:sz w:val="20"/>
        </w:rPr>
        <w:t xml:space="preserve">additional paid-in capital, </w:t>
      </w:r>
      <w:r>
        <w:rPr>
          <w:rFonts w:ascii="Times New Roman;serif" w:hAnsi="Times New Roman;serif"/>
          <w:b w:val="false"/>
          <w:color w:val="000000"/>
          <w:sz w:val="20"/>
        </w:rPr>
        <w:t xml:space="preserve">on the consolidated statement of stockholders’ deficit for the year ended December 31, 2023. Also, the difference between face values of certain new and amended promissory notes and their respective fair values of $53.1 million was recorded as a debt discount to be amortized as interest expense over the remaining term. During the year ended December 31, 2023, we recorded amortization of related-party notes discounts totaling $0.5 million in </w:t>
      </w: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 xml:space="preserve">on the consolidated statement of operations related to the new and amended promissory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22885"/>
                <wp:effectExtent l="0" t="0" r="0" b="0"/>
                <wp:wrapNone/>
                <wp:docPr id="234" name="Frame2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215</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regard to the Tranche 2 principal amount of the $505 million December 2023 promissory note, the company identified an embedded derivative related to a contingent exercisable prepayment feature of the promissory note, which allowed the noteholder to request up to a $50.0 million prepayment of the promissory note and accrued interest upon the occurrence of a specified transaction. After the debt extinguishment, the company concluded that this promissory note was issued at a substantial discount, so the embedded derivative that was contingently exercisable was required to be bifurcated and accounted separately from the debt host instrument. The fair value of the embedded derivative was estimated at $0.8 million as of December 31, 2023, using a “with-and-without” method, which assesses the likelihood and timing of the specified transaction to be triggered and result in a repayment. The estimated fair value was computed with the following unobservable inputs:</w:t>
      </w:r>
    </w:p>
    <w:tbl>
      <w:tblPr>
        <w:tblW w:w="3495" w:type="dxa"/>
        <w:jc w:val="left"/>
        <w:tblInd w:w="0" w:type="dxa"/>
        <w:tblLayout w:type="fixed"/>
        <w:tblCellMar>
          <w:top w:w="28" w:type="dxa"/>
          <w:left w:w="28" w:type="dxa"/>
          <w:bottom w:w="28" w:type="dxa"/>
          <w:right w:w="28" w:type="dxa"/>
        </w:tblCellMar>
      </w:tblPr>
      <w:tblGrid>
        <w:gridCol w:w="706"/>
        <w:gridCol w:w="620"/>
        <w:gridCol w:w="623"/>
        <w:gridCol w:w="315"/>
        <w:gridCol w:w="315"/>
        <w:gridCol w:w="91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Amendment Date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29, 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 yield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Tranche 1 principal amount of the amended $505 million December 2023 promissory note, which had no noteholder conversion option, was estimated using discounted cash flow analyses, based on market rates available to the company for similar debt at issuance after consideration of default and credit risk and the level of subordination. The fair value of Tranche 2 of the amended promissory note, which was modified to include a noteholder conversion option, was determined based on a binomial lattice convertible note model. The analysis involved the construction of various intermediate lattices: stock price tree, conversion value tree, conversion probability tree, and discount rate tree. Since certain of the factors analyzed were considered to be unobservable inputs, both the discounted cash flow model and the lattice model are considered to be Level 3 valuations. The effective unamortized debt discount rate of the amended Tranche 1 and Tranche 2 principal amount of the $505 million December 2023 promissory note was 23.65% and 18.04%, respectively. The estimated fair value was computed with the following unobservable inputs:</w:t>
      </w:r>
    </w:p>
    <w:tbl>
      <w:tblPr>
        <w:tblW w:w="3495" w:type="dxa"/>
        <w:jc w:val="left"/>
        <w:tblInd w:w="0" w:type="dxa"/>
        <w:tblLayout w:type="fixed"/>
        <w:tblCellMar>
          <w:top w:w="28" w:type="dxa"/>
          <w:left w:w="28" w:type="dxa"/>
          <w:bottom w:w="28" w:type="dxa"/>
          <w:right w:w="28" w:type="dxa"/>
        </w:tblCellMar>
      </w:tblPr>
      <w:tblGrid>
        <w:gridCol w:w="706"/>
        <w:gridCol w:w="620"/>
        <w:gridCol w:w="623"/>
        <w:gridCol w:w="315"/>
        <w:gridCol w:w="315"/>
        <w:gridCol w:w="91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Amendment Date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29, 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 yield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$200 million September 2023 promissory note was determined using the binomial lattice model with the following unobservable inputs:</w:t>
      </w:r>
    </w:p>
    <w:tbl>
      <w:tblPr>
        <w:tblW w:w="3495" w:type="dxa"/>
        <w:jc w:val="left"/>
        <w:tblInd w:w="0" w:type="dxa"/>
        <w:tblLayout w:type="fixed"/>
        <w:tblCellMar>
          <w:top w:w="28" w:type="dxa"/>
          <w:left w:w="28" w:type="dxa"/>
          <w:bottom w:w="28" w:type="dxa"/>
          <w:right w:w="28" w:type="dxa"/>
        </w:tblCellMar>
      </w:tblPr>
      <w:tblGrid>
        <w:gridCol w:w="706"/>
        <w:gridCol w:w="620"/>
        <w:gridCol w:w="623"/>
        <w:gridCol w:w="315"/>
        <w:gridCol w:w="315"/>
        <w:gridCol w:w="91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Amendment Date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29, 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 yield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22885"/>
                <wp:effectExtent l="0" t="0" r="0" b="0"/>
                <wp:wrapNone/>
                <wp:docPr id="235" name="Frame2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216</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December 29, 2023, the $30 million March 2023 promissory note was accounted for under the ASC 825 FVO election. Under the FVO election, the note was initially measured at its issue-date estimated fair value and subsequently remeasured at estimated fair value on a recurring basis at each reporting period date. The estimated fair value of the convertible note was computed using the binomial lattice model with the following unobservable inputs before it was modified on December 29, 2023. After the debt extinguishment, the note was accounted for under the amortized cost basis. </w:t>
      </w:r>
    </w:p>
    <w:tbl>
      <w:tblPr>
        <w:tblW w:w="3495" w:type="dxa"/>
        <w:jc w:val="left"/>
        <w:tblInd w:w="0" w:type="dxa"/>
        <w:tblLayout w:type="fixed"/>
        <w:tblCellMar>
          <w:top w:w="28" w:type="dxa"/>
          <w:left w:w="28" w:type="dxa"/>
          <w:bottom w:w="28" w:type="dxa"/>
          <w:right w:w="28" w:type="dxa"/>
        </w:tblCellMar>
      </w:tblPr>
      <w:tblGrid>
        <w:gridCol w:w="706"/>
        <w:gridCol w:w="620"/>
        <w:gridCol w:w="623"/>
        <w:gridCol w:w="315"/>
        <w:gridCol w:w="315"/>
        <w:gridCol w:w="91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Amendment Date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29, 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 yield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carrying value of this note was as follows (in thousands): </w:t>
      </w:r>
    </w:p>
    <w:tbl>
      <w:tblPr>
        <w:tblW w:w="6515" w:type="dxa"/>
        <w:jc w:val="left"/>
        <w:tblInd w:w="0" w:type="dxa"/>
        <w:tblLayout w:type="fixed"/>
        <w:tblCellMar>
          <w:top w:w="28" w:type="dxa"/>
          <w:left w:w="28" w:type="dxa"/>
          <w:bottom w:w="28" w:type="dxa"/>
          <w:right w:w="28" w:type="dxa"/>
        </w:tblCellMar>
      </w:tblPr>
      <w:tblGrid>
        <w:gridCol w:w="1967"/>
        <w:gridCol w:w="1728"/>
        <w:gridCol w:w="1734"/>
        <w:gridCol w:w="211"/>
        <w:gridCol w:w="721"/>
        <w:gridCol w:w="154"/>
      </w:tblGrid>
      <w:tr>
        <w:trPr/>
        <w:tc>
          <w:tcPr>
            <w:tcW w:w="1967"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issuance date, March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 with entities under common control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December 29, 2023</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pPr>
      <w:r>
        <w:rPr>
          <w:rFonts w:ascii="Times New Roman;serif" w:hAnsi="Times New Roman;serif"/>
          <w:b w:val="false"/>
          <w:i/>
          <w:color w:val="000000"/>
          <w:sz w:val="18"/>
        </w:rPr>
        <w:t>(4)</w:t>
      </w:r>
      <w:r>
        <w:rPr>
          <w:rFonts w:ascii="Times New Roman;serif" w:hAnsi="Times New Roman;serif"/>
          <w:b w:val="false"/>
          <w:i/>
          <w:color w:val="000000"/>
          <w:sz w:val="20"/>
        </w:rPr>
        <w:t>December 10, 2024</w:t>
      </w:r>
      <w:r>
        <w:rPr>
          <w:color w:val="FF0090"/>
        </w:rPr>
        <w:t xml:space="preserve"> </w:t>
      </w:r>
      <w:r>
        <w:rPr>
          <w:rFonts w:ascii="Times New Roman;serif" w:hAnsi="Times New Roman;serif"/>
          <w:b w:val="false"/>
          <w:i/>
          <w:color w:val="000000"/>
          <w:sz w:val="20"/>
        </w:rPr>
        <w:t>Debt Extinguishment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10, 2024 in connection with an equity offering, the company and Nant Capital entered into a second amended and restated promissory note. Pursuant to the terms of the second amended and restated promissory note, Tranche 1 of the December 2023 Promissory Note with a principal amount of $125.0 million and Tranche 2 of the December 2023 Promissory Note with a principal amount of $380.0 million were combined into one convertible promissory note with a principal amount of $505.0 million with a maturity date of December 31, 2027. The $505 million December 2024 Promissory Note bears an interest rate of Term SOFR plus 8.0% per annum, payable on a quarterly basis. Pursuant to the terms of the second amended and restated promissory note, the noteholder, in its sole discretion, may convert all of the outstanding principal amount into shares of common stock at a conversion price of $5.4270 per share. In addition, the noteholder can request up to $50.0 million of the outstanding principal amount and accrued interest to be repaid upon consummation of a specified transaction. Also, on the same date, the company received a written notice from Nant Capital, the holder of the $30 million March 2023 Promissory Note due on December 31, 2025 and the $200 million September 2023 Promissory Note due on September 11, 2026 of its election to convert the entire outstanding principal and accrued interests of the such promissory notes into shares of the company’s common stock (the “Converted Promissory Notes”). As of such date, the total outstanding principal amount and accrued and unpaid interests due under the Converted Promissory Notes were converted into shares of the company’s common stock.</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Since the $505 million December 2024 Promissory Note, together with the Converted Promissory Notes, were executed contemporaneously and in contemplation with one another with entities under common control, the company evaluated these transactions collectively as a single unit of account to accurately capture the economics of the transactions. The company determined the fair value of the conversion feature before and after the above transactions to assess whether there is a substantial change in fair value. The company used binomial lattice models for the “with” scenario and discounted cash flow model for the “without” scenario. The company determined that the fair value of the conversion feature before modification is substantially different than the fair value after modification, and as such, these transactions were accounted for as debt extinguishment in accordance with ASC 470-50. Under this model, the company calculated a gain on debt extinguishment of $10.4 million, which represents the difference between the: (a) fair value of the December 2024 Promissory Note and the reacquisition price of the Converted Promissory Notes on the date of conversion; and (b) carrying value of the extinguished debt, net of any unamortized related party notes discounts plus, the debt premium previously recognized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xml:space="preserve">, on the consolidated statement of stockholders’ deficit as a result of the December 29, 2023 Debt Extinguishment. Since the debt was obtained from entities under common control, such gain on extinguishment was recorded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on the consolidated statement of stockholders’ deficit.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22885"/>
                <wp:effectExtent l="0" t="0" r="0" b="0"/>
                <wp:wrapNone/>
                <wp:docPr id="236" name="Frame2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217</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Due to the conversion of the Converted Promissory Notes, the Company also recorded $188.5 million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xml:space="preserve">, on the consolidated statement of stockholders’ deficit as of December 31, 2024. This represents the difference between the reacquisition price of the Converted Promissory Notes on the date of conversion and the debt premium previously recognized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xml:space="preserve">, on the consolidated statement of stockholders’ deficit as a result of the December 29, 2023 Debt Extinguishment. See </w:t>
      </w:r>
      <w:hyperlink w:anchor="i49f82bc2aa33405eae1e0b45f37d1ae6_298">
        <w:r>
          <w:rPr>
            <w:rStyle w:val="InternetLink"/>
            <w:rFonts w:ascii="Times New Roman;serif" w:hAnsi="Times New Roman;serif"/>
            <w:b w:val="false"/>
            <w:color w:val="0000FF"/>
            <w:sz w:val="20"/>
            <w:u w:val="single"/>
          </w:rPr>
          <w:t>Note 17</w:t>
        </w:r>
      </w:hyperlink>
      <w:r>
        <w:rPr>
          <w:color w:val="000000"/>
        </w:rPr>
        <w:t xml:space="preserve"> “</w:t>
      </w:r>
      <w:r>
        <w:rPr>
          <w:rFonts w:ascii="Times New Roman;serif" w:hAnsi="Times New Roman;serif"/>
          <w:b w:val="false"/>
          <w:i/>
          <w:color w:val="000000"/>
          <w:sz w:val="20"/>
        </w:rPr>
        <w:t>Stockholders’ Deficit”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Converted Promissory Notes were computed with the following unobservable inputs at the amendment date on December 10, 2024:</w:t>
      </w:r>
    </w:p>
    <w:tbl>
      <w:tblPr>
        <w:tblW w:w="5931" w:type="dxa"/>
        <w:jc w:val="left"/>
        <w:tblInd w:w="0" w:type="dxa"/>
        <w:tblLayout w:type="fixed"/>
        <w:tblCellMar>
          <w:top w:w="28" w:type="dxa"/>
          <w:left w:w="28" w:type="dxa"/>
          <w:bottom w:w="28" w:type="dxa"/>
          <w:right w:w="28" w:type="dxa"/>
        </w:tblCellMar>
      </w:tblPr>
      <w:tblGrid>
        <w:gridCol w:w="895"/>
        <w:gridCol w:w="787"/>
        <w:gridCol w:w="792"/>
        <w:gridCol w:w="109"/>
        <w:gridCol w:w="109"/>
        <w:gridCol w:w="109"/>
        <w:gridCol w:w="353"/>
        <w:gridCol w:w="293"/>
        <w:gridCol w:w="733"/>
        <w:gridCol w:w="109"/>
        <w:gridCol w:w="109"/>
        <w:gridCol w:w="109"/>
        <w:gridCol w:w="335"/>
        <w:gridCol w:w="281"/>
        <w:gridCol w:w="808"/>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$30 million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March 2023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Promissory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$200 million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September 2023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Promissory Note</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Discounted cash flow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elected the fair value option for recognizing the $505 million December 2024 Promissory Note under ASC 825. Under the FVO election, the note was initially measured at estimated fair value upon issuance and is remeasured at estimated fair value on a recurring basis at each reporting period date. The estimated fair value of the convertible note was computed using the following unobservable inputs at the following dates:</w:t>
      </w:r>
    </w:p>
    <w:tbl>
      <w:tblPr>
        <w:tblW w:w="7786" w:type="dxa"/>
        <w:jc w:val="left"/>
        <w:tblInd w:w="0" w:type="dxa"/>
        <w:tblLayout w:type="fixed"/>
        <w:tblCellMar>
          <w:top w:w="28" w:type="dxa"/>
          <w:left w:w="28" w:type="dxa"/>
          <w:bottom w:w="28" w:type="dxa"/>
          <w:right w:w="28" w:type="dxa"/>
        </w:tblCellMar>
      </w:tblPr>
      <w:tblGrid>
        <w:gridCol w:w="738"/>
        <w:gridCol w:w="649"/>
        <w:gridCol w:w="653"/>
        <w:gridCol w:w="109"/>
        <w:gridCol w:w="109"/>
        <w:gridCol w:w="109"/>
        <w:gridCol w:w="109"/>
        <w:gridCol w:w="109"/>
        <w:gridCol w:w="334"/>
        <w:gridCol w:w="334"/>
        <w:gridCol w:w="833"/>
        <w:gridCol w:w="109"/>
        <w:gridCol w:w="109"/>
        <w:gridCol w:w="109"/>
        <w:gridCol w:w="334"/>
        <w:gridCol w:w="334"/>
        <w:gridCol w:w="832"/>
        <w:gridCol w:w="109"/>
        <w:gridCol w:w="109"/>
        <w:gridCol w:w="109"/>
        <w:gridCol w:w="315"/>
        <w:gridCol w:w="315"/>
        <w:gridCol w:w="916"/>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Immediately After </w:t>
              <w:br/>
              <w:t>the Amendment on</w:t>
              <w:br/>
              <w:t>December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fair value of this note was as follows (in thousands): </w:t>
      </w:r>
    </w:p>
    <w:tbl>
      <w:tblPr>
        <w:tblW w:w="9228" w:type="dxa"/>
        <w:jc w:val="left"/>
        <w:tblInd w:w="0" w:type="dxa"/>
        <w:tblLayout w:type="fixed"/>
        <w:tblCellMar>
          <w:top w:w="28" w:type="dxa"/>
          <w:left w:w="28" w:type="dxa"/>
          <w:bottom w:w="28" w:type="dxa"/>
          <w:right w:w="28" w:type="dxa"/>
        </w:tblCellMar>
      </w:tblPr>
      <w:tblGrid>
        <w:gridCol w:w="2794"/>
        <w:gridCol w:w="2454"/>
        <w:gridCol w:w="2462"/>
        <w:gridCol w:w="109"/>
        <w:gridCol w:w="109"/>
        <w:gridCol w:w="109"/>
        <w:gridCol w:w="211"/>
        <w:gridCol w:w="826"/>
        <w:gridCol w:w="154"/>
      </w:tblGrid>
      <w:tr>
        <w:trPr/>
        <w:tc>
          <w:tcPr>
            <w:tcW w:w="279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issuance date, December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including $1.2 million related to instrument-specific credit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461,877 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 related to instrument-specific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477,093 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During the years ended December 31, 2025 and 2024, the company recorded gains of $27.6 million and $1.2 million, respectively, in </w:t>
      </w:r>
      <w:r>
        <w:rPr>
          <w:rFonts w:ascii="Times New Roman;serif" w:hAnsi="Times New Roman;serif"/>
          <w:b w:val="false"/>
          <w:i/>
          <w:color w:val="000000"/>
          <w:sz w:val="20"/>
        </w:rPr>
        <w:t xml:space="preserve">change in fair value of related-party convertible note related to instrument-specific credit risk, </w:t>
      </w:r>
      <w:r>
        <w:rPr>
          <w:rFonts w:ascii="Times New Roman;serif" w:hAnsi="Times New Roman;serif"/>
          <w:b w:val="false"/>
          <w:color w:val="000000"/>
          <w:sz w:val="20"/>
        </w:rPr>
        <w:t>on the consolidated statements of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22885"/>
                <wp:effectExtent l="0" t="0" r="0" b="0"/>
                <wp:wrapNone/>
                <wp:docPr id="237" name="Frame2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218</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interest expense for our related-party promissory notes during the years ended December 31, 2025, 2024 and 2023 (in thousands):</w:t>
      </w:r>
    </w:p>
    <w:tbl>
      <w:tblPr>
        <w:tblW w:w="6705" w:type="dxa"/>
        <w:jc w:val="left"/>
        <w:tblInd w:w="0" w:type="dxa"/>
        <w:tblLayout w:type="fixed"/>
        <w:tblCellMar>
          <w:top w:w="28" w:type="dxa"/>
          <w:left w:w="28" w:type="dxa"/>
          <w:bottom w:w="28" w:type="dxa"/>
          <w:right w:w="28" w:type="dxa"/>
        </w:tblCellMar>
      </w:tblPr>
      <w:tblGrid>
        <w:gridCol w:w="1408"/>
        <w:gridCol w:w="1235"/>
        <w:gridCol w:w="1241"/>
        <w:gridCol w:w="109"/>
        <w:gridCol w:w="109"/>
        <w:gridCol w:w="109"/>
        <w:gridCol w:w="211"/>
        <w:gridCol w:w="721"/>
        <w:gridCol w:w="109"/>
        <w:gridCol w:w="109"/>
        <w:gridCol w:w="109"/>
        <w:gridCol w:w="109"/>
        <w:gridCol w:w="308"/>
        <w:gridCol w:w="592"/>
        <w:gridCol w:w="226"/>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 2025</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br/>
              <w:t>Discount</w:t>
              <w:br/>
              <w:t>Amortization</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$505 million December 2024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60,886 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60" w:type="dxa"/>
        <w:jc w:val="left"/>
        <w:tblInd w:w="0" w:type="dxa"/>
        <w:tblLayout w:type="fixed"/>
        <w:tblCellMar>
          <w:top w:w="28" w:type="dxa"/>
          <w:left w:w="28" w:type="dxa"/>
          <w:bottom w:w="28" w:type="dxa"/>
          <w:right w:w="28" w:type="dxa"/>
        </w:tblCellMar>
      </w:tblPr>
      <w:tblGrid>
        <w:gridCol w:w="1718"/>
        <w:gridCol w:w="1507"/>
        <w:gridCol w:w="1514"/>
        <w:gridCol w:w="109"/>
        <w:gridCol w:w="109"/>
        <w:gridCol w:w="109"/>
        <w:gridCol w:w="211"/>
        <w:gridCol w:w="721"/>
        <w:gridCol w:w="109"/>
        <w:gridCol w:w="109"/>
        <w:gridCol w:w="109"/>
        <w:gridCol w:w="109"/>
        <w:gridCol w:w="218"/>
        <w:gridCol w:w="747"/>
        <w:gridCol w:w="161"/>
      </w:tblGrid>
      <w:tr>
        <w:trPr/>
        <w:tc>
          <w:tcPr>
            <w:tcW w:w="171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 2024</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br/>
              <w:t>Discount</w:t>
              <w:br/>
              <w:t>Amortization</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$505 million December 2024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$505 million December 2023 Promissory Note Tranche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$505 million December 2023 Promissory Note 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 million March 2023 Promissory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$200 million September 2023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22,587 </w:t>
            </w:r>
          </w:p>
        </w:tc>
        <w:tc>
          <w:tcPr>
            <w:tcW w:w="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60" w:type="dxa"/>
        <w:jc w:val="left"/>
        <w:tblInd w:w="0" w:type="dxa"/>
        <w:tblLayout w:type="fixed"/>
        <w:tblCellMar>
          <w:top w:w="28" w:type="dxa"/>
          <w:left w:w="28" w:type="dxa"/>
          <w:bottom w:w="28" w:type="dxa"/>
          <w:right w:w="28" w:type="dxa"/>
        </w:tblCellMar>
      </w:tblPr>
      <w:tblGrid>
        <w:gridCol w:w="1500"/>
        <w:gridCol w:w="1317"/>
        <w:gridCol w:w="1322"/>
        <w:gridCol w:w="109"/>
        <w:gridCol w:w="109"/>
        <w:gridCol w:w="109"/>
        <w:gridCol w:w="211"/>
        <w:gridCol w:w="721"/>
        <w:gridCol w:w="109"/>
        <w:gridCol w:w="109"/>
        <w:gridCol w:w="109"/>
        <w:gridCol w:w="109"/>
        <w:gridCol w:w="218"/>
        <w:gridCol w:w="747"/>
        <w:gridCol w:w="161"/>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 2023</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br/>
              <w:t>Discount</w:t>
              <w:br/>
              <w:t>Amortization</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$300 million December 2021 Promissory Note </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$125 million August 2022 Promissory Note </w:t>
            </w: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$50 million December 2022 Promissory Note </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$30 million March 2023 Promissory Note </w:t>
            </w: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 million June 2023 Promissory Note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$200 million September 2023 Promissory Note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Related-Party Fixed-Rate Promissory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86,453 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42,396 </w:t>
            </w:r>
          </w:p>
        </w:tc>
        <w:tc>
          <w:tcPr>
            <w:tcW w:w="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include the amortization of debt discount totaling $0.5 million recorded during the period from December 29, 2023 to December 31, 2023. The interest expense recorded during this period was $0.4 million.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22885"/>
                <wp:effectExtent l="0" t="0" r="0" b="0"/>
                <wp:wrapNone/>
                <wp:docPr id="238" name="Frame2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future contractual obligations of our related-party debt as of December 31, 2025 (in thousands):</w:t>
      </w:r>
    </w:p>
    <w:tbl>
      <w:tblPr>
        <w:tblW w:w="4693" w:type="dxa"/>
        <w:jc w:val="left"/>
        <w:tblInd w:w="0" w:type="dxa"/>
        <w:tblLayout w:type="fixed"/>
        <w:tblCellMar>
          <w:top w:w="28" w:type="dxa"/>
          <w:left w:w="28" w:type="dxa"/>
          <w:bottom w:w="28" w:type="dxa"/>
          <w:right w:w="28" w:type="dxa"/>
        </w:tblCellMar>
      </w:tblPr>
      <w:tblGrid>
        <w:gridCol w:w="201"/>
        <w:gridCol w:w="176"/>
        <w:gridCol w:w="179"/>
        <w:gridCol w:w="211"/>
        <w:gridCol w:w="826"/>
        <w:gridCol w:w="109"/>
        <w:gridCol w:w="109"/>
        <w:gridCol w:w="109"/>
        <w:gridCol w:w="109"/>
        <w:gridCol w:w="211"/>
        <w:gridCol w:w="826"/>
        <w:gridCol w:w="109"/>
        <w:gridCol w:w="109"/>
        <w:gridCol w:w="109"/>
        <w:gridCol w:w="109"/>
        <w:gridCol w:w="211"/>
        <w:gridCol w:w="82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Principal </w:t>
              <w:br/>
              <w:t>Payments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Interest </w:t>
              <w:br/>
              <w:t>Payments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505,000 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622,774 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1"/>
        <w:gridCol w:w="791"/>
        <w:gridCol w:w="791"/>
        <w:gridCol w:w="791"/>
        <w:gridCol w:w="791"/>
        <w:gridCol w:w="791"/>
        <w:gridCol w:w="791"/>
        <w:gridCol w:w="791"/>
        <w:gridCol w:w="791"/>
        <w:gridCol w:w="791"/>
        <w:gridCol w:w="791"/>
        <w:gridCol w:w="1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payments on our promissory note are calculated based on Term SOFR plus the contractual spread per the loan agreement. The interest rate on our promissory note as of December 31, 2025 was 11.66%.</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of the following (in thousands): </w:t>
      </w:r>
    </w:p>
    <w:tbl>
      <w:tblPr>
        <w:tblW w:w="7961" w:type="dxa"/>
        <w:jc w:val="left"/>
        <w:tblInd w:w="0" w:type="dxa"/>
        <w:tblLayout w:type="fixed"/>
        <w:tblCellMar>
          <w:top w:w="28" w:type="dxa"/>
          <w:left w:w="28" w:type="dxa"/>
          <w:bottom w:w="28" w:type="dxa"/>
          <w:right w:w="28" w:type="dxa"/>
        </w:tblCellMar>
      </w:tblPr>
      <w:tblGrid>
        <w:gridCol w:w="1424"/>
        <w:gridCol w:w="1251"/>
        <w:gridCol w:w="1254"/>
        <w:gridCol w:w="211"/>
        <w:gridCol w:w="721"/>
        <w:gridCol w:w="109"/>
        <w:gridCol w:w="109"/>
        <w:gridCol w:w="109"/>
        <w:gridCol w:w="109"/>
        <w:gridCol w:w="211"/>
        <w:gridCol w:w="826"/>
        <w:gridCol w:w="109"/>
        <w:gridCol w:w="109"/>
        <w:gridCol w:w="109"/>
        <w:gridCol w:w="109"/>
        <w:gridCol w:w="211"/>
        <w:gridCol w:w="82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related-party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related-party notes 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related party</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60,886 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128,849 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RIPA transaction, the outstanding related-party convertible note was subordinated to the RIPA payment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15.    Related-Party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Founder, Executive Chairman and Global Chief Scientific and Medical Officer also founded and has a controlling interest in NantWorks, which is a collection of companies in the healthcare and technology space. As described below,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Founder, Executive Chairman, Global Chief Scientific and Medical Officer, and principal stockholder.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NantWorks, LLC</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Shared Services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Under the amended and restated shared services agreement with NantWorks dated as of June 2016, but effective as of August 2015, NantWorks, a related party, provides corporate, general and administrative, certain research and development, and other support services to us, and we provide certain of such services to them. The receiving party is charged for the services at cost plus reasonable allocations of employee benefits, facilities, and other direct or fairly allocated indirect costs that relate to the employees providing the services. During the years ended December 31, 2025, 2024 and 2023, we recorded $2.1 million, $2.6 million and $3.3 million, respectively, in </w:t>
      </w:r>
      <w:r>
        <w:rPr>
          <w:rFonts w:ascii="Times New Roman;serif" w:hAnsi="Times New Roman;serif"/>
          <w:b w:val="false"/>
          <w:i/>
          <w:color w:val="000000"/>
          <w:sz w:val="20"/>
        </w:rPr>
        <w:t>selling, general and administrative – related parties</w:t>
      </w:r>
      <w:r>
        <w:rPr>
          <w:rFonts w:ascii="Times New Roman;serif" w:hAnsi="Times New Roman;serif"/>
          <w:b w:val="false"/>
          <w:color w:val="000000"/>
          <w:sz w:val="20"/>
        </w:rPr>
        <w:t xml:space="preserve">, and $0.8 million, $3.3 million, and $2.2 million, respectively, of expense reimbursements under this arrangement in </w:t>
      </w:r>
      <w:r>
        <w:rPr>
          <w:rFonts w:ascii="Times New Roman;serif" w:hAnsi="Times New Roman;serif"/>
          <w:b w:val="false"/>
          <w:i/>
          <w:color w:val="000000"/>
          <w:sz w:val="20"/>
        </w:rPr>
        <w:t>research and development – related parties,</w:t>
      </w:r>
      <w:r>
        <w:rPr>
          <w:color w:val="000000"/>
        </w:rPr>
        <w:t xml:space="preserve"> </w:t>
      </w:r>
      <w:r>
        <w:rPr>
          <w:rFonts w:ascii="Times New Roman;serif" w:hAnsi="Times New Roman;serif"/>
          <w:b w:val="false"/>
          <w:color w:val="000000"/>
          <w:sz w:val="20"/>
        </w:rPr>
        <w:t xml:space="preserve">on the consolidated statements of operations. These amounts exclude certain immaterial general and administrative expenses provided by third-party vendors directly for our benefit, which were reimbursed to NantWorks based on those vendors’ invoiced amounts without markup by NantWorks.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22885"/>
                <wp:effectExtent l="0" t="0" r="0" b="0"/>
                <wp:wrapNone/>
                <wp:docPr id="239" name="Frame2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of December 31, 2025 and 2024, we had a payable of $0.2 million and a receivable of $0.2 million, respectively, for all agreements with NantWorks, which are included in </w:t>
      </w:r>
      <w:r>
        <w:rPr>
          <w:rFonts w:ascii="Times New Roman;serif" w:hAnsi="Times New Roman;serif"/>
          <w:b w:val="false"/>
          <w:i/>
          <w:color w:val="000000"/>
          <w:sz w:val="20"/>
        </w:rPr>
        <w:t>due to/due from related parties,</w:t>
      </w:r>
      <w:r>
        <w:rPr>
          <w:color w:val="000000"/>
        </w:rPr>
        <w:t xml:space="preserve"> </w:t>
      </w:r>
      <w:r>
        <w:rPr>
          <w:rFonts w:ascii="Times New Roman;serif" w:hAnsi="Times New Roman;serif"/>
          <w:b w:val="false"/>
          <w:color w:val="000000"/>
          <w:sz w:val="20"/>
        </w:rPr>
        <w:t xml:space="preserve">on the consolidated balance sheets. We also recorded $0.7 million and $3.0 million of prepaid expenses for various services that we expect will be passed through to the company from NantWorks as of December 31, 2025 and 2024, respectively, which are included in </w:t>
      </w:r>
      <w:r>
        <w:rPr>
          <w:rFonts w:ascii="Times New Roman;serif" w:hAnsi="Times New Roman;serif"/>
          <w:b w:val="false"/>
          <w:i/>
          <w:color w:val="000000"/>
          <w:sz w:val="20"/>
        </w:rPr>
        <w:t>prepaid expenses – related parties</w:t>
      </w:r>
      <w:r>
        <w:rPr>
          <w:rFonts w:ascii="Times New Roman;serif" w:hAnsi="Times New Roman;serif"/>
          <w:b w:val="false"/>
          <w:color w:val="000000"/>
          <w:sz w:val="20"/>
        </w:rPr>
        <w:t>, on the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Facility License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2015, we entered into a facility license agreement with NantWorks for office space in Culver City, California, which was converted to a research and development laboratory and a cGMP manufacturing facility. During the years ended December 31, 2025, 2024 and 2023, we recorded license fee expense for this facility totaling $3.6 million, $3.5 million, and $3.4 million, respectively, in </w:t>
      </w:r>
      <w:r>
        <w:rPr>
          <w:rFonts w:ascii="Times New Roman;serif" w:hAnsi="Times New Roman;serif"/>
          <w:b w:val="false"/>
          <w:i/>
          <w:color w:val="000000"/>
          <w:sz w:val="20"/>
        </w:rPr>
        <w:t>research and development – related parties</w:t>
      </w:r>
      <w:r>
        <w:rPr>
          <w:rFonts w:ascii="Times New Roman;serif" w:hAnsi="Times New Roman;serif"/>
          <w:b w:val="false"/>
          <w:color w:val="000000"/>
          <w:sz w:val="20"/>
        </w:rPr>
        <w:t>, on the consolidated statements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Leases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leases certain assets under operating leases with certain entities controlled by NantWorks and its affiliates or subsidiaries. Right-of-use assets for related-party operating leases totaled $13.2 million and $16.0 million, and the associated operating lease liabilities totaled $17.0 million and $20.4 million,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2024, respectively. The company recorded operating lease expense totaling $4.6 million, $4.6 million and $4.5 million for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2024 and 2023, respectively. Related-party leases were classified as either </w:t>
      </w:r>
      <w:r>
        <w:rPr>
          <w:rFonts w:ascii="Times New Roman;serif" w:hAnsi="Times New Roman;serif"/>
          <w:b w:val="false"/>
          <w:i/>
          <w:color w:val="000000"/>
          <w:sz w:val="20"/>
        </w:rPr>
        <w:t>selling, general and administrative – related parties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research and development – related parties</w:t>
      </w:r>
      <w:r>
        <w:rPr>
          <w:rFonts w:ascii="Times New Roman;serif" w:hAnsi="Times New Roman;serif"/>
          <w:b w:val="false"/>
          <w:color w:val="000000"/>
          <w:sz w:val="20"/>
        </w:rPr>
        <w:t>, on the consolidated statements of operations, depending on the use of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Immuno-Oncology Clinic, Inc.</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have entered into multiple agreements with t</w:t>
      </w:r>
      <w:r>
        <w:rPr>
          <w:rFonts w:ascii="Times New Roman;serif" w:hAnsi="Times New Roman;serif"/>
          <w:b w:val="false"/>
          <w:color w:val="000000"/>
          <w:sz w:val="20"/>
          <w:shd w:fill="FFFFFF" w:val="clear"/>
        </w:rPr>
        <w:t>he</w:t>
      </w:r>
      <w:r>
        <w:rPr>
          <w:color w:val="000000"/>
        </w:rPr>
        <w:t xml:space="preserve"> </w:t>
      </w:r>
      <w:r>
        <w:rPr>
          <w:rFonts w:ascii="Times New Roman;serif" w:hAnsi="Times New Roman;serif"/>
          <w:b w:val="false"/>
          <w:color w:val="000000"/>
          <w:sz w:val="20"/>
        </w:rPr>
        <w:t>Clinic</w:t>
      </w:r>
      <w:r>
        <w:rPr>
          <w:color w:val="000000"/>
          <w:shd w:fill="FFFFFF" w:val="clear"/>
        </w:rPr>
        <w:t xml:space="preserve"> </w:t>
      </w:r>
      <w:r>
        <w:rPr>
          <w:rFonts w:ascii="Times New Roman;serif" w:hAnsi="Times New Roman;serif"/>
          <w:b w:val="false"/>
          <w:color w:val="000000"/>
          <w:sz w:val="20"/>
        </w:rPr>
        <w:t xml:space="preserve">to conduct clinical trials related to certain of our product candidates. The Clinic is a related party as it is owned by an officer of the company and NantWorks manages the administrative operations of the Clinic.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During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2024 and 2023, we recorded $2.9 million, $2.6 million, and $2.2 million respectively, related to clinical trial and transition services provided by the Clinic in </w:t>
      </w:r>
      <w:r>
        <w:rPr>
          <w:rFonts w:ascii="Times New Roman;serif" w:hAnsi="Times New Roman;serif"/>
          <w:b w:val="false"/>
          <w:i/>
          <w:color w:val="000000"/>
          <w:sz w:val="20"/>
        </w:rPr>
        <w:t>research and development – related parties</w:t>
      </w:r>
      <w:r>
        <w:rPr>
          <w:rFonts w:ascii="Times New Roman;serif" w:hAnsi="Times New Roman;serif"/>
          <w:b w:val="false"/>
          <w:color w:val="000000"/>
          <w:sz w:val="20"/>
        </w:rPr>
        <w:t xml:space="preserve">, on the consolidated statements of operations. As of </w:t>
      </w:r>
      <w:r>
        <w:rPr>
          <w:rFonts w:ascii="Times New Roman;serif" w:hAnsi="Times New Roman;serif"/>
          <w:b w:val="false"/>
          <w:color w:val="000000"/>
          <w:sz w:val="20"/>
          <w:shd w:fill="FFFFFF" w:val="clear"/>
        </w:rPr>
        <w:t xml:space="preserve">December 31, 2025 and </w:t>
      </w:r>
      <w:r>
        <w:rPr>
          <w:rFonts w:ascii="Times New Roman;serif" w:hAnsi="Times New Roman;serif"/>
          <w:b w:val="false"/>
          <w:color w:val="000000"/>
          <w:sz w:val="20"/>
        </w:rPr>
        <w:t xml:space="preserve">2024, we owed the Clinic a $0.1 million and an immaterial amount, respectively, which are included in </w:t>
      </w:r>
      <w:r>
        <w:rPr>
          <w:rFonts w:ascii="Times New Roman;serif" w:hAnsi="Times New Roman;serif"/>
          <w:b w:val="false"/>
          <w:i/>
          <w:color w:val="000000"/>
          <w:sz w:val="20"/>
        </w:rPr>
        <w:t>due to related parties</w:t>
      </w:r>
      <w:r>
        <w:rPr>
          <w:rFonts w:ascii="Times New Roman;serif" w:hAnsi="Times New Roman;serif"/>
          <w:b w:val="false"/>
          <w:color w:val="000000"/>
          <w:sz w:val="20"/>
        </w:rPr>
        <w:t xml:space="preserve">,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16.    Warrant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issued warrants through RDOs. In the event of certain fundamental transactions involving the company, the holders of the warrants may require the company to make a payment based on a Black-Scholes valuation, using specified inputs that are not considered indexed to the company’s stock in accordance with ASC 815. Therefore, we classified the warrants as a liability at their fair value determined using the Black-Scholes option pricing model. The proceeds from issuance of common stock and warrants are allocated to warrants based on its fair value. The warrants issued by the company are summarized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December 2022 Warrants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December 12, 2022 RDO, the company issued 9,090,909 warrants with an exercise price of $6.60 per share. The warrants became immediately exercisable on December 12, 2022 and expired in full on December 12, 2024.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February 2023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the February 15, 2023 RDO, the company issued 14,072,615 warrants with an exercise price of $4.2636 per share. The warrants became immediately exercisable on February 17, 2023 and expire two years after the initial issuance date. On July 25, 2023, the company amended the terms of the warrant, reducing the exercise price of the warrants from $4.2636 per share to $3.2946 per share and extending the expiration date of the warrants until July 24, 2026. The fair value of warrants was estimated at $23.7 million at the issuance date. Of the total offering costs, $1.0 million were allocated to the warrants </w:t>
      </w:r>
      <w:r>
        <w:rPr>
          <w:rFonts w:ascii="Times New Roman;serif" w:hAnsi="Times New Roman;serif"/>
          <w:b w:val="false"/>
          <w:color w:val="000000"/>
          <w:sz w:val="20"/>
          <w:shd w:fill="FFFFFF" w:val="clear"/>
        </w:rPr>
        <w:t xml:space="preserve">and recorded in </w:t>
      </w:r>
      <w:r>
        <w:rPr>
          <w:rFonts w:ascii="Times New Roman;serif" w:hAnsi="Times New Roman;serif"/>
          <w:b w:val="false"/>
          <w:i/>
          <w:color w:val="000000"/>
          <w:sz w:val="20"/>
          <w:shd w:fill="FFFFFF" w:val="clear"/>
        </w:rPr>
        <w:t>other income (expense), net</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on the consolidated statement of operations </w:t>
      </w:r>
      <w:r>
        <w:rPr>
          <w:rFonts w:ascii="Times New Roman;serif" w:hAnsi="Times New Roman;serif"/>
          <w:b w:val="false"/>
          <w:color w:val="000000"/>
          <w:sz w:val="20"/>
          <w:shd w:fill="FFFFFF" w:val="clear"/>
        </w:rPr>
        <w:t>on the date of the transaction</w:t>
      </w:r>
      <w:r>
        <w:rPr>
          <w:rFonts w:ascii="Times New Roman;serif" w:hAnsi="Times New Roman;serif"/>
          <w:b w:val="false"/>
          <w:color w:val="000000"/>
          <w:sz w:val="20"/>
        </w:rPr>
        <w:t>. Since the warrants were classified as liabilities and measured at fair value, we recognized the change of $7.3 million in fair value of warrant liability in earnings due to the warrant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22885"/>
                <wp:effectExtent l="0" t="0" r="0" b="0"/>
                <wp:wrapNone/>
                <wp:docPr id="240" name="Frame2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221</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July 2023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the July 20, 2023 RDO, the company issued 14,569,296 warrants with an exercise price of $3.2946 per share. These warrants became immediately exercisable on July 25, 2023 and expire on July 24, 2026. The fair value of warrants was estimated at $25.8 million at the issuance date. Of the total offering costs, $1.0 million were allocated to the warrants </w:t>
      </w:r>
      <w:r>
        <w:rPr>
          <w:rFonts w:ascii="Times New Roman;serif" w:hAnsi="Times New Roman;serif"/>
          <w:b w:val="false"/>
          <w:color w:val="000000"/>
          <w:sz w:val="20"/>
          <w:shd w:fill="FFFFFF" w:val="clear"/>
        </w:rPr>
        <w:t xml:space="preserve">and recorded in </w:t>
      </w:r>
      <w:r>
        <w:rPr>
          <w:rFonts w:ascii="Times New Roman;serif" w:hAnsi="Times New Roman;serif"/>
          <w:b w:val="false"/>
          <w:i/>
          <w:color w:val="000000"/>
          <w:sz w:val="20"/>
          <w:shd w:fill="FFFFFF" w:val="clear"/>
        </w:rPr>
        <w:t>other income (expense), net</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on the consolidated statement of operations </w:t>
      </w:r>
      <w:r>
        <w:rPr>
          <w:rFonts w:ascii="Times New Roman;serif" w:hAnsi="Times New Roman;serif"/>
          <w:b w:val="false"/>
          <w:color w:val="000000"/>
          <w:sz w:val="20"/>
          <w:shd w:fill="FFFFFF" w:val="clear"/>
        </w:rPr>
        <w:t>on the date of the transaction</w:t>
      </w:r>
      <w:r>
        <w:rPr>
          <w:rFonts w:ascii="Times New Roman;serif" w:hAnsi="Times New Roman;serif"/>
          <w:b w:val="false"/>
          <w:color w:val="000000"/>
          <w:sz w:val="20"/>
        </w:rPr>
        <w:t xml:space="preserv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April 2025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the April 7, 2025 RDO, the company issued 29,024,768 warrants with an exercise price of $3.1010 per share. These warrants became immediately exercisable on April 9, 2025 and expire on April 9, 2030. The fair value of warrants was estimated at $61.8 million at the issuance date. Of the total offering costs, $0.1 million were allocated to the warrants and recorded in </w:t>
      </w:r>
      <w:r>
        <w:rPr>
          <w:rFonts w:ascii="Times New Roman;serif" w:hAnsi="Times New Roman;serif"/>
          <w:b w:val="false"/>
          <w:i/>
          <w:color w:val="000000"/>
          <w:sz w:val="20"/>
        </w:rPr>
        <w:t>other income (expense), net</w:t>
      </w:r>
      <w:r>
        <w:rPr>
          <w:rFonts w:ascii="Times New Roman;serif" w:hAnsi="Times New Roman;serif"/>
          <w:b w:val="false"/>
          <w:color w:val="000000"/>
          <w:sz w:val="20"/>
        </w:rPr>
        <w:t xml:space="preserve">, on the consolidated statement of operations on the date of the transaction.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July 2025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the July 24, 2025 RDO, the company issued 29,629,632 warrants with an exercise price of $3.240 per share. These warrants became immediately exercisable on July 28, 2025 and expire on July 28, 2030. The fair value of warrants was estimated at $63.1 million at the issuance date. Of the total offering costs, $2.0 million were allocated to the warrants and recorded in </w:t>
      </w:r>
      <w:r>
        <w:rPr>
          <w:rFonts w:ascii="Times New Roman;serif" w:hAnsi="Times New Roman;serif"/>
          <w:b w:val="false"/>
          <w:i/>
          <w:color w:val="000000"/>
          <w:sz w:val="20"/>
        </w:rPr>
        <w:t>other income (expense), net</w:t>
      </w:r>
      <w:r>
        <w:rPr>
          <w:rFonts w:ascii="Times New Roman;serif" w:hAnsi="Times New Roman;serif"/>
          <w:b w:val="false"/>
          <w:color w:val="000000"/>
          <w:sz w:val="20"/>
        </w:rPr>
        <w:t xml:space="preserve">, on the consolidated statement of operations on the date of the transaction.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carrying amount of warrant liabilities measured at fair value during the years ended December 31, 2025, 2024, and 2023 (in thousands):</w:t>
      </w:r>
    </w:p>
    <w:tbl>
      <w:tblPr>
        <w:tblW w:w="10205" w:type="dxa"/>
        <w:jc w:val="left"/>
        <w:tblInd w:w="0" w:type="dxa"/>
        <w:tblLayout w:type="fixed"/>
        <w:tblCellMar>
          <w:top w:w="28" w:type="dxa"/>
          <w:left w:w="28" w:type="dxa"/>
          <w:bottom w:w="28" w:type="dxa"/>
          <w:right w:w="28" w:type="dxa"/>
        </w:tblCellMar>
      </w:tblPr>
      <w:tblGrid>
        <w:gridCol w:w="755"/>
        <w:gridCol w:w="663"/>
        <w:gridCol w:w="666"/>
        <w:gridCol w:w="211"/>
        <w:gridCol w:w="721"/>
        <w:gridCol w:w="109"/>
        <w:gridCol w:w="109"/>
        <w:gridCol w:w="109"/>
        <w:gridCol w:w="109"/>
        <w:gridCol w:w="249"/>
        <w:gridCol w:w="852"/>
        <w:gridCol w:w="130"/>
        <w:gridCol w:w="109"/>
        <w:gridCol w:w="109"/>
        <w:gridCol w:w="109"/>
        <w:gridCol w:w="322"/>
        <w:gridCol w:w="712"/>
        <w:gridCol w:w="167"/>
        <w:gridCol w:w="109"/>
        <w:gridCol w:w="109"/>
        <w:gridCol w:w="109"/>
        <w:gridCol w:w="237"/>
        <w:gridCol w:w="530"/>
        <w:gridCol w:w="116"/>
        <w:gridCol w:w="109"/>
        <w:gridCol w:w="109"/>
        <w:gridCol w:w="109"/>
        <w:gridCol w:w="211"/>
        <w:gridCol w:w="721"/>
        <w:gridCol w:w="109"/>
        <w:gridCol w:w="109"/>
        <w:gridCol w:w="109"/>
        <w:gridCol w:w="109"/>
        <w:gridCol w:w="211"/>
        <w:gridCol w:w="721"/>
        <w:gridCol w:w="15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2022</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2025</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2025</w:t>
              <w:br/>
              <w:t>Warrants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issuance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2023</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49,958 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51,721 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2024</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issuance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84,417 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42,418 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22885"/>
                <wp:effectExtent l="0" t="0" r="0" b="0"/>
                <wp:wrapNone/>
                <wp:docPr id="241" name="Frame2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222</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warrant exercise activity during the years ended December 31, 2025, 2024, and 2023:</w:t>
      </w:r>
    </w:p>
    <w:tbl>
      <w:tblPr>
        <w:tblW w:w="11398" w:type="dxa"/>
        <w:jc w:val="left"/>
        <w:tblInd w:w="0" w:type="dxa"/>
        <w:tblLayout w:type="fixed"/>
        <w:tblCellMar>
          <w:top w:w="28" w:type="dxa"/>
          <w:left w:w="28" w:type="dxa"/>
          <w:bottom w:w="28" w:type="dxa"/>
          <w:right w:w="28" w:type="dxa"/>
        </w:tblCellMar>
      </w:tblPr>
      <w:tblGrid>
        <w:gridCol w:w="511"/>
        <w:gridCol w:w="449"/>
        <w:gridCol w:w="451"/>
        <w:gridCol w:w="547"/>
        <w:gridCol w:w="549"/>
        <w:gridCol w:w="166"/>
        <w:gridCol w:w="109"/>
        <w:gridCol w:w="109"/>
        <w:gridCol w:w="109"/>
        <w:gridCol w:w="495"/>
        <w:gridCol w:w="496"/>
        <w:gridCol w:w="411"/>
        <w:gridCol w:w="109"/>
        <w:gridCol w:w="109"/>
        <w:gridCol w:w="109"/>
        <w:gridCol w:w="547"/>
        <w:gridCol w:w="549"/>
        <w:gridCol w:w="401"/>
        <w:gridCol w:w="109"/>
        <w:gridCol w:w="109"/>
        <w:gridCol w:w="109"/>
        <w:gridCol w:w="547"/>
        <w:gridCol w:w="549"/>
        <w:gridCol w:w="276"/>
        <w:gridCol w:w="109"/>
        <w:gridCol w:w="109"/>
        <w:gridCol w:w="109"/>
        <w:gridCol w:w="540"/>
        <w:gridCol w:w="541"/>
        <w:gridCol w:w="296"/>
        <w:gridCol w:w="109"/>
        <w:gridCol w:w="109"/>
        <w:gridCol w:w="109"/>
        <w:gridCol w:w="540"/>
        <w:gridCol w:w="541"/>
        <w:gridCol w:w="361"/>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2022</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2025</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2025</w:t>
              <w:br/>
              <w:t>Warrants</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Warrants outstanding, at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December 31, 2022</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9,090,909 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9,090,909 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28,641,911 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14,072,615 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14,569,296 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Warrants outstanding, at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December 31, 2023</w:t>
            </w:r>
          </w:p>
        </w:tc>
        <w:tc>
          <w:tcPr>
            <w:tcW w:w="10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37,732,820 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9,090,909 </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14,072,615 </w:t>
            </w:r>
          </w:p>
        </w:tc>
        <w:tc>
          <w:tcPr>
            <w:tcW w:w="4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14,569,296 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(22,242,740)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(11,258,092)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(10,984,648)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expirations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(9,090,909)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Warrants outstanding, at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December 31, 2024</w:t>
            </w:r>
          </w:p>
        </w:tc>
        <w:tc>
          <w:tcPr>
            <w:tcW w:w="10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6,399,171 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2,814,523 </w:t>
            </w:r>
          </w:p>
        </w:tc>
        <w:tc>
          <w:tcPr>
            <w:tcW w:w="4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3,584,648 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58,654,400 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29,024,768 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29,629,632 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Warrants outstanding, at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December 31, 2025</w:t>
            </w:r>
          </w:p>
        </w:tc>
        <w:tc>
          <w:tcPr>
            <w:tcW w:w="109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65,053,571 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2,814,523 </w:t>
            </w:r>
          </w:p>
        </w:tc>
        <w:tc>
          <w:tcPr>
            <w:tcW w:w="4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3,584,648 </w:t>
            </w:r>
          </w:p>
        </w:tc>
        <w:tc>
          <w:tcPr>
            <w:tcW w:w="2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29,024,768 </w:t>
            </w:r>
          </w:p>
        </w:tc>
        <w:tc>
          <w:tcPr>
            <w:tcW w:w="2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29,629,632 </w:t>
            </w:r>
          </w:p>
        </w:tc>
        <w:tc>
          <w:tcPr>
            <w:tcW w:w="3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Warrant Valuation Assumptions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warrants was computed using the Black-Scholes option pricing model with the following key assumptions at the following dates:</w:t>
      </w:r>
    </w:p>
    <w:tbl>
      <w:tblPr>
        <w:tblW w:w="8651" w:type="dxa"/>
        <w:jc w:val="left"/>
        <w:tblInd w:w="0" w:type="dxa"/>
        <w:tblLayout w:type="fixed"/>
        <w:tblCellMar>
          <w:top w:w="28" w:type="dxa"/>
          <w:left w:w="28" w:type="dxa"/>
          <w:bottom w:w="28" w:type="dxa"/>
          <w:right w:w="28" w:type="dxa"/>
        </w:tblCellMar>
      </w:tblPr>
      <w:tblGrid>
        <w:gridCol w:w="859"/>
        <w:gridCol w:w="754"/>
        <w:gridCol w:w="757"/>
        <w:gridCol w:w="308"/>
        <w:gridCol w:w="308"/>
        <w:gridCol w:w="707"/>
        <w:gridCol w:w="109"/>
        <w:gridCol w:w="109"/>
        <w:gridCol w:w="109"/>
        <w:gridCol w:w="307"/>
        <w:gridCol w:w="309"/>
        <w:gridCol w:w="632"/>
        <w:gridCol w:w="136"/>
        <w:gridCol w:w="136"/>
        <w:gridCol w:w="136"/>
        <w:gridCol w:w="308"/>
        <w:gridCol w:w="308"/>
        <w:gridCol w:w="632"/>
        <w:gridCol w:w="136"/>
        <w:gridCol w:w="136"/>
        <w:gridCol w:w="136"/>
        <w:gridCol w:w="308"/>
        <w:gridCol w:w="308"/>
        <w:gridCol w:w="703"/>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2022 </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February and July 2023 Warrants </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2023</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 per share</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$3.2946</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$3.2946</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$3.2946</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0.6 years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 years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2.6 years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average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2025 Warrants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2025 Warrants</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Issuance Date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April 9, 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Issuance Date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July 28, 2025</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 per share</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average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22885"/>
                <wp:effectExtent l="0" t="0" r="0" b="0"/>
                <wp:wrapNone/>
                <wp:docPr id="242" name="Frame2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223</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term is the time remaining until the expiration of the warrants. The expected average volatility was estimated based on the historical and implied volatility of our common stock. The expected dividend yield was based on our expectation of not paying dividends for the foreseeable future. The risk-free interest rate was based on the U.S. Treasury’s rates for U.S. Treasury zero-coupon bonds with maturities similar to those of the expected term of the award being valued. The significant unobservable inputs used in the warrant valuation are the expected term and the expected average volatility.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17.    Stockholders’ Deficit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 Authorized for Issuance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was authorized to issue up to 1,650,000,000 shares of its common stock, par value $0.0001 per share, and 20,000,000 shares of our preferred stock, par value $0.0001 per share. As of December 31, 2025, there were 1,011,800,008 shares of our common stock outstanding (excluding 163,800 shares held by a majority-owned subsidiary of the company that are treated as treasury shares for accounting purposes).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20, 2025, ImmunityBio, Inc. filed a DEF 14C with the SEC to inform its stockholders of an action taken by its Board of Directors and by the written consent of stockholders representing a majority of the voting power of its common stock to amend its Amended and Restated Certificate of Incorporation to increase the number of authorized shares of common stock from 1.350 billion shares of common stock, $0.0001 par value per share, to 1.650 billion shares of common stock, $0.0001 par value per share. The number of shares of preferred stock, $0.0001 par value per share, that the company is authorized to issue remains unchanged at 20.0 million shares. The amendment became effective on November 10,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2015, the Board of Directors approved the 2015 Share Repurchase Program, which allows our CEO or CFO to repurchase on behalf of the company, from time to time in the open market or in privately negotiated transactions, up to $50.0 million of our outstanding shares of common stock, exclusive of any commissions, markups, or expenses. The timing and amounts of any purchases were and will continue to be based on market conditions and other factors, including price, regulatory requirements, and other corporate considerations. The 2015 Share Repurchase Program does not require the purchase of any minimum number of shares and may be suspended, modified, or discontinued at any time without prior notice. We have financed, and expect to continue to finance, the purchases with existing cash balances. Shares repurchased under this program are formally retired through approval of the Board of Directors upon repurchase.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no shares of our common stock were repurchased under the program. Since the program’s inception, we have repurchased a total of 6,403,489 shares at a total cost of $31.7 million. As of December 31, 2025, $18.3 million remained authorized to use for share repurchases under the program.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During the year ended December 31, 2023, we sold shares our common stock and warrants valued at $184.4 million under this shelf. As of December 31, 2025, we had $565.6 million available for use under this shelf. This shelf registration statement expired on February 9, 2026.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 During the years ended December 31, 2025 and 2024, we sold 58,654,400 shares and 38,333,334 shares of our common stock, respectively, under this shelf generating net proceeds of approximately $150.1 million and $106.9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22885"/>
                <wp:effectExtent l="0" t="0" r="0" b="0"/>
                <wp:wrapNone/>
                <wp:docPr id="243" name="Frame2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224</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the ATM under which we may offer and sell, from time to time at our sole discretion, shares of our common stock through our sales agent. We pay our sales agent a commission of up to 3.0% of the gross sales proceeds of any shares of our common stock sold through them under the ATM and also have provided them with customary indemnification and contribution rights.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filed a prospectus supplement to our shelf registration statement that amended the 2021 ATM agreement to increase the amount available for future stock issuances under the ATM to $500.0 million. During the years ended December 31, 2025, 2024 and 2023, we received net proceeds of approximately $250.1 million, $3.6 million, and $16.1 million, respectively, from the issuance of shares under the ATM.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obligated to sell any shares and may at any time suspend solicitation and offers under the ATM. The ATM may be terminated by us at any time given written notice to the sales agent for any reason or by the sales agent at any time by giving written notice to us for any reason or immediately under certain circumstances and shall automatically terminate upon the issuance and sale of all of the shares.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Registered Direct Offerings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2025 Offerings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April 2025</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April 7, 2025, we entered into a securities purchase agreement with an institutional investor for the purchase and sale of 29,024,768 shares of our common stock, as well as warrants that allows such investor to purchase an additional 29,024,768 shares of common stock at an exercise price of $3.1010 per share, for a purchase price of $2.5840 per share and accompanying warrant. This transaction generated net proceeds of approximately $74.8 million, after deducting offering costs of $0.2 million, of which $0.1 million was allocated to the sale of our common stock and recorded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on the consolidated statement of stockholders’ deficit during the year ended December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July 2025</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July 24, 2025, we entered into a securities purchase agreement with institutional investors for the purchase and sale of 29,629,632 shares of our common stock, as well as warrants that allows such investors to purchase an additional 29,629,632 shares of common stock at an exercise price of $3.240 per share, for a purchase price of $2.700 per share and accompanying warrant. This transaction generated net proceeds of approximately $75.4 million, after deducting placement agent fees and offering costs totaling $4.6 million, of which $2.6 million was allocated to the sale of our common stock and recorded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xml:space="preserve">, on the consolidated statement of stockholders’ deficit during the year ended December 31,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2023 Offerings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February 2023</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February 15, 2023, we entered into a securities purchase agreement with certain institutional investors for the purchase and sale of 14,072,615 shares of our common stock, as well as warrants that allow such investors to purchase an additional 14,072,615 shares of common stock at an exercise price of $4.2636 per share, for a purchase price of $3.5530 per share and accompanying warrant. This transaction generated net proceeds of approximately $47.0 million, after deducting placement agent fees and other offering costs of $3.0 million, of which $2.0 million was allocated to the sale of our common stock and recorded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 xml:space="preserve">on the consolidated statement of stockholders’ deficit during the year ended December 31, 2023.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July 25, 2023, pursuant to the terms of a letter amendment, the company and the investors agreed to reduce the exercise price of the outstanding February 2023 Warrants from $4.2636 per share to $3.2946 per share and extend the expiration date of the warrants to July 24, 2026. See </w:t>
      </w:r>
      <w:hyperlink w:anchor="i49f82bc2aa33405eae1e0b45f37d1ae6_295">
        <w:r>
          <w:rPr>
            <w:rStyle w:val="InternetLink"/>
            <w:rFonts w:ascii="Times New Roman;serif" w:hAnsi="Times New Roman;serif"/>
            <w:b w:val="false"/>
            <w:color w:val="0000FF"/>
            <w:sz w:val="20"/>
            <w:u w:val="single"/>
          </w:rPr>
          <w:t>Note 16</w:t>
        </w:r>
      </w:hyperlink>
      <w:r>
        <w:rPr>
          <w:color w:val="000000"/>
          <w:shd w:fill="FFFFFF" w:val="clear"/>
        </w:rPr>
        <w:t xml:space="preserve"> “</w:t>
      </w:r>
      <w:r>
        <w:rPr>
          <w:rFonts w:ascii="Times New Roman;serif" w:hAnsi="Times New Roman;serif"/>
          <w:b w:val="false"/>
          <w:i/>
          <w:color w:val="000000"/>
          <w:sz w:val="20"/>
          <w:shd w:fill="FFFFFF" w:val="clear"/>
        </w:rPr>
        <w:t>Warrant Liabilities”</w:t>
      </w:r>
      <w:r>
        <w:rPr>
          <w:color w:val="000000"/>
          <w:shd w:fill="FFFFFF" w:val="clear"/>
        </w:rPr>
        <w:t xml:space="preserve"> </w:t>
      </w:r>
      <w:r>
        <w:rPr>
          <w:rFonts w:ascii="Times New Roman;serif" w:hAnsi="Times New Roman;serif"/>
          <w:b w:val="false"/>
          <w:color w:val="000000"/>
          <w:sz w:val="20"/>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22885"/>
                <wp:effectExtent l="0" t="0" r="0" b="0"/>
                <wp:wrapNone/>
                <wp:docPr id="244" name="Frame2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225</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July 2023</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July 20, 2023, we entered into a securities purchase agreement with certain institutional investors for the purchase and sale of 14,569,296 shares of our common stock, as well as warrants that allow such investors to purchase an additional 14,569,296 shares of common stock at an exercise price of $3.2946 per share, for a purchase price of $2.7455 per share and accompanying warrant. This transaction generated net proceeds of approximately $37.5 million, after deducting placement agent fees and other estimated offering costs of $2.5 million, of which $12.7 million was allocated to the sale of our common stock and recorded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xml:space="preserve">, on the consolidated statement of stockholders’ deficit during the year ended December 31, 2023.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During the year ended December 31, 2024, institutional holders exercised a total of 11,258,092 warrants pursuant to the February 2023 Warrant agreement at an exercise price of $3.2946 per share resulting in the issuance of 11,258,092 shares of the company’s common stock for proceeds totaling $37.1 million. We recorded $83.2 million in </w:t>
      </w:r>
      <w:r>
        <w:rPr>
          <w:rFonts w:ascii="Times New Roman;serif" w:hAnsi="Times New Roman;serif"/>
          <w:b w:val="false"/>
          <w:i/>
          <w:color w:val="000000"/>
          <w:sz w:val="20"/>
        </w:rPr>
        <w:t xml:space="preserve">additional paid-in capital, </w:t>
      </w:r>
      <w:r>
        <w:rPr>
          <w:rFonts w:ascii="Times New Roman;serif" w:hAnsi="Times New Roman;serif"/>
          <w:b w:val="false"/>
          <w:color w:val="000000"/>
          <w:sz w:val="20"/>
        </w:rPr>
        <w:t>on the consolidated statement of stockholders’ deficit during the year ended December 31, 2024 related to these warrant exercises.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During the year ended December 31, 2024, institutional holders exercised a total of 10,984,648 warrants pursuant to the July 2023 Warrant agreement at an exercise price of $3.2946 per share resulting in the issuance of 10,984,648 shares of the company’s common stock for proceeds totaling $36.2 million. We recorded $80.3 million in </w:t>
      </w:r>
      <w:r>
        <w:rPr>
          <w:rFonts w:ascii="Times New Roman;serif" w:hAnsi="Times New Roman;serif"/>
          <w:b w:val="false"/>
          <w:i/>
          <w:color w:val="000000"/>
          <w:sz w:val="20"/>
        </w:rPr>
        <w:t xml:space="preserve">additional paid-in capital, </w:t>
      </w:r>
      <w:r>
        <w:rPr>
          <w:rFonts w:ascii="Times New Roman;serif" w:hAnsi="Times New Roman;serif"/>
          <w:b w:val="false"/>
          <w:color w:val="000000"/>
          <w:sz w:val="20"/>
        </w:rPr>
        <w:t>on the consolidated statement of stockholders’ deficit during the year ended December 31, 2024 related to these warrant exercises.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and 2023, there were no warrant exercises pursuant to the 2025 and 2023 warrant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Purchase and Option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and in connection with the RIPA, we entered into a SPOA with Oberland. Under this agreement, Oberland had an option to purchase up to $10.0 million of our common stock, at a price per share to be determined by reference to the 30-day trailing volume weighted-average price of our common stock, calculated from the date of exercise. The option is exercisable by Oberland any time until the earliest of (i) 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 As of December 31, 2025, approximately $5.0 million remains available for future exercise under the SPOA.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Conversion of Promissory Notes into Common Stock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our December 2024 equity offering, the company received written notice from Nant Capital, the holder of the $30.0 million promissory note due December 31, 2025, of its election to convert the entire outstanding principal and accrued interest under the existing note into shares of the company’s common stock. As of such date, the total outstanding principal amount and accrued and unpaid interest due under the existing note of approximately $30.7 million were converted into 13,475,172 shares of the company’s common stock at a price of $2.28 per share in accordance with the terms of the promissory note. We recorded a net increase of $26.2 million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on the consolidated balance sheet related to this transaction. See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Also, in connection with our December 2024 equity offering, the company received written notice from Nant Capital, the holder of the $200.0 million promissory note due September 11, 2026, of its election to convert the entire outstanding principal and accrued interest under the existing note into shares of the company’s common stock. As of such date, the total outstanding principal amount and accrued and unpaid interest due under the existing note of approximately $200.7 million were converted into 103,710,088 shares of the company’s common stock at a price of $1.9350 per share in accordance with the terms of the promissory note. We recorded a net increase of $162.3 million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on the consolidated balance sheet related to this transaction. See </w:t>
      </w:r>
      <w:hyperlink w:anchor="i49f82bc2aa33405eae1e0b45f37d1ae6_265">
        <w:r>
          <w:rPr>
            <w:rStyle w:val="InternetLink"/>
            <w:rFonts w:ascii="Times New Roman;serif" w:hAnsi="Times New Roman;serif"/>
            <w:b w:val="false"/>
            <w:color w:val="0000FF"/>
            <w:sz w:val="20"/>
            <w:u w:val="single"/>
          </w:rPr>
          <w:t>Note 14</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22885"/>
                <wp:effectExtent l="0" t="0" r="0" b="0"/>
                <wp:wrapNone/>
                <wp:docPr id="245" name="Frame2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226</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entered into a stock purchase agreement with Nant Capital, NantMobile and NCSC pursuant to which the related-party purchasers exchanged all such fixed-rate promissory notes, representing approximately $270.0 million in aggregate principal amount and accrued and unpaid interest, in exchange for an aggregate of 209,291,936 shares of common stock at an exchange price of $1.29 per share.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December 12, 2022, the company received written notice from NantWorks, the holder of the existing note, of its election to convert the entire outstanding principal and accrued and unpaid interest under the existing note into shares of the company’s common stock. As of such date, the entire outstanding principal amount and accrued and unpaid interest due under the existing note of approximately $56.6 million and an unamortized debt discount of $4.7 million were converted into 9,986,920 shares of the company’s common stock at a price of $5.67 per share in accordance with the terms of the existing note. We recorded a net increase of $51.9 million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on the consolidated balance sheet related to this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18, 2025, our stockholders voted to approve the 2025 Plan, which replaced the 2015 Plan in its entirety. No further awards will be made under the 2015 Plan, but the 2015 Plan will continue to govern awards previously granted under it. The 2025 Plan permits the grant of incentive stock options, within the meaning of Section 422 of the Code, to the company’s employees and the grant of non-statutory stock options, stock appreciation rights, restricted stock, restricted stock units, and Performance Awards (as defined in the 2025 Plan) to the company’s employees, directors and consultants. A total of 46,088,027 shares were reserved for issuance pursuant to the 2025 Plan. In addition, the shares reserved for issuance under the 2025 Plan also included shares subject to stock options or similar awards granted under the 2015 Plan that expire or terminate without having been exercised in full and shares issued pursuant to awards granted under the 2015 Plan that are forfeited to or repurchased by the company (provided that the maximum number of shares that may be added to the 2025 Plan pursuant to this provision is 32,359,674 shares). As of December 31, 2025, approximately 47,341,842 shares were available for future grants under the 2025 Plan.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included on the consolidated statements of operations (in thousands):</w:t>
      </w:r>
    </w:p>
    <w:tbl>
      <w:tblPr>
        <w:tblW w:w="8697" w:type="dxa"/>
        <w:jc w:val="left"/>
        <w:tblInd w:w="0" w:type="dxa"/>
        <w:tblLayout w:type="fixed"/>
        <w:tblCellMar>
          <w:top w:w="28" w:type="dxa"/>
          <w:left w:w="28" w:type="dxa"/>
          <w:bottom w:w="28" w:type="dxa"/>
          <w:right w:w="28" w:type="dxa"/>
        </w:tblCellMar>
      </w:tblPr>
      <w:tblGrid>
        <w:gridCol w:w="1767"/>
        <w:gridCol w:w="1550"/>
        <w:gridCol w:w="1558"/>
        <w:gridCol w:w="211"/>
        <w:gridCol w:w="721"/>
        <w:gridCol w:w="109"/>
        <w:gridCol w:w="109"/>
        <w:gridCol w:w="109"/>
        <w:gridCol w:w="109"/>
        <w:gridCol w:w="211"/>
        <w:gridCol w:w="721"/>
        <w:gridCol w:w="109"/>
        <w:gridCol w:w="109"/>
        <w:gridCol w:w="109"/>
        <w:gridCol w:w="109"/>
        <w:gridCol w:w="211"/>
        <w:gridCol w:w="721"/>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49,163 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 operating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49,163 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capitalized into inventory totaled $0.6 million for the year ended December 31, 2025. There was no stock-based compensation expense capitalized into inventory for the years ended December 31, 2024 and 2023. Capitalized stock-based compensation is recognized as an expense in cost of sales when the related product is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22885"/>
                <wp:effectExtent l="0" t="0" r="0" b="0"/>
                <wp:wrapNone/>
                <wp:docPr id="246" name="Frame2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227</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and related information for the year ended December 31, 2025:</w:t>
      </w:r>
    </w:p>
    <w:tbl>
      <w:tblPr>
        <w:tblW w:w="9249" w:type="dxa"/>
        <w:jc w:val="left"/>
        <w:tblInd w:w="0" w:type="dxa"/>
        <w:tblLayout w:type="fixed"/>
        <w:tblCellMar>
          <w:top w:w="28" w:type="dxa"/>
          <w:left w:w="28" w:type="dxa"/>
          <w:bottom w:w="28" w:type="dxa"/>
          <w:right w:w="28" w:type="dxa"/>
        </w:tblCellMar>
      </w:tblPr>
      <w:tblGrid>
        <w:gridCol w:w="1375"/>
        <w:gridCol w:w="1207"/>
        <w:gridCol w:w="1213"/>
        <w:gridCol w:w="540"/>
        <w:gridCol w:w="541"/>
        <w:gridCol w:w="296"/>
        <w:gridCol w:w="109"/>
        <w:gridCol w:w="109"/>
        <w:gridCol w:w="109"/>
        <w:gridCol w:w="211"/>
        <w:gridCol w:w="616"/>
        <w:gridCol w:w="109"/>
        <w:gridCol w:w="109"/>
        <w:gridCol w:w="109"/>
        <w:gridCol w:w="109"/>
        <w:gridCol w:w="347"/>
        <w:gridCol w:w="595"/>
        <w:gridCol w:w="182"/>
        <w:gridCol w:w="109"/>
        <w:gridCol w:w="109"/>
        <w:gridCol w:w="109"/>
        <w:gridCol w:w="303"/>
        <w:gridCol w:w="303"/>
        <w:gridCol w:w="430"/>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Value</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Life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15,407,588 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11,216,448 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(110,020)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(2,581,512)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23,932,504 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9,657,097 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unrecognized compensation cost related to outstanding stock options was $30.8 million, which is expected to be recognized over a remaining weighted-average period of 1.8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total intrinsic value of stock options exercised was $0.1 million, $0.9 million, and $0.3 million, respectively. During the years ended December 31, 2025, 2024 and 2023, cash proceeds received from stock option exercises were $0.2 million, $0.7 million, and $0.3 million,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2024, a total of 8,038,537 vested and exercisable stock options were outstanding.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issued was estimated at the date of grant using the Black-Scholes option pricing model with the following weighted-average assumptions:</w:t>
      </w:r>
    </w:p>
    <w:tbl>
      <w:tblPr>
        <w:tblW w:w="7383" w:type="dxa"/>
        <w:jc w:val="left"/>
        <w:tblInd w:w="0" w:type="dxa"/>
        <w:tblLayout w:type="fixed"/>
        <w:tblCellMar>
          <w:top w:w="28" w:type="dxa"/>
          <w:left w:w="28" w:type="dxa"/>
          <w:bottom w:w="28" w:type="dxa"/>
          <w:right w:w="28" w:type="dxa"/>
        </w:tblCellMar>
      </w:tblPr>
      <w:tblGrid>
        <w:gridCol w:w="1184"/>
        <w:gridCol w:w="1040"/>
        <w:gridCol w:w="1046"/>
        <w:gridCol w:w="314"/>
        <w:gridCol w:w="302"/>
        <w:gridCol w:w="516"/>
        <w:gridCol w:w="109"/>
        <w:gridCol w:w="109"/>
        <w:gridCol w:w="109"/>
        <w:gridCol w:w="314"/>
        <w:gridCol w:w="302"/>
        <w:gridCol w:w="516"/>
        <w:gridCol w:w="109"/>
        <w:gridCol w:w="109"/>
        <w:gridCol w:w="109"/>
        <w:gridCol w:w="308"/>
        <w:gridCol w:w="308"/>
        <w:gridCol w:w="579"/>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years</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term was estimated using the average of the contractual term and the weighted-average vesting term of the options. The risk-free interest rate was based on the U.S. Treasury’s rates for U.S. Treasury zero-coupon bonds with maturities similar to those of the expected term of the award being valued. The expected volatility was estimated based on the historical volatility of our common stock. The assumed dividend yield was based on our expectation of not paying dividends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22885"/>
                <wp:effectExtent l="0" t="0" r="0" b="0"/>
                <wp:wrapNone/>
                <wp:docPr id="247" name="Frame2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228</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during the year ended December 31, 2025:</w:t>
      </w:r>
    </w:p>
    <w:tbl>
      <w:tblPr>
        <w:tblW w:w="6143" w:type="dxa"/>
        <w:jc w:val="left"/>
        <w:tblInd w:w="0" w:type="dxa"/>
        <w:tblLayout w:type="fixed"/>
        <w:tblCellMar>
          <w:top w:w="28" w:type="dxa"/>
          <w:left w:w="28" w:type="dxa"/>
          <w:bottom w:w="28" w:type="dxa"/>
          <w:right w:w="28" w:type="dxa"/>
        </w:tblCellMar>
      </w:tblPr>
      <w:tblGrid>
        <w:gridCol w:w="1261"/>
        <w:gridCol w:w="1106"/>
        <w:gridCol w:w="1113"/>
        <w:gridCol w:w="524"/>
        <w:gridCol w:w="526"/>
        <w:gridCol w:w="296"/>
        <w:gridCol w:w="109"/>
        <w:gridCol w:w="109"/>
        <w:gridCol w:w="109"/>
        <w:gridCol w:w="213"/>
        <w:gridCol w:w="622"/>
        <w:gridCol w:w="155"/>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Grant Date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balance at December 31, 2024</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5,945,421 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4,875,232 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(2,153,485)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balance at December 31, 2025</w:t>
            </w:r>
          </w:p>
        </w:tc>
        <w:tc>
          <w:tcPr>
            <w:tcW w:w="105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8,127,668 </w:t>
            </w:r>
          </w:p>
        </w:tc>
        <w:tc>
          <w:tcPr>
            <w:tcW w:w="2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$22.5 million of unrecognized stock-based compensation expense related to RSUs that is expected to be recognized over a weighted-average period of 1.8 years. During the years ended December 31, 2025, 2024 and 2023, the total fair value of RSUs vested was $5.9 million, $14.6 million, and $11.1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Related-Party Warrants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total of 1,638,000 warrants issued to an affiliate of Dr. Soon-Shiong with an exercise price of $3.240 per share were outstanding as of December 31, 2025 and 2024. The fair value of $18.0 million assigned to the warrants will be recognized in equity upon achievement of a performance-based vesting condition pertaining to building manufacturing capacity to support supply requirements for ANKTIVA (which has not yet been satisfied). The warrants become exercisable 30 days following the achievement of the performance-based vesting condition (the initial exercise date) and expire on the 10th anniversary of the initial exercise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19.    Income Taxes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 as well as income tax in California, other states, and other certain foreign jurisdictions. Except for state franchise taxes, the company has not been required to pay significant U.S. federal and state income taxes because of current and accumulated NOLs. Our federal returns for tax years 2022 through 2024 remain open to examination, and our state returns remain subject to examination for tax years 2021 through 2024. NOL carryforwards and tax credits are still subject to examination in the year they are used. No income tax returns are currently under examination by taxing authorities.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cumulative earnings in our foreign subsidiaries as of December 31, 2025 that would be subject to U.S. income tax or foreign withholding tax. We plan to indefinitely reinvest any future earnings of our foreign subsidiaries.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loss before income taxes is as follows (in thousands): </w:t>
      </w:r>
    </w:p>
    <w:tbl>
      <w:tblPr>
        <w:tblW w:w="7136" w:type="dxa"/>
        <w:jc w:val="left"/>
        <w:tblInd w:w="0" w:type="dxa"/>
        <w:tblLayout w:type="fixed"/>
        <w:tblCellMar>
          <w:top w:w="28" w:type="dxa"/>
          <w:left w:w="28" w:type="dxa"/>
          <w:bottom w:w="28" w:type="dxa"/>
          <w:right w:w="28" w:type="dxa"/>
        </w:tblCellMar>
      </w:tblPr>
      <w:tblGrid>
        <w:gridCol w:w="1004"/>
        <w:gridCol w:w="881"/>
        <w:gridCol w:w="889"/>
        <w:gridCol w:w="211"/>
        <w:gridCol w:w="901"/>
        <w:gridCol w:w="109"/>
        <w:gridCol w:w="109"/>
        <w:gridCol w:w="109"/>
        <w:gridCol w:w="109"/>
        <w:gridCol w:w="211"/>
        <w:gridCol w:w="901"/>
        <w:gridCol w:w="109"/>
        <w:gridCol w:w="109"/>
        <w:gridCol w:w="109"/>
        <w:gridCol w:w="109"/>
        <w:gridCol w:w="211"/>
        <w:gridCol w:w="90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loss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loss before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(351,607)</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(583,892)</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22885"/>
                <wp:effectExtent l="0" t="0" r="0" b="0"/>
                <wp:wrapNone/>
                <wp:docPr id="248" name="Frame2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consists of the following (in thousands):</w:t>
      </w:r>
    </w:p>
    <w:tbl>
      <w:tblPr>
        <w:tblW w:w="5052" w:type="dxa"/>
        <w:jc w:val="left"/>
        <w:tblInd w:w="0" w:type="dxa"/>
        <w:tblLayout w:type="fixed"/>
        <w:tblCellMar>
          <w:top w:w="28" w:type="dxa"/>
          <w:left w:w="28" w:type="dxa"/>
          <w:bottom w:w="28" w:type="dxa"/>
          <w:right w:w="28" w:type="dxa"/>
        </w:tblCellMar>
      </w:tblPr>
      <w:tblGrid>
        <w:gridCol w:w="764"/>
        <w:gridCol w:w="672"/>
        <w:gridCol w:w="679"/>
        <w:gridCol w:w="211"/>
        <w:gridCol w:w="466"/>
        <w:gridCol w:w="109"/>
        <w:gridCol w:w="109"/>
        <w:gridCol w:w="109"/>
        <w:gridCol w:w="109"/>
        <w:gridCol w:w="211"/>
        <w:gridCol w:w="406"/>
        <w:gridCol w:w="109"/>
        <w:gridCol w:w="109"/>
        <w:gridCol w:w="109"/>
        <w:gridCol w:w="109"/>
        <w:gridCol w:w="211"/>
        <w:gridCol w:w="40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7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for the year ended December 31, 2025 differs from the statutory federal income tax rate presented after the adoption of ASU 2023-09 as follows (in thousands, except percentages): </w:t>
      </w:r>
    </w:p>
    <w:tbl>
      <w:tblPr>
        <w:tblW w:w="8178" w:type="dxa"/>
        <w:jc w:val="left"/>
        <w:tblInd w:w="0" w:type="dxa"/>
        <w:tblLayout w:type="fixed"/>
        <w:tblCellMar>
          <w:top w:w="28" w:type="dxa"/>
          <w:left w:w="28" w:type="dxa"/>
          <w:bottom w:w="28" w:type="dxa"/>
          <w:right w:w="28" w:type="dxa"/>
        </w:tblCellMar>
      </w:tblPr>
      <w:tblGrid>
        <w:gridCol w:w="1965"/>
        <w:gridCol w:w="1729"/>
        <w:gridCol w:w="1735"/>
        <w:gridCol w:w="271"/>
        <w:gridCol w:w="927"/>
        <w:gridCol w:w="140"/>
        <w:gridCol w:w="140"/>
        <w:gridCol w:w="140"/>
        <w:gridCol w:w="140"/>
        <w:gridCol w:w="291"/>
        <w:gridCol w:w="294"/>
        <w:gridCol w:w="406"/>
      </w:tblGrid>
      <w:tr>
        <w:trPr/>
        <w:tc>
          <w:tcPr>
            <w:tcW w:w="196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at U.S. federal statutory rate</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benefit</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tax laws or rates enacted in the current period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(66,561)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 benefit and effective tax rate</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22885"/>
                <wp:effectExtent l="0" t="0" r="0" b="0"/>
                <wp:wrapNone/>
                <wp:docPr id="249" name="Frame2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As previously disclosed prior to the adoption of ASU 2023-09 (See </w:t>
      </w:r>
      <w:hyperlink w:anchor="iedb18721e259467288d72bc305f35901_182987">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i/>
          <w:color w:val="000000"/>
          <w:sz w:val="20"/>
        </w:rPr>
        <w:t>Summary of Significant Accounting Policies—Recent Accounting Pronouncements”</w:t>
      </w:r>
      <w:r>
        <w:rPr>
          <w:rFonts w:ascii="Times New Roman;serif" w:hAnsi="Times New Roman;serif"/>
          <w:b w:val="false"/>
          <w:color w:val="000000"/>
          <w:sz w:val="20"/>
        </w:rPr>
        <w:t xml:space="preserve">), the effective income tax rate differed from the statutory federal income tax rate as follows: </w:t>
      </w:r>
    </w:p>
    <w:tbl>
      <w:tblPr>
        <w:tblW w:w="6470" w:type="dxa"/>
        <w:jc w:val="left"/>
        <w:tblInd w:w="0" w:type="dxa"/>
        <w:tblLayout w:type="fixed"/>
        <w:tblCellMar>
          <w:top w:w="28" w:type="dxa"/>
          <w:left w:w="28" w:type="dxa"/>
          <w:bottom w:w="28" w:type="dxa"/>
          <w:right w:w="28" w:type="dxa"/>
        </w:tblCellMar>
      </w:tblPr>
      <w:tblGrid>
        <w:gridCol w:w="1339"/>
        <w:gridCol w:w="1181"/>
        <w:gridCol w:w="1184"/>
        <w:gridCol w:w="109"/>
        <w:gridCol w:w="109"/>
        <w:gridCol w:w="291"/>
        <w:gridCol w:w="294"/>
        <w:gridCol w:w="409"/>
        <w:gridCol w:w="164"/>
        <w:gridCol w:w="164"/>
        <w:gridCol w:w="164"/>
        <w:gridCol w:w="291"/>
        <w:gridCol w:w="294"/>
        <w:gridCol w:w="477"/>
      </w:tblGrid>
      <w:tr>
        <w:trPr/>
        <w:tc>
          <w:tcPr>
            <w:tcW w:w="133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limitation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4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that comprise our net deferred tax liabilities consist of the following (in thousands):</w:t>
      </w:r>
    </w:p>
    <w:tbl>
      <w:tblPr>
        <w:tblW w:w="5777" w:type="dxa"/>
        <w:jc w:val="left"/>
        <w:tblInd w:w="0" w:type="dxa"/>
        <w:tblLayout w:type="fixed"/>
        <w:tblCellMar>
          <w:top w:w="28" w:type="dxa"/>
          <w:left w:w="28" w:type="dxa"/>
          <w:bottom w:w="28" w:type="dxa"/>
          <w:right w:w="28" w:type="dxa"/>
        </w:tblCellMar>
      </w:tblPr>
      <w:tblGrid>
        <w:gridCol w:w="1047"/>
        <w:gridCol w:w="921"/>
        <w:gridCol w:w="927"/>
        <w:gridCol w:w="211"/>
        <w:gridCol w:w="826"/>
        <w:gridCol w:w="109"/>
        <w:gridCol w:w="109"/>
        <w:gridCol w:w="109"/>
        <w:gridCol w:w="109"/>
        <w:gridCol w:w="211"/>
        <w:gridCol w:w="826"/>
        <w:gridCol w:w="109"/>
        <w:gridCol w:w="109"/>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R&amp;E capitalization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795,409 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855,845 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776,946 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22885"/>
                <wp:effectExtent l="0" t="0" r="0" b="0"/>
                <wp:wrapNone/>
                <wp:docPr id="250" name="Frame2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231</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our valuation allowance are as follows (in thousands):</w:t>
      </w:r>
    </w:p>
    <w:tbl>
      <w:tblPr>
        <w:tblW w:w="7194" w:type="dxa"/>
        <w:jc w:val="left"/>
        <w:tblInd w:w="0" w:type="dxa"/>
        <w:tblLayout w:type="fixed"/>
        <w:tblCellMar>
          <w:top w:w="28" w:type="dxa"/>
          <w:left w:w="28" w:type="dxa"/>
          <w:bottom w:w="28" w:type="dxa"/>
          <w:right w:w="28" w:type="dxa"/>
        </w:tblCellMar>
      </w:tblPr>
      <w:tblGrid>
        <w:gridCol w:w="1640"/>
        <w:gridCol w:w="1443"/>
        <w:gridCol w:w="1447"/>
        <w:gridCol w:w="211"/>
        <w:gridCol w:w="826"/>
        <w:gridCol w:w="109"/>
        <w:gridCol w:w="109"/>
        <w:gridCol w:w="109"/>
        <w:gridCol w:w="109"/>
        <w:gridCol w:w="211"/>
        <w:gridCol w:w="82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taken or written off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 – accumulated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 –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 end of year</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855,845 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777,085 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federal NOLs of $2.1 billion, state NOLs of $2.3 billion, and foreign NOLs of $22.0 million. Of the $2.1 billion in federal NOLs, $1.7 billion do not expire and will be able to be used to offset 80% of taxable income in future years. Of the $2.3 billion in state NOLs, $76.3 million do not expire and will be able to be used to offset 80% of taxable income in future years. The remaining federal NOL carryforwards expire beginning in 2026, the remaining state NOL carryforwards expire beginning in 2028, the foreign NOL carryforwards expire beginning in 2026.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assessing the realization of deferred tax assets, management considers whether it is more likely than not that some or all of our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economic conditions, we recorded a valuation allowance of $855.8 million and $777.1 million as of December 31, 2025 and 2024, respectively. During the years ended December 31, 2025 and 2024, the valuation allowance increased by $78.7 million and $128.7 million, respectively, which was mainly driven by losses from which we cannot benefit. The portion of the valuation allowance for deferred tax assets for which subsequently recognized tax benefits will be credited directly to contributed capital is $0.2 million. The company’s valuation allowance as of December 31, 2025 increased compared to December 31, 2024 primarily due to losses from which the company cannot benefit.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Sections 382 and 383 of the Code, annual use of our net operating loss and research and development credit carryforwards may be limited in the event a cumulative change in ownership of more than 50% occurs within a three-year period. We have not recognized the deferred tax assets for federal and state NOLs and credits of $267.5 million from our deferred tax asset schedules as of December 31, 2025 due to Section 382/383 limitations. There is no impact to tax expense for the derecognition of net operating losses, and federal and state research and development credits due to the valuation allowance recorded against our deferred tax assets.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also had federal research tax credit carryforwards of $59.6 million and state research tax credits of $39.7 million. The federal research tax credit carryforwards expire beginning in 2032 and certain state research tax credit carryforwards expire beginning in 2030. Our California research tax credits can be carried forward indefinitely. As of December 31, 2025, we also had federal other tax credits carryforwards of $1.3 million and the tax credit carryforwards expire beginning in 2036.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operating losses and tax credits are also limited when there is a SRLY. These rules generally limit the use of the acquired or departing members’ net operating loss and tax credit carryovers to the amount of taxable income such entity contributes to consolidated taxable income. The 80% limitation also applies to SRLY NOL carryovers and tax credits. Therefore, any SRLY NOLs and tax credits will be subject to this limitation, as well as Section 382 and 383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22885"/>
                <wp:effectExtent l="0" t="0" r="0" b="0"/>
                <wp:wrapNone/>
                <wp:docPr id="251" name="Frame2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232</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we have $389.4 million and $287.5 million of interest, respectively, that is temporarily disallowed pursuant to Section 163(j) of the Code. This interest can be carried forward indefinitely and will be deductible when the company generates sufficient adjusted taxable income.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The table below provides the updated requirements of ASU 2023-09 for 2025. See </w:t>
      </w:r>
      <w:hyperlink w:anchor="i49f82bc2aa33405eae1e0b45f37d1ae6_199">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for additional details on the adoption of ASU 2023-09.</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changes to the amount of unrecognized tax benefits is as follows (in thousands):</w:t>
      </w:r>
    </w:p>
    <w:tbl>
      <w:tblPr>
        <w:tblW w:w="8727" w:type="dxa"/>
        <w:jc w:val="left"/>
        <w:tblInd w:w="0" w:type="dxa"/>
        <w:tblLayout w:type="fixed"/>
        <w:tblCellMar>
          <w:top w:w="28" w:type="dxa"/>
          <w:left w:w="28" w:type="dxa"/>
          <w:bottom w:w="28" w:type="dxa"/>
          <w:right w:w="28" w:type="dxa"/>
        </w:tblCellMar>
      </w:tblPr>
      <w:tblGrid>
        <w:gridCol w:w="1778"/>
        <w:gridCol w:w="1560"/>
        <w:gridCol w:w="1567"/>
        <w:gridCol w:w="211"/>
        <w:gridCol w:w="721"/>
        <w:gridCol w:w="109"/>
        <w:gridCol w:w="109"/>
        <w:gridCol w:w="109"/>
        <w:gridCol w:w="109"/>
        <w:gridCol w:w="211"/>
        <w:gridCol w:w="721"/>
        <w:gridCol w:w="109"/>
        <w:gridCol w:w="109"/>
        <w:gridCol w:w="109"/>
        <w:gridCol w:w="109"/>
        <w:gridCol w:w="211"/>
        <w:gridCol w:w="721"/>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end of year</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in the balance of unrecognized tax benefits as of December 31, 2025 is $17.0 million that, if recognized, would not impact our income tax benefit or effective tax rate as long as the deferred tax asset remains subject to a full valuation allowance. Due to the existence of the valuation allowance, future changes in our unrecognized tax benefits will not impact our effective tax rate. We have not incurred any material interest or penalties as of the current reporting date with respect to income tax matters.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California, other states, and foreign jurisdictions. Due to the company’s losses incurred, the company is essentially subject to income tax examination by tax authorities from inception to date. The company’s policy is to recognize interest expense and penalties related to income tax matters as tax expense. As of December 31, 2025, there are no significant accruals for interest related to unrecognized tax benefits or tax penalties.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prospective adoption of ASU 2023-09 we are required to disclose income taxes paid, net of refunds for 2025. All amounts for federal, state and foreign are zero for the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One Big Beautiful Bill Act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OBBB Act was enacted in the U.S. The OBBB Act includes significant provisions, such as the permanent extension of certain expiring provisions of the TCJA,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OBBB Act and estimated the impact to the consolidated financial statements will not be adverse. We will continue to evaluate the full impact of these legislative changes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20.    Employee Benefits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Defined Contribution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2015, we adopted a 401(k) Plan covering all employees. The 401(k) Plan allows employees to make pre- and post-tax contributions up to the maximum allowable amount set by the IRS. The company, at its discretion, may make certain contributions to the 401(k) Plan. During the years ended December 31, 2025, 2024 and 2023, we made contributions totaling $3.0 million, $3.0 million, and $2.8 million, respectively, to the 401(k) Plan.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Compensated Absences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vacation policy, salaried employees are provided unlimited vacation leave. Therefore, we do not record an accrual for paid leave related to these employees since we are unable to reasonably estimate the compensated absences that these employees will take.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22885"/>
                <wp:effectExtent l="0" t="0" r="0" b="0"/>
                <wp:wrapNone/>
                <wp:docPr id="252" name="Frame2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233</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21.    Earnings Per Share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Basic and Diluted Net Loss per Share of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ImmunityBio common stockholders by the weighted-average number of common shares outstanding for the period. Diluted loss per share is computed by dividing net loss attributable to ImmunityBio common stockholders by the weighted-average number of common shares, including the number of additional shares that would have been outstanding if the potential common shares had been issued and if the additional common shares were dilutive.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the calculation of basic and diluted loss per common share (in thousands, except per share amounts): </w:t>
      </w:r>
    </w:p>
    <w:tbl>
      <w:tblPr>
        <w:tblW w:w="9912" w:type="dxa"/>
        <w:jc w:val="left"/>
        <w:tblInd w:w="0" w:type="dxa"/>
        <w:tblLayout w:type="fixed"/>
        <w:tblCellMar>
          <w:top w:w="28" w:type="dxa"/>
          <w:left w:w="28" w:type="dxa"/>
          <w:bottom w:w="28" w:type="dxa"/>
          <w:right w:w="28" w:type="dxa"/>
        </w:tblCellMar>
      </w:tblPr>
      <w:tblGrid>
        <w:gridCol w:w="2012"/>
        <w:gridCol w:w="1765"/>
        <w:gridCol w:w="1773"/>
        <w:gridCol w:w="211"/>
        <w:gridCol w:w="901"/>
        <w:gridCol w:w="109"/>
        <w:gridCol w:w="109"/>
        <w:gridCol w:w="109"/>
        <w:gridCol w:w="109"/>
        <w:gridCol w:w="211"/>
        <w:gridCol w:w="901"/>
        <w:gridCol w:w="109"/>
        <w:gridCol w:w="109"/>
        <w:gridCol w:w="109"/>
        <w:gridCol w:w="109"/>
        <w:gridCol w:w="211"/>
        <w:gridCol w:w="901"/>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per ImmunityBio common share – basic</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ImmunityBio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ImmunityBio common share – basic</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per ImmunityBio common share – diluted</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ImmunityBio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Decrease in fair value of warrant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net loss per ImmunityBio common share – diluted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(351,398)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(433,485)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(583,196)</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 Dilutive effect of assumed exercise of “in-the-money” </w:t>
              <w:br/>
              <w:t>   third-party warrants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net loss per ImmunityBio common share – diluted</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919,863 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508,636 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ImmunityBio common share – diluted</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whose effect would have been antidilutive, were excluded from the computation of diluted net loss per share. The following table details the number of shares of common stock underlying those securities that were excluded from the computation of weighted-average number of common shares outstanding – diluted (shares in thousands):</w:t>
      </w:r>
    </w:p>
    <w:tbl>
      <w:tblPr>
        <w:tblW w:w="5966" w:type="dxa"/>
        <w:jc w:val="center"/>
        <w:tblInd w:w="0" w:type="dxa"/>
        <w:tblLayout w:type="fixed"/>
        <w:tblCellMar>
          <w:top w:w="28" w:type="dxa"/>
          <w:left w:w="28" w:type="dxa"/>
          <w:bottom w:w="28" w:type="dxa"/>
          <w:right w:w="28" w:type="dxa"/>
        </w:tblCellMar>
      </w:tblPr>
      <w:tblGrid>
        <w:gridCol w:w="1060"/>
        <w:gridCol w:w="931"/>
        <w:gridCol w:w="933"/>
        <w:gridCol w:w="258"/>
        <w:gridCol w:w="258"/>
        <w:gridCol w:w="265"/>
        <w:gridCol w:w="109"/>
        <w:gridCol w:w="109"/>
        <w:gridCol w:w="109"/>
        <w:gridCol w:w="258"/>
        <w:gridCol w:w="258"/>
        <w:gridCol w:w="265"/>
        <w:gridCol w:w="109"/>
        <w:gridCol w:w="109"/>
        <w:gridCol w:w="109"/>
        <w:gridCol w:w="240"/>
        <w:gridCol w:w="240"/>
        <w:gridCol w:w="346"/>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Related-party convertible notes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162,472</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RSUs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7,504</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related-party warrants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third-party warrants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37,733</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8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219,167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222885"/>
                <wp:effectExtent l="0" t="0" r="0" b="0"/>
                <wp:wrapNone/>
                <wp:docPr id="253" name="Frame2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234</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The potentially dilutive securities shown in the table above exclude an option to purchase up to approximately $5.0 million of the company’s common stock pursuant to the SPOA entered in connection with the RIPA, as the exercise price cannot be determined until the date of exercise. See </w:t>
      </w:r>
      <w:hyperlink w:anchor="i49f82bc2aa33405eae1e0b45f37d1ae6_262">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 xml:space="preserve">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22.    Segment Information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operate in one operating segment, and therefore have one reportable segment, focused on innovating, developing, and commercializing next-generation immunotherapies designed to activate the patient’s immune system and deliver durable protection against cancer and infectious diseases. Our CEO is the chief operating decision-maker of the company and manages and allocates resources to our operations on a company-wide basis. Consistent with this decision-making process, our CEO uses consolidated, single-segment financial information for purposes of evaluating performance, forecasting future-period financial results, allocating resources, and setting incentive targets. The measure of segment performance is net income (loss) as reflected in the consolidated statement of operations. The CODM uses net income (loss) to allocate resources on a consolidated basis, which enables the CODM to assess both the overall level of resources available and optimize distribution of resources across functions, therapeutic areas, regions and research and development programs in line with our long-term corporate-wide strategic goals. As the company manages its assets on a consolidated basis, the measure of segment assets is total assets, as reflected in the consolidated balance sheet. In accordance with ASC 280, we provided information about customers that amount to 10% or more of our total revenue, see </w:t>
      </w:r>
      <w:hyperlink w:anchor="i49f82bc2aa33405eae1e0b45f37d1ae6_199">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i/>
          <w:color w:val="000000"/>
          <w:sz w:val="20"/>
        </w:rPr>
        <w:t>Summary of Significant Accounting Policies—Concentration of Major Customers”</w:t>
      </w:r>
      <w:r>
        <w:rPr>
          <w:color w:val="000000"/>
        </w:rPr>
        <w:t xml:space="preserve"> </w:t>
      </w:r>
      <w:r>
        <w:rPr>
          <w:rFonts w:ascii="Times New Roman;serif" w:hAnsi="Times New Roman;serif"/>
          <w:b w:val="false"/>
          <w:color w:val="000000"/>
          <w:sz w:val="20"/>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22885"/>
                <wp:effectExtent l="0" t="0" r="0" b="0"/>
                <wp:wrapNone/>
                <wp:docPr id="254" name="Frame2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235</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loss for our reportable segment is as follows (in thousands):</w:t>
      </w:r>
    </w:p>
    <w:tbl>
      <w:tblPr>
        <w:tblW w:w="9297" w:type="dxa"/>
        <w:jc w:val="left"/>
        <w:tblInd w:w="0" w:type="dxa"/>
        <w:tblLayout w:type="fixed"/>
        <w:tblCellMar>
          <w:top w:w="28" w:type="dxa"/>
          <w:left w:w="28" w:type="dxa"/>
          <w:bottom w:w="28" w:type="dxa"/>
          <w:right w:w="28" w:type="dxa"/>
        </w:tblCellMar>
      </w:tblPr>
      <w:tblGrid>
        <w:gridCol w:w="1785"/>
        <w:gridCol w:w="1569"/>
        <w:gridCol w:w="1581"/>
        <w:gridCol w:w="211"/>
        <w:gridCol w:w="901"/>
        <w:gridCol w:w="109"/>
        <w:gridCol w:w="109"/>
        <w:gridCol w:w="109"/>
        <w:gridCol w:w="109"/>
        <w:gridCol w:w="211"/>
        <w:gridCol w:w="901"/>
        <w:gridCol w:w="109"/>
        <w:gridCol w:w="109"/>
        <w:gridCol w:w="109"/>
        <w:gridCol w:w="109"/>
        <w:gridCol w:w="211"/>
        <w:gridCol w:w="901"/>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External research and development expense (including </w:t>
            </w:r>
          </w:p>
          <w:p>
            <w:pPr>
              <w:pStyle w:val="TableContents"/>
              <w:bidi w:val="0"/>
              <w:spacing w:lineRule="auto" w:line="288" w:before="0" w:after="0"/>
              <w:jc w:val="left"/>
              <w:rPr/>
            </w:pPr>
            <w:r>
              <w:rPr>
                <w:color w:val="000000"/>
              </w:rPr>
              <w:t>   </w:t>
            </w:r>
            <w:r>
              <w:rPr>
                <w:rFonts w:ascii="Times New Roman;serif" w:hAnsi="Times New Roman;serif"/>
                <w:b w:val="false"/>
                <w:color w:val="000000"/>
                <w:sz w:val="20"/>
              </w:rPr>
              <w:t>amounts with related parties)</w:t>
            </w:r>
            <w:r>
              <w:rPr>
                <w:color w:val="000000"/>
              </w:rPr>
              <w:t xml:space="preserve"> </w:t>
            </w:r>
            <w:r>
              <w:rPr>
                <w:rFonts w:ascii="Times New Roman;serif" w:hAnsi="Times New Roman;serif"/>
                <w:b w:val="false"/>
                <w:color w:val="000000"/>
                <w:sz w:val="18"/>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Internal research and development expense (including </w:t>
            </w:r>
          </w:p>
          <w:p>
            <w:pPr>
              <w:pStyle w:val="TableContents"/>
              <w:bidi w:val="0"/>
              <w:spacing w:lineRule="auto" w:line="288" w:before="0" w:after="0"/>
              <w:jc w:val="left"/>
              <w:rPr/>
            </w:pPr>
            <w:r>
              <w:rPr>
                <w:color w:val="000000"/>
              </w:rPr>
              <w:t>   </w:t>
            </w:r>
            <w:r>
              <w:rPr>
                <w:rFonts w:ascii="Times New Roman;serif" w:hAnsi="Times New Roman;serif"/>
                <w:b w:val="false"/>
                <w:color w:val="000000"/>
                <w:sz w:val="20"/>
              </w:rPr>
              <w:t>amounts with related parties):</w:t>
            </w:r>
            <w:r>
              <w:rPr>
                <w:color w:val="000000"/>
              </w:rPr>
              <w:t xml:space="preserve"> </w:t>
            </w:r>
            <w:r>
              <w:rPr>
                <w:rFonts w:ascii="Times New Roman;serif" w:hAnsi="Times New Roman;serif"/>
                <w:b w:val="false"/>
                <w:color w:val="000000"/>
                <w:sz w:val="18"/>
              </w:rPr>
              <w:t>(2)</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depreciation, and facility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research and development expense</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165,242 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research and development expense (including </w:t>
              <w:br/>
              <w:t>   amounts with related parties)</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(including amounts </w:t>
              <w:br/>
              <w:t>   with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368,562 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362,872 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(256,027)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(362,250)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amounts with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revenue interest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method investment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(95,580)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(221,642)</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 and noncontrolling interests</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(351,607)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(583,892)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(351,472)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(583,852)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ImmunityBio common stockholders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(351,398)</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(413,564)</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(583,196)</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Our external research and development expense supports our various preclinical and clinical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Our internal research and development expense includes payroll and benefits expenses, facilities and equipment expense, and other indirect research and development expenses incurred in support of our research and development activities.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22885"/>
                <wp:effectExtent l="0" t="0" r="0" b="0"/>
                <wp:wrapNone/>
                <wp:docPr id="255" name="Frame2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236</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a portion of our revenues from outside of the U.S. Information about our revenue by geographic region is as follows (in thousands):</w:t>
      </w:r>
    </w:p>
    <w:tbl>
      <w:tblPr>
        <w:tblW w:w="5636" w:type="dxa"/>
        <w:jc w:val="left"/>
        <w:tblInd w:w="0" w:type="dxa"/>
        <w:tblLayout w:type="fixed"/>
        <w:tblCellMar>
          <w:top w:w="28" w:type="dxa"/>
          <w:left w:w="28" w:type="dxa"/>
          <w:bottom w:w="28" w:type="dxa"/>
          <w:right w:w="28" w:type="dxa"/>
        </w:tblCellMar>
      </w:tblPr>
      <w:tblGrid>
        <w:gridCol w:w="708"/>
        <w:gridCol w:w="619"/>
        <w:gridCol w:w="637"/>
        <w:gridCol w:w="211"/>
        <w:gridCol w:w="826"/>
        <w:gridCol w:w="109"/>
        <w:gridCol w:w="109"/>
        <w:gridCol w:w="109"/>
        <w:gridCol w:w="109"/>
        <w:gridCol w:w="211"/>
        <w:gridCol w:w="721"/>
        <w:gridCol w:w="109"/>
        <w:gridCol w:w="109"/>
        <w:gridCol w:w="109"/>
        <w:gridCol w:w="109"/>
        <w:gridCol w:w="211"/>
        <w:gridCol w:w="466"/>
        <w:gridCol w:w="154"/>
      </w:tblGrid>
      <w:tr>
        <w:trPr/>
        <w:tc>
          <w:tcPr>
            <w:tcW w:w="70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23.    Subsequent Events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December 31, 2025, institutional holders exercised a total of 15,524,768 warrants pursuant to the April 2025 Warrant agreement at an exercise price of $3.1010 per share resulting in the issuance of 15,524,768 shares of the company’s common stock for proceeds totaling $48.1 million. As of February 23, 2026, a total of 13,500,000 warrants remain outstanding under the April 2025 Warrant agreement.</w:t>
      </w:r>
    </w:p>
    <w:p>
      <w:pPr>
        <w:pStyle w:val="TextBody"/>
        <w:bidi w:val="0"/>
        <w:spacing w:lineRule="auto" w:line="288" w:before="240" w:after="283"/>
        <w:jc w:val="left"/>
        <w:rPr>
          <w:rFonts w:ascii="Times New Roman;serif" w:hAnsi="Times New Roman;serif"/>
          <w:b/>
          <w:i/>
          <w:color w:val="000000"/>
          <w:sz w:val="20"/>
        </w:rPr>
      </w:pPr>
      <w:bookmarkStart w:id="24" w:name="i3e2e5ed48f1e44e48efd06ef3df89bf3_5514"/>
      <w:bookmarkEnd w:id="24"/>
      <w:r>
        <w:rPr>
          <w:rFonts w:ascii="Times New Roman;serif" w:hAnsi="Times New Roman;serif"/>
          <w:b/>
          <w:i/>
          <w:color w:val="000000"/>
          <w:sz w:val="20"/>
        </w:rPr>
        <w:t>Amendment to the Second Amended and Restated Promissory Note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23, 2026, the company entered into a letter amendment to the second amended and restated promissory note (the “$505 million December 2024 Promissory Note”) with Nant Capital, LLC (the “note holder”), an entity affiliated with Dr. Soon-Shiong, the company’s Executive Chairman and Global Chief Scientific and Medical Officer. Pursuant to the letter amendment, the note holder may convert any portion of the outstanding principal amount of the $505 million December 2024 Promissory Note into fully paid and nonassessable shares of the company’s common stock at any time prior to the maturity date. Prior to the letter amendment, the $505 million December 2024 Promissory Note, the note holder could only convert the outstanding principal amount in full. No other changes were made in connection with the letter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222885"/>
                <wp:effectExtent l="0" t="0" r="0" b="0"/>
                <wp:wrapNone/>
                <wp:docPr id="256" name="Frame2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237</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CEO and CFO, evaluated the effectiveness of our disclosure controls and procedures as of December 31, 2025. The term “disclosure controls and procedures” (as defined in Rule 13a-15(e) of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 apply its judgment in evaluating the cost-benefit relationship of possible controls and procedures. Based on the evaluation of our disclosure controls and procedures as of December 31, 2025, our CEO and CFO have concluded that, as of December 31, 2025, our disclosure controls and procedures were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CEO and CFO,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and (ii) provide reasonable assurance (a) that transactions are recorded as necessary to permit preparation of financial statements in accordance with generally accepted accounting principles, (b) that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2025, our internal control over financial reporting was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222885"/>
                <wp:effectExtent l="0" t="0" r="0" b="0"/>
                <wp:wrapNone/>
                <wp:docPr id="257" name="Frame2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238</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(as defined in Rules 13a-15(f) and 15d-15(f) of the Exchange Act) during the fiscal quarter ended December 31, 2025, that have materially affected, or are reasonably likely to materially affect, our internal control over financial reporting.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222885"/>
                <wp:effectExtent l="0" t="0" r="0" b="0"/>
                <wp:wrapNone/>
                <wp:docPr id="258" name="Frame2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ImmunityBio, Inc.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83"/>
        <w:jc w:val="left"/>
        <w:rPr/>
      </w:pPr>
      <w:r>
        <w:rPr>
          <w:rFonts w:ascii="Times New Roman;serif" w:hAnsi="Times New Roman;serif"/>
          <w:b w:val="false"/>
          <w:color w:val="000000"/>
          <w:sz w:val="20"/>
        </w:rPr>
        <w:t xml:space="preserve">We have audited the internal control over financial reporting of ImmunityBio,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(COSO). In our opinion, the Company maintained, in all material respects, effective internal control over financial reporting as of December 31, 2025, based on criteria established in</w:t>
      </w:r>
      <w:r>
        <w:rPr>
          <w:color w:val="000000"/>
        </w:rPr>
        <w:t xml:space="preserve">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222885"/>
                <wp:effectExtent l="0" t="0" r="0" b="0"/>
                <wp:wrapNone/>
                <wp:docPr id="259" name="Frame2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(a)Compensatory Arrangements of Certain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17, 2026, the company approved the payment of cash bonuses as set forth below (the 2025 Bonuses) to the company’s named executive officers, consisting of Dr. Patrick Soon-Shiong, Richard Adcock and David Sachs (the NEOs) based on (i) the Compensation Committee’s assessment of the company’s achievement of pre-established performance measures pursuant to the company’s 2025 bonus plan under the Executive Incentive Compensation Plan, which reflect an estimated payout of approximately 77.4% of target amount for each NEO, based on preliminary, unaudited calculations subject to final closing procedures, and (ii) the Compensation Committee’s determination to award additional discretionary bonuses to each NEO as a reward for achievements for 2025 not otherwise reflected in the corporate performance measures of the 2025 bonus plan, such that the aggregate value of the cash bonus payout each NEO will receive pursuant to (i) and (ii) is equal to 100% of each NEO’s target annual bonus opportunity.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2025 Bonuses will be paid, less applicable taxes, on or about February 27, 2026.</w:t>
      </w:r>
    </w:p>
    <w:tbl>
      <w:tblPr>
        <w:tblW w:w="3972" w:type="dxa"/>
        <w:jc w:val="left"/>
        <w:tblInd w:w="0" w:type="dxa"/>
        <w:tblLayout w:type="fixed"/>
        <w:tblCellMar>
          <w:top w:w="28" w:type="dxa"/>
          <w:left w:w="28" w:type="dxa"/>
          <w:bottom w:w="28" w:type="dxa"/>
          <w:right w:w="28" w:type="dxa"/>
        </w:tblCellMar>
      </w:tblPr>
      <w:tblGrid>
        <w:gridCol w:w="651"/>
        <w:gridCol w:w="572"/>
        <w:gridCol w:w="577"/>
        <w:gridCol w:w="109"/>
        <w:gridCol w:w="109"/>
        <w:gridCol w:w="109"/>
        <w:gridCol w:w="109"/>
        <w:gridCol w:w="109"/>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2025 </w:t>
              <w:br/>
              <w:t>Bonus</w:t>
            </w:r>
          </w:p>
        </w:tc>
      </w:tr>
      <w:tr>
        <w:trPr/>
        <w:tc>
          <w:tcPr>
            <w:tcW w:w="18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Sachs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(b)Adoption and Termination (including Modification) of Rule 10b5-1 and Certain Other Trading Arrangements by Directors and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18, 2025, Dr. Barry J. Simon, a member of our board of directors and our Chief Corporate Affairs Officer, adopted a written plan for the sale of up to 3,374,487 shares of our common stock that is intended to satisfy the affirmative defense conditions of Rule 10b5-1(c) under the Exchange Act. The plan will expire on November 26, 2027, or on any earlier date on which all of the shares have been sold.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noted above, none of our directors or officers, as defined in Rule 16a-1(f) under the Exchange Act, adopted or terminated a Rule 10b5-1 trading plan or arrangement or a non-Rule 10b5-1 trading plan or arrangement, as defined in Item 408(c) of Regulation S-K, during the three months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222885"/>
                <wp:effectExtent l="0" t="0" r="0" b="0"/>
                <wp:wrapNone/>
                <wp:docPr id="260" name="Frame2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241</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our definitive proxy statement to be filed with the SEC on Schedule 14A in connection with our Proxy Statement, which is expected to be filed not later than 120 days after the end of our fiscal year ended December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the Proxy Statement under the headings “Executive Compensation,” “Executive Compensation Tables,” and “Director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the Proxy Statement under the headings “Security Ownership of Certain Beneficial Owners and Management” and “Equity Compensation Plan Information,”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the Proxy Statement under the headings “Certain Relationships and Related-Party Transactions”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contained in the Proxy Statement under the heading “Fees Paid to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22885"/>
                <wp:effectExtent l="0" t="0" r="0" b="0"/>
                <wp:wrapNone/>
                <wp:docPr id="261" name="Frame2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242</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 AND FINANCIAL STATEMENT SCHEDULES.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financial statement schedules and exhibits filed as part of this Annual Report are as follows: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(1)Financial Statements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Reference is made to the consolidated financial statements identified in the “Index to Financial Statements” under Part II, Item 8. </w:t>
      </w:r>
      <w:hyperlink w:anchor="i49f82bc2aa33405eae1e0b45f37d1ae6_166">
        <w:r>
          <w:rPr>
            <w:rStyle w:val="InternetLink"/>
            <w:color w:val="0000FF"/>
            <w:u w:val="single"/>
          </w:rPr>
          <w:t>“</w:t>
        </w:r>
      </w:hyperlink>
      <w:hyperlink w:anchor="i49f82bc2aa33405eae1e0b45f37d1ae6_166">
        <w:r>
          <w:rPr>
            <w:rStyle w:val="InternetLink"/>
            <w:rFonts w:ascii="Times New Roman;serif" w:hAnsi="Times New Roman;serif"/>
            <w:b w:val="false"/>
            <w:color w:val="0000FF"/>
            <w:sz w:val="20"/>
            <w:u w:val="single"/>
          </w:rPr>
          <w:t>Financial Statements and Supplementary Data”</w:t>
        </w:r>
      </w:hyperlink>
      <w:r>
        <w:rPr>
          <w:color w:val="000000"/>
        </w:rPr>
        <w:t xml:space="preserve"> </w:t>
      </w:r>
      <w:r>
        <w:rPr>
          <w:rFonts w:ascii="Times New Roman;serif" w:hAnsi="Times New Roman;serif"/>
          <w:b w:val="false"/>
          <w:color w:val="000000"/>
          <w:sz w:val="20"/>
        </w:rPr>
        <w:t>of this Annual Report.</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(2)Financial Statement Schedules for the Years Ended December 31, 2025, 2024 and 2023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All financial statement schedules have been omitted because the information required to be set forth therein is not applicable or is otherwise included in the consolidated financial statements or notes thereto. See Part II, Item 8. </w:t>
      </w:r>
      <w:hyperlink w:anchor="i49f82bc2aa33405eae1e0b45f37d1ae6_166">
        <w:r>
          <w:rPr>
            <w:rStyle w:val="InternetLink"/>
            <w:color w:val="0000FF"/>
            <w:u w:val="single"/>
          </w:rPr>
          <w:t>“</w:t>
        </w:r>
      </w:hyperlink>
      <w:hyperlink w:anchor="i49f82bc2aa33405eae1e0b45f37d1ae6_166">
        <w:r>
          <w:rPr>
            <w:rStyle w:val="InternetLink"/>
            <w:rFonts w:ascii="Times New Roman;serif" w:hAnsi="Times New Roman;serif"/>
            <w:b w:val="false"/>
            <w:color w:val="0000FF"/>
            <w:sz w:val="20"/>
            <w:u w:val="single"/>
          </w:rPr>
          <w:t>Financial Statements and Supplementary Data</w:t>
        </w:r>
      </w:hyperlink>
      <w:hyperlink w:anchor="i49f82bc2aa33405eae1e0b45f37d1ae6_166">
        <w:r>
          <w:rPr>
            <w:rStyle w:val="InternetLink"/>
            <w:color w:val="0000FF"/>
            <w:u w:val="single"/>
          </w:rPr>
          <w:t>”</w:t>
        </w:r>
      </w:hyperlink>
      <w:r>
        <w:rPr>
          <w:color w:val="000000"/>
        </w:rPr>
        <w:t xml:space="preserve"> </w:t>
      </w:r>
      <w:r>
        <w:rPr>
          <w:rFonts w:ascii="Times New Roman;serif" w:hAnsi="Times New Roman;serif"/>
          <w:b w:val="false"/>
          <w:color w:val="000000"/>
          <w:sz w:val="20"/>
        </w:rPr>
        <w:t>of this Annual Report.</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(3)Exhibits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documents listed below are incorporated by reference or filed or furnished with this Annual Report, in each case as indicated therein (numbered in accordance with Item 601 of Regulation S-K).</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16"/>
        <w:gridCol w:w="1552"/>
        <w:gridCol w:w="1564"/>
        <w:gridCol w:w="109"/>
        <w:gridCol w:w="109"/>
        <w:gridCol w:w="109"/>
        <w:gridCol w:w="193"/>
        <w:gridCol w:w="193"/>
        <w:gridCol w:w="195"/>
        <w:gridCol w:w="112"/>
        <w:gridCol w:w="112"/>
        <w:gridCol w:w="112"/>
        <w:gridCol w:w="340"/>
        <w:gridCol w:w="265"/>
        <w:gridCol w:w="236"/>
        <w:gridCol w:w="112"/>
        <w:gridCol w:w="112"/>
        <w:gridCol w:w="112"/>
        <w:gridCol w:w="238"/>
        <w:gridCol w:w="238"/>
        <w:gridCol w:w="239"/>
        <w:gridCol w:w="112"/>
        <w:gridCol w:w="112"/>
        <w:gridCol w:w="112"/>
        <w:gridCol w:w="325"/>
        <w:gridCol w:w="280"/>
        <w:gridCol w:w="3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31.htm">
              <w:r>
                <w:rPr>
                  <w:rStyle w:val="InternetLink"/>
                  <w:rFonts w:ascii="Times New Roman;serif" w:hAnsi="Times New Roman;serif"/>
                  <w:b w:val="false"/>
                  <w:color w:val="0000FF"/>
                  <w:sz w:val="20"/>
                  <w:u w:val="single"/>
                </w:rPr>
                <w:t>Restated Certificate of Incorporation of ImmunityBio,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80"/>
                  <w:sz w:val="20"/>
                  <w:u w:val="single"/>
                </w:rPr>
                <w:t>Amended and Restated Bylaws of ImmunityBio, Inc. effective as of March</w:t>
              </w:r>
            </w:hyperlink>
            <w:hyperlink r:id="rId14">
              <w:r>
                <w:rPr>
                  <w:rStyle w:val="InternetLink"/>
                  <w:rFonts w:ascii="Times New Roman;serif" w:hAnsi="Times New Roman;serif"/>
                  <w:b w:val="false"/>
                  <w:color w:val="000080"/>
                  <w:sz w:val="20"/>
                  <w:u w:val="single"/>
                </w:rPr>
                <w:t> </w:t>
              </w:r>
            </w:hyperlink>
            <w:hyperlink r:id="rId15">
              <w:r>
                <w:rPr>
                  <w:rStyle w:val="InternetLink"/>
                  <w:rFonts w:ascii="Times New Roman;serif" w:hAnsi="Times New Roman;serif"/>
                  <w:b w:val="false"/>
                  <w:color w:val="000080"/>
                  <w:sz w:val="20"/>
                  <w:u w:val="single"/>
                </w:rPr>
                <w:t>10,</w:t>
              </w:r>
            </w:hyperlink>
            <w:hyperlink r:id="rId16">
              <w:r>
                <w:rPr>
                  <w:rStyle w:val="InternetLink"/>
                  <w:rFonts w:ascii="Times New Roman;serif" w:hAnsi="Times New Roman;serif"/>
                  <w:b w:val="false"/>
                  <w:color w:val="000080"/>
                  <w:sz w:val="20"/>
                  <w:u w:val="single"/>
                </w:rPr>
                <w:t> </w:t>
              </w:r>
            </w:hyperlink>
            <w:hyperlink r:id="rId17">
              <w:r>
                <w:rPr>
                  <w:rStyle w:val="InternetLink"/>
                  <w:rFonts w:ascii="Times New Roman;serif" w:hAnsi="Times New Roman;serif"/>
                  <w:b w:val="false"/>
                  <w:color w:val="000080"/>
                  <w:sz w:val="20"/>
                  <w:u w:val="single"/>
                </w:rPr>
                <w:t>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Nominating Agreement by and between the Registrant and Cambridge Equities, LP, dated June 18, 2015.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2015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of Registration Rights Agreement by and between the Registrant and the Purchasers of Common Stock, dated June 2015.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2015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Registration Rights Agreement by and between the Registrant and Cambridge Equities, LP, dated December 23, 2014.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2015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Form of Subscription and Securities Purchase Agreement among the Registrant and the Subscribers of Series C Preferred Stock, dated as of April 1, 2014.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2015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Registration Rights Agreement, among the Registrant and the purchasers of Series B Preferred Stock, dated as of June 20, 2013.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2015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Specimen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 POS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Description of Registrant’s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62" name="Frame2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243</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90"/>
        <w:gridCol w:w="1526"/>
        <w:gridCol w:w="1538"/>
        <w:gridCol w:w="109"/>
        <w:gridCol w:w="109"/>
        <w:gridCol w:w="109"/>
        <w:gridCol w:w="170"/>
        <w:gridCol w:w="170"/>
        <w:gridCol w:w="171"/>
        <w:gridCol w:w="111"/>
        <w:gridCol w:w="111"/>
        <w:gridCol w:w="111"/>
        <w:gridCol w:w="263"/>
        <w:gridCol w:w="263"/>
        <w:gridCol w:w="267"/>
        <w:gridCol w:w="111"/>
        <w:gridCol w:w="111"/>
        <w:gridCol w:w="111"/>
        <w:gridCol w:w="225"/>
        <w:gridCol w:w="225"/>
        <w:gridCol w:w="226"/>
        <w:gridCol w:w="111"/>
        <w:gridCol w:w="111"/>
        <w:gridCol w:w="111"/>
        <w:gridCol w:w="460"/>
        <w:gridCol w:w="333"/>
        <w:gridCol w:w="31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Common Stock Purchase Warrant, dated June 30, 2016, issued by the Company to NantWorks,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Amended Form of February 2023 Common Stock Purchase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9,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Form of July 2023 Common Stock Purchase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Form of April 2025 Common Stock Purchase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8,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Form of July 2025 Common Stock Purchase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25,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Voting Agreement, dated as of December 21, 2020, by and among ImmunityBio, Inc., NantKwest, Inc. and the NantKwest, Inc. stockholders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22, 2020</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Voting Agreement, dated as of December 21, 2020, by and among ImmunityBio, Inc., NantKwest, Inc. and the ImmunityBio, Inc. stockholders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22, 2020</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Revenue Interest Purchase Agreement dated as of December 29, 2023 among ImmunityBio, Inc., the Purchasers from time to time party hereto and Infinity SA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Limited Consent and Amendment to Revenue Interest Purchase Agreement, dated as of December 10, 2024, by and between ImmunityBio, Inc., the Purchasers party thereto, and Infinity SA LLC, as Collateral Agent and Administrative Agent for the Purchasers.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11,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Security and Pledge Agreement as of December 29, 2023 among ImmunityBio, Inc., the Subsidiary Guarantors listed on the signature pages hereto, such other parties that may become Grantors hereunder after the date hereof and Infinity SA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Stock Purchase and Option Agreement dated December 29, 2023 by and between the Investors and ImmunityBio,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Securities Purchase Agreement, dated as of April 7,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8,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Securities Purchase Agreement, dated as of July 24,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25,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63" name="Frame2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244</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607"/>
        <w:gridCol w:w="1502"/>
        <w:gridCol w:w="1513"/>
        <w:gridCol w:w="109"/>
        <w:gridCol w:w="109"/>
        <w:gridCol w:w="109"/>
        <w:gridCol w:w="174"/>
        <w:gridCol w:w="174"/>
        <w:gridCol w:w="175"/>
        <w:gridCol w:w="112"/>
        <w:gridCol w:w="112"/>
        <w:gridCol w:w="112"/>
        <w:gridCol w:w="337"/>
        <w:gridCol w:w="255"/>
        <w:gridCol w:w="224"/>
        <w:gridCol w:w="112"/>
        <w:gridCol w:w="112"/>
        <w:gridCol w:w="112"/>
        <w:gridCol w:w="231"/>
        <w:gridCol w:w="231"/>
        <w:gridCol w:w="232"/>
        <w:gridCol w:w="112"/>
        <w:gridCol w:w="112"/>
        <w:gridCol w:w="112"/>
        <w:gridCol w:w="405"/>
        <w:gridCol w:w="381"/>
        <w:gridCol w:w="374"/>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7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r>
      <w:tr>
        <w:trPr/>
        <w:tc>
          <w:tcPr>
            <w:tcW w:w="7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Open Market Sale Agreement dated April 30, 2021, by and between ImmunityBio, Inc. and Jefferies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Amendment No. 1 to Open Market Sale Agreement dated December 23, 2025, by and between ImmunityBio, Inc. and Jefferies LLC.</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29, 2025</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Agreement and Plan of Merger, dated May 19, 2017, by and among the Company, Altor Acquisition LLC, Altor BioScience Corporation and Shareholder Representative Services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Sales Milestone Contingent Value Rights Agreement, dated as of July 31, 2017, by and between the Company and Shareholder Representative Services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Second Amended and Restated Promissory Note by and between ImmunityBio, Inc. and Nant Capital, LLC, dated as of December 10,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11, 2024</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Amendment dated January 23, 2026 to the Second Amended and Restated Promissory Note by and between ImmunityBio, Inc. and Nant Capital,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26, 2026</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Lease Agreement by and between ARE-JOHN HOPKINS COURT, LLC and the Company, dated June 19, 2015.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27, 2015</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First Amendment to Lease dated July 16, 2015 by and between ARE-JOHN HOPKINS COURT, LLC and Conkwest, Inc.</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2022</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Second Amendment to Lease effective as of June 18, 2016 by and between ARE-JOHN HOPKINS COURT, LLC and NantKwest, Inc., fka Conkwest,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2022</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Third Amendment to Lease dated April 12, 2022 by and between ARE-JOHN HOPKINS COURT, LLC and ImmunityBio,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2022</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Facility License Agreement by and between NantWorks, LLC and the Company, dated as of November 6, 2015.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30, 2016</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20"/>
                  <w:u w:val="single"/>
                </w:rPr>
                <w:t>First Amendment to Facility License Agreement by and between NantWorks, LLC and the Company, dated as of September 14,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9, 2020</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64" name="Frame2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245</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601"/>
        <w:gridCol w:w="1497"/>
        <w:gridCol w:w="1508"/>
        <w:gridCol w:w="109"/>
        <w:gridCol w:w="109"/>
        <w:gridCol w:w="109"/>
        <w:gridCol w:w="170"/>
        <w:gridCol w:w="170"/>
        <w:gridCol w:w="171"/>
        <w:gridCol w:w="112"/>
        <w:gridCol w:w="112"/>
        <w:gridCol w:w="112"/>
        <w:gridCol w:w="338"/>
        <w:gridCol w:w="257"/>
        <w:gridCol w:w="227"/>
        <w:gridCol w:w="112"/>
        <w:gridCol w:w="112"/>
        <w:gridCol w:w="112"/>
        <w:gridCol w:w="233"/>
        <w:gridCol w:w="233"/>
        <w:gridCol w:w="234"/>
        <w:gridCol w:w="112"/>
        <w:gridCol w:w="112"/>
        <w:gridCol w:w="112"/>
        <w:gridCol w:w="432"/>
        <w:gridCol w:w="384"/>
        <w:gridCol w:w="360"/>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7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r>
      <w:tr>
        <w:trPr/>
        <w:tc>
          <w:tcPr>
            <w:tcW w:w="7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Second Amendment to Facility License Agreement, effective as of May 1, 2022, by and between NantWorks, LLC, the Licensor, and ImmunityBio, Inc., the Licensee.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2022</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Commercial Lease by and between 605 Doug St, LLC and the Company, dated September 15, 2016.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10, 2016</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FF"/>
                  <w:sz w:val="20"/>
                  <w:u w:val="single"/>
                </w:rPr>
                <w:t>Extension of Commercial Lease by and between 605 Doug St, LLC and ImmunityBio, Inc., dated June 30,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2023</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FF"/>
                  <w:sz w:val="20"/>
                  <w:u w:val="single"/>
                </w:rPr>
                <w:t>Commercial Lease by and between Duley Road, LLC and Altor BioScience Manufacturing Company, LLC, dated February 1, 2017.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FF"/>
                  <w:sz w:val="20"/>
                  <w:u w:val="single"/>
                </w:rPr>
                <w:t>Extension of Commercial Lease by and between Duley Road, LLC and Altor BioScience Manufacturing Company, LLC, dated October 3,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2024</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FF"/>
                  <w:sz w:val="20"/>
                  <w:u w:val="single"/>
                </w:rPr>
                <w:t>Commercial Lease by and between Duley Road, LLC and the Company, dated January 28, 2019.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FF"/>
                  <w:sz w:val="20"/>
                  <w:u w:val="single"/>
                </w:rPr>
                <w:t>Commercial Lease by and between Duley Road, LLC and the Company, dated January 28, 2019.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Sublease Agreement between Altor BioScience Manufacturing Company, LLC and the Company, dated as of September 30,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9, 2020</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erif" w:hAnsi="Times New Roman;serif"/>
                  <w:b w:val="false"/>
                  <w:color w:val="0000FF"/>
                  <w:sz w:val="20"/>
                  <w:u w:val="single"/>
                </w:rPr>
                <w:t>Commercial Lease between 605 Nash, LLC and the Company, dated February 11,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4,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FF"/>
                  <w:sz w:val="20"/>
                  <w:u w:val="single"/>
                </w:rPr>
                <w:t xml:space="preserve">First Amendment to Lease (Expansion &amp; Extension) made and entered into as of May 28, 2021 by and between 605 Nash, LLC and ImmunityBio, Inc.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erif" w:hAnsi="Times New Roman;serif"/>
                  <w:b w:val="false"/>
                  <w:color w:val="0000FF"/>
                  <w:sz w:val="20"/>
                  <w:u w:val="single"/>
                </w:rPr>
                <w:t>Commercial Lease Agreement dated September 27, 2021 by and between 420 Nash, LLC and ImmunityBio,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2021</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FF"/>
                  <w:sz w:val="20"/>
                  <w:u w:val="single"/>
                </w:rPr>
                <w:t>Fort Schuyler Management Corporation Lease, effective as of October 1, 2021, between Fort Schuyler Management Corporation, as Landlord, and Athenex, Inc., as Tenant.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2022</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erif" w:hAnsi="Times New Roman;serif"/>
                  <w:b w:val="false"/>
                  <w:color w:val="0000FF"/>
                  <w:sz w:val="20"/>
                  <w:u w:val="single"/>
                </w:rPr>
                <w:t>First Amendment to Lease, effective as of February 14, 2022, by and among Fort Schuyler Management Corporation and ImmunityBio,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2022</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65" name="Frame2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246</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73"/>
        <w:gridCol w:w="241"/>
        <w:gridCol w:w="242"/>
        <w:gridCol w:w="109"/>
        <w:gridCol w:w="109"/>
        <w:gridCol w:w="109"/>
        <w:gridCol w:w="1635"/>
        <w:gridCol w:w="1453"/>
        <w:gridCol w:w="1465"/>
        <w:gridCol w:w="109"/>
        <w:gridCol w:w="109"/>
        <w:gridCol w:w="109"/>
        <w:gridCol w:w="174"/>
        <w:gridCol w:w="174"/>
        <w:gridCol w:w="175"/>
        <w:gridCol w:w="112"/>
        <w:gridCol w:w="112"/>
        <w:gridCol w:w="112"/>
        <w:gridCol w:w="338"/>
        <w:gridCol w:w="258"/>
        <w:gridCol w:w="228"/>
        <w:gridCol w:w="112"/>
        <w:gridCol w:w="112"/>
        <w:gridCol w:w="112"/>
        <w:gridCol w:w="233"/>
        <w:gridCol w:w="233"/>
        <w:gridCol w:w="235"/>
        <w:gridCol w:w="112"/>
        <w:gridCol w:w="112"/>
        <w:gridCol w:w="112"/>
        <w:gridCol w:w="466"/>
        <w:gridCol w:w="353"/>
        <w:gridCol w:w="367"/>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r>
      <w:tr>
        <w:trPr/>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1034.htm">
              <w:r>
                <w:rPr>
                  <w:rStyle w:val="InternetLink"/>
                  <w:rFonts w:ascii="Times New Roman;serif" w:hAnsi="Times New Roman;serif"/>
                  <w:b w:val="false"/>
                  <w:color w:val="0000FF"/>
                  <w:sz w:val="20"/>
                  <w:u w:val="single"/>
                </w:rPr>
                <w:t>Second Amendment to Lease, effective as of January 1, 2026, by and among Fort Schuyler Management Corporation and ImmunityBio,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FF"/>
                  <w:sz w:val="20"/>
                  <w:u w:val="single"/>
                </w:rPr>
                <w:t>Purchase Agreement by and between Athenex, Inc. and ImmunityBio, Inc. dated January 7,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12, 2022</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erif" w:hAnsi="Times New Roman;serif"/>
                  <w:b w:val="false"/>
                  <w:color w:val="0000FF"/>
                  <w:sz w:val="20"/>
                  <w:u w:val="single"/>
                </w:rPr>
                <w:t>Letter Agreement effective as of July 1, 2019 between Immuno-Oncology Clinic, Inc. and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2019</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FF"/>
                  <w:sz w:val="20"/>
                  <w:u w:val="single"/>
                </w:rPr>
                <w:t>First Amendment to the July 1, 2019 Letter Agreement by and between Immuno-Oncology Clinic, Inc. and the Company, dated March 31,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11, 2020</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erif" w:hAnsi="Times New Roman;serif"/>
                  <w:b w:val="false"/>
                  <w:color w:val="0000FF"/>
                  <w:sz w:val="20"/>
                  <w:u w:val="single"/>
                </w:rPr>
                <w:t>Amended and Restated Shared Services Agreement by and between NantKwest, Inc. and NantWorks, LLC, dated June 28, 2016.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2016</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erif" w:hAnsi="Times New Roman;serif"/>
                  <w:b w:val="false"/>
                  <w:color w:val="0000FF"/>
                  <w:sz w:val="20"/>
                  <w:u w:val="single"/>
                </w:rPr>
                <w:t>Offer Letter between the Company and Richard Adcock, dated October 26,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9, 2020</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erif" w:hAnsi="Times New Roman;serif"/>
                  <w:b w:val="false"/>
                  <w:color w:val="0000FF"/>
                  <w:sz w:val="20"/>
                  <w:u w:val="single"/>
                </w:rPr>
                <w:t>Offer Letter, dated August 3, 2020, between ImmunityBio, Inc. and David Sachs.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333-252232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erif" w:hAnsi="Times New Roman;serif"/>
                  <w:b w:val="false"/>
                  <w:color w:val="0000FF"/>
                  <w:sz w:val="20"/>
                  <w:u w:val="single"/>
                </w:rPr>
                <w:t>Form of Indemnification Agreement between ImmunityBio, Inc. and each of its Directors and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2015</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erif" w:hAnsi="Times New Roman;serif"/>
                  <w:b w:val="false"/>
                  <w:color w:val="0000FF"/>
                  <w:sz w:val="20"/>
                  <w:u w:val="single"/>
                </w:rPr>
                <w:t>Executive Incentive Compensation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333-205124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2015</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erif" w:hAnsi="Times New Roman;serif"/>
                  <w:b w:val="false"/>
                  <w:color w:val="0000FF"/>
                  <w:sz w:val="20"/>
                  <w:u w:val="single"/>
                </w:rPr>
                <w:t>ImmunityBio, Inc. 2015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2024</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erif" w:hAnsi="Times New Roman;serif"/>
                  <w:b w:val="false"/>
                  <w:color w:val="0000FF"/>
                  <w:sz w:val="20"/>
                  <w:u w:val="single"/>
                </w:rPr>
                <w:t>NantCell, Inc. 2015 Stock Incentive Plan and forms of agreement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333-252332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2021</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erif" w:hAnsi="Times New Roman;serif"/>
                  <w:b w:val="false"/>
                  <w:color w:val="0000FF"/>
                  <w:sz w:val="20"/>
                  <w:u w:val="single"/>
                </w:rPr>
                <w:t>ImmunityBio, Inc. 2025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 2025</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erif" w:hAnsi="Times New Roman;serif"/>
                  <w:b w:val="false"/>
                  <w:color w:val="0000FF"/>
                  <w:sz w:val="20"/>
                  <w:u w:val="single"/>
                </w:rPr>
                <w:t>Settlement Agreement and Release dated July 13, 2024 entered into by and among Altor BioScience, LLC, NantCell, Inc., HCW Biologics, Inc., and Dr. Hing C. Wong.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2024</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erif" w:hAnsi="Times New Roman;serif"/>
                  <w:b w:val="false"/>
                  <w:color w:val="0000FF"/>
                  <w:sz w:val="20"/>
                  <w:u w:val="single"/>
                </w:rPr>
                <w:t>ImmunityBio, Inc. Insider Trading Policy,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2025</w:t>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211.htm">
              <w:r>
                <w:rPr>
                  <w:rStyle w:val="InternetLink"/>
                  <w:rFonts w:ascii="Times New Roman;serif" w:hAnsi="Times New Roman;serif"/>
                  <w:b w:val="false"/>
                  <w:color w:val="0000FF"/>
                  <w:sz w:val="20"/>
                  <w:u w:val="single"/>
                </w:rPr>
                <w:t>Subsidiaries of ImmunityBio, Inc. as of December 31,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231.htm">
              <w:r>
                <w:rPr>
                  <w:rStyle w:val="InternetLink"/>
                  <w:rFonts w:ascii="Times New Roman;serif" w:hAnsi="Times New Roman;serif"/>
                  <w:b w:val="false"/>
                  <w:color w:val="0000FF"/>
                  <w:sz w:val="20"/>
                  <w:u w:val="single"/>
                </w:rPr>
                <w:t>Consent of Deloitte &amp; Touche LLP,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232.htm">
              <w:r>
                <w:rPr>
                  <w:rStyle w:val="InternetLink"/>
                  <w:rFonts w:ascii="Times New Roman;serif" w:hAnsi="Times New Roman;serif"/>
                  <w:b w:val="false"/>
                  <w:color w:val="0000FF"/>
                  <w:sz w:val="20"/>
                  <w:u w:val="single"/>
                </w:rPr>
                <w:t>Consent of Ernst &amp; Young LLP,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6" name="Frame2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247</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78"/>
        <w:gridCol w:w="246"/>
        <w:gridCol w:w="247"/>
        <w:gridCol w:w="109"/>
        <w:gridCol w:w="109"/>
        <w:gridCol w:w="109"/>
        <w:gridCol w:w="2010"/>
        <w:gridCol w:w="1480"/>
        <w:gridCol w:w="1497"/>
        <w:gridCol w:w="109"/>
        <w:gridCol w:w="109"/>
        <w:gridCol w:w="109"/>
        <w:gridCol w:w="170"/>
        <w:gridCol w:w="170"/>
        <w:gridCol w:w="171"/>
        <w:gridCol w:w="112"/>
        <w:gridCol w:w="112"/>
        <w:gridCol w:w="112"/>
        <w:gridCol w:w="249"/>
        <w:gridCol w:w="249"/>
        <w:gridCol w:w="218"/>
        <w:gridCol w:w="112"/>
        <w:gridCol w:w="112"/>
        <w:gridCol w:w="112"/>
        <w:gridCol w:w="232"/>
        <w:gridCol w:w="232"/>
        <w:gridCol w:w="234"/>
        <w:gridCol w:w="112"/>
        <w:gridCol w:w="112"/>
        <w:gridCol w:w="112"/>
        <w:gridCol w:w="306"/>
        <w:gridCol w:w="225"/>
        <w:gridCol w:w="329"/>
      </w:tblGrid>
      <w:tr>
        <w:trPr/>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7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r>
      <w:tr>
        <w:trPr/>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(Contained in Signature Page to this Annual Report).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311.htm">
              <w:r>
                <w:rPr>
                  <w:rStyle w:val="InternetLink"/>
                  <w:rFonts w:ascii="Times New Roman;serif" w:hAnsi="Times New Roman;serif"/>
                  <w:b w:val="false"/>
                  <w:color w:val="0000FF"/>
                  <w:sz w:val="20"/>
                  <w:u w:val="single"/>
                </w:rPr>
                <w:t>Certification of Principal Executive Officer pursuant to Exchange Act Rules 13a-14(a) and 15(d)-14(a) of the Securities Act,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312.htm">
              <w:r>
                <w:rPr>
                  <w:rStyle w:val="InternetLink"/>
                  <w:rFonts w:ascii="Times New Roman;serif" w:hAnsi="Times New Roman;serif"/>
                  <w:b w:val="false"/>
                  <w:color w:val="0000FF"/>
                  <w:sz w:val="20"/>
                  <w:u w:val="single"/>
                </w:rPr>
                <w:t>Certification of Principal Financial Officer pursuant to Exchange Act Rules 13a-14(a) and 15(d)-14(a) of the Securities Act,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51231x10k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erif" w:hAnsi="Times New Roman;serif"/>
                  <w:b w:val="false"/>
                  <w:color w:val="0000FF"/>
                  <w:sz w:val="20"/>
                  <w:u w:val="single"/>
                </w:rPr>
                <w:t>ImmunityBio, Inc. Compensation Recovery Policy as adopted or most recently updated on November 29,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001-37507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2024</w:t>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6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67" name="Frame2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248</w:t>
                      </w:r>
                    </w:p>
                  </w:txbxContent>
                </v:textbox>
                <w10:wrap type="none"/>
              </v:rect>
            </w:pict>
          </mc:Fallback>
        </mc:AlternateContent>
      </w:r>
    </w:p>
    <w:p>
      <w:pPr>
        <w:pStyle w:val="TextBody"/>
        <w:bidi w:val="0"/>
        <w:spacing w:lineRule="auto" w:line="288" w:before="0" w:after="0"/>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60" w:after="6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The certifications attached as Exhibits 32.1 and 32.2 that accompany this Annual Report are deemed furnished and not filed with the SEC and are not to be incorporated by reference into any filing of ImmunityBio, Inc. under the Securities Act or the Exchange Act, whether made before or after the date of this Annual Report, irrespective of any general incorporation language contained in such filing.</w:t>
      </w:r>
    </w:p>
    <w:p>
      <w:pPr>
        <w:pStyle w:val="TextBody"/>
        <w:bidi w:val="0"/>
        <w:spacing w:lineRule="auto" w:line="288" w:before="60" w:after="6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Indicates a management contract or compensatory plan.</w:t>
      </w:r>
    </w:p>
    <w:p>
      <w:pPr>
        <w:pStyle w:val="TextBody"/>
        <w:bidi w:val="0"/>
        <w:spacing w:lineRule="auto" w:line="288" w:before="60" w:after="60"/>
        <w:ind w:left="0" w:right="0" w:hanging="720"/>
        <w:jc w:val="left"/>
        <w:rPr/>
      </w:pPr>
      <w:r>
        <w:rPr>
          <w:rFonts w:ascii="Times New Roman;serif" w:hAnsi="Times New Roman;serif"/>
          <w:b w:val="false"/>
          <w:color w:val="000000"/>
          <w:sz w:val="18"/>
        </w:rPr>
        <w:t>+     </w:t>
      </w:r>
      <w:r>
        <w:rPr>
          <w:rFonts w:ascii="Times New Roman;serif" w:hAnsi="Times New Roman;serif"/>
          <w:b w:val="false"/>
          <w:color w:val="000000"/>
          <w:sz w:val="18"/>
          <w:shd w:fill="FFFFFF" w:val="clear"/>
        </w:rPr>
        <w:t>Some information has been redacted pursuant to Item 601of Regulation S-K. The company agrees to furnish to the SEC a copy of any redacted information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22885"/>
                <wp:effectExtent l="0" t="0" r="0" b="0"/>
                <wp:wrapNone/>
                <wp:docPr id="268" name="Frame2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249</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Act of 1934, as amended, the registrant has duly caused this Annual Report to be signed on its behalf by the undersigned, thereunto duly authorized.</w:t>
      </w:r>
    </w:p>
    <w:tbl>
      <w:tblPr>
        <w:tblW w:w="5689" w:type="dxa"/>
        <w:jc w:val="center"/>
        <w:tblInd w:w="0" w:type="dxa"/>
        <w:tblLayout w:type="fixed"/>
        <w:tblCellMar>
          <w:top w:w="28" w:type="dxa"/>
          <w:left w:w="28" w:type="dxa"/>
          <w:bottom w:w="28" w:type="dxa"/>
          <w:right w:w="28" w:type="dxa"/>
        </w:tblCellMar>
      </w:tblPr>
      <w:tblGrid>
        <w:gridCol w:w="755"/>
        <w:gridCol w:w="663"/>
        <w:gridCol w:w="666"/>
        <w:gridCol w:w="317"/>
        <w:gridCol w:w="317"/>
        <w:gridCol w:w="317"/>
        <w:gridCol w:w="774"/>
        <w:gridCol w:w="774"/>
        <w:gridCol w:w="110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IMMUNITYBIO,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Adcock</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Regan J. Lauer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Regan J. Lauer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222885"/>
                <wp:effectExtent l="0" t="0" r="0" b="0"/>
                <wp:wrapNone/>
                <wp:docPr id="269" name="Frame2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250</w:t>
                      </w:r>
                    </w:p>
                  </w:txbxContent>
                </v:textbox>
                <w10:wrap type="none"/>
              </v:rect>
            </w:pict>
          </mc:Fallback>
        </mc:AlternateContent>
      </w:r>
    </w:p>
    <w:p>
      <w:pPr>
        <w:pStyle w:val="TextBody"/>
        <w:bidi w:val="0"/>
        <w:spacing w:lineRule="auto" w:line="288" w:before="360" w:after="283"/>
        <w:jc w:val="left"/>
        <w:rPr/>
      </w:pPr>
      <w:hyperlink w:anchor="i49f82bc2aa33405eae1e0b45f37d1ae6_7">
        <w:r>
          <w:rPr>
            <w:rStyle w:val="InternetLink"/>
            <w:rFonts w:ascii="Times New Roman;serif" w:hAnsi="Times New Roman;serif"/>
            <w:b w:val="false"/>
            <w:color w:val="000080"/>
            <w:sz w:val="20"/>
            <w:u w:val="single"/>
          </w:rPr>
          <w:t xml:space="preserve">Table of </w:t>
        </w:r>
      </w:hyperlink>
      <w:hyperlink w:anchor="i49f82bc2aa33405eae1e0b45f37d1ae6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Richard Adcock, David C. Sachs and Philip LoScalzo, and each of them, as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lineRule="auto" w:line="288" w:before="24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Annual Report has been signed below by the following persons on behalf of the registrant in the capacities and on the dates indicated.</w:t>
      </w:r>
    </w:p>
    <w:tbl>
      <w:tblPr>
        <w:tblW w:w="8409"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1354"/>
        <w:gridCol w:w="1354"/>
        <w:gridCol w:w="1372"/>
        <w:gridCol w:w="109"/>
        <w:gridCol w:w="109"/>
        <w:gridCol w:w="109"/>
        <w:gridCol w:w="478"/>
        <w:gridCol w:w="478"/>
        <w:gridCol w:w="680"/>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Patrick Soon-Shiong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Global Chief Scientific and Medical Officer, and </w:t>
              <w:br/>
              <w:t>Executive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Patrick Soon-Shiong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Richard Adcock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Richard Adcock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C. Sachs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David C. Sachs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Regan J. Lauer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Regan J. Lauer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J.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Corporate Affairs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Barry J.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Blaszyk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Michael D. Blaszyk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Wesley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Wesley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Cheryl L.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Cheryl L.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Linda Maxwell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Linda Maxwell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Christobel Selecky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Christobel Selecky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Bruce Wendel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Bruce Wendel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299085"/>
                <wp:effectExtent l="0" t="0" r="0" b="0"/>
                <wp:wrapNone/>
                <wp:docPr id="270" name="Frame2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RESTATED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CERTIFICATE OF INCORPORATION OF</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IMMUNITYBIO, INC.</w:t>
      </w:r>
    </w:p>
    <w:p>
      <w:pPr>
        <w:pStyle w:val="TextBody"/>
        <w:bidi w:val="0"/>
        <w:spacing w:lineRule="auto" w:line="288" w:before="240" w:after="283"/>
        <w:jc w:val="left"/>
        <w:rPr/>
      </w:pPr>
      <w:r>
        <w:rPr>
          <w:rFonts w:ascii="Times New Roman;serif" w:hAnsi="Times New Roman;serif"/>
          <w:b w:val="false"/>
          <w:color w:val="000000"/>
          <w:sz w:val="24"/>
        </w:rPr>
        <w:t>ImmunityBio, Inc., a corporation organized and existing under the laws of the State of Delaware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xml:space="preserve">), certifies that: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A.The name of the Corporation is ImmunityBio, Inc. The Corporation’s original Certificate of Incorporation was filed with the Secretary of State of the State of Delaware on March 12, 2014 under the name Conkwest, Inc. </w:t>
      </w:r>
    </w:p>
    <w:p>
      <w:pPr>
        <w:pStyle w:val="TextBody"/>
        <w:bidi w:val="0"/>
        <w:spacing w:lineRule="auto" w:line="288" w:before="240" w:after="283"/>
        <w:ind w:left="0" w:right="0" w:hanging="360"/>
        <w:jc w:val="left"/>
        <w:rPr/>
      </w:pPr>
      <w:r>
        <w:rPr>
          <w:rFonts w:ascii="Times New Roman;serif" w:hAnsi="Times New Roman;serif"/>
          <w:b w:val="false"/>
          <w:color w:val="000000"/>
          <w:sz w:val="24"/>
        </w:rPr>
        <w:t>B.This Restated Certificate of Incorporation (this “</w:t>
      </w:r>
      <w:r>
        <w:rPr>
          <w:rFonts w:ascii="Times New Roman;serif" w:hAnsi="Times New Roman;serif"/>
          <w:b w:val="false"/>
          <w:color w:val="000000"/>
          <w:sz w:val="24"/>
          <w:u w:val="single"/>
        </w:rPr>
        <w:t>Restated Certificate of Incorporation</w:t>
      </w:r>
      <w:r>
        <w:rPr>
          <w:color w:val="000000"/>
        </w:rPr>
        <w:t>”</w:t>
      </w:r>
      <w:r>
        <w:rPr>
          <w:rFonts w:ascii="Times New Roman;serif" w:hAnsi="Times New Roman;serif"/>
          <w:b w:val="false"/>
          <w:color w:val="000000"/>
          <w:sz w:val="24"/>
        </w:rPr>
        <w:t xml:space="preserve">), which only restates and integrates and does not further amend the provisions of the Amended and Restated Certificate of Incorporation of the Corporation as heretofore amended, there being no discrepancy between those provisions and the provisions of this Restated Certificate of Incorporation, was duly adopted in accordance with Section 245 of the General Corporation Law of the State of Delaware. </w:t>
      </w:r>
    </w:p>
    <w:p>
      <w:pPr>
        <w:pStyle w:val="TextBody"/>
        <w:bidi w:val="0"/>
        <w:spacing w:lineRule="auto" w:line="288" w:before="240" w:after="283"/>
        <w:ind w:left="0" w:right="0" w:hanging="360"/>
        <w:jc w:val="left"/>
        <w:rPr/>
      </w:pPr>
      <w:r>
        <w:rPr>
          <w:rFonts w:ascii="Times New Roman;serif" w:hAnsi="Times New Roman;serif"/>
          <w:b w:val="false"/>
          <w:color w:val="000000"/>
          <w:sz w:val="24"/>
        </w:rPr>
        <w:t xml:space="preserve">C.The text of the Restated Certificate of Incorporation is as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ImmunityBio, Inc. has caused this Restated Certificate of Incorporation to be signed by Richard Adcock, a duly authorized officer of the Corporation, on February 20, 2026. </w:t>
      </w:r>
    </w:p>
    <w:tbl>
      <w:tblPr>
        <w:tblW w:w="3765" w:type="dxa"/>
        <w:jc w:val="right"/>
        <w:tblInd w:w="0" w:type="dxa"/>
        <w:tblLayout w:type="fixed"/>
        <w:tblCellMar>
          <w:top w:w="28" w:type="dxa"/>
          <w:left w:w="28" w:type="dxa"/>
          <w:bottom w:w="28" w:type="dxa"/>
          <w:right w:w="28" w:type="dxa"/>
        </w:tblCellMar>
      </w:tblPr>
      <w:tblGrid>
        <w:gridCol w:w="1204"/>
        <w:gridCol w:w="1057"/>
        <w:gridCol w:w="1504"/>
      </w:tblGrid>
      <w:tr>
        <w:trPr/>
        <w:tc>
          <w:tcPr>
            <w:tcW w:w="120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Adcock</w:t>
            </w:r>
          </w:p>
        </w:tc>
      </w:tr>
      <w:tr>
        <w:trPr/>
        <w:tc>
          <w:tcPr>
            <w:tcW w:w="3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Richard Adcock</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240" w:after="283"/>
        <w:jc w:val="left"/>
        <w:rPr/>
      </w:pPr>
      <w:r>
        <w:rPr>
          <w:rFonts w:ascii="Times New Roman;serif" w:hAnsi="Times New Roman;serif"/>
          <w:b w:val="false"/>
          <w:color w:val="000000"/>
          <w:sz w:val="24"/>
        </w:rPr>
        <w:t>The name of the corporation is ImmunityBio,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address of the Corporation’s registered office in the State of Delaware is 1209 Orange St., Wilmington, County of New Castle 19801. The name of its registered agent at such address is National Registered Agents, Inc.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240" w:after="283"/>
        <w:jc w:val="left"/>
        <w:rPr/>
      </w:pPr>
      <w:r>
        <w:rPr>
          <w:rFonts w:ascii="Times New Roman;serif" w:hAnsi="Times New Roman;serif"/>
          <w:b w:val="false"/>
          <w:color w:val="000000"/>
          <w:sz w:val="24"/>
        </w:rPr>
        <w:t>The nature of the business or purposes to be conducted or promoted by the Corporation is to engage in any lawful act or activity for which corporations may be organized under the General Corporation Law of the State of Delaware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1.    This Corporation is authorized to issue two classes of stock, to be designated, respectively, as Common Stock and Preferred Stock. The total number of shares of stock that the Corporation shall have authority to issue is 1,670,000,000 shares, of which 1,650,000,000 shares are Common Stock, $0.0001 par value per share, and 20,000,000 shares are Preferred Stock, $0.0001 par value per share.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2.    Each share of Common Stock shall entitle the holder thereof to one (1) vote.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subject to the powers, preferences and rights, and the qualifications, limitations and restrictions thereof stated in this Restated Certificate of Incorporation or the resolution of the Board of Directors originally fixing the number of shares of such series.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4.    The number of authorized shares of Preferred Stock or Common Stock may be increased or decreased (but not below the number of shares thereof then outstanding) by the affirmative vote of the holders of a majority of the voting power of the outstanding shares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Corporation entitled to vote, irrespective of the provisions of Section 242(b)(2) of the DGCL (or any successor provision thereto), voting together as a single class, without a separate vote of the holders of shares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Section 3 of this Article IV (or any certificate of designation with respect thereto). Except as otherwise required by law or provided in this Section 4, holders of Common Stock shall not be entitled to vote on any amendment to this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Restated Certificate of Incorporation (including any certificate of designation filed with respect to any series of Preferred Stock).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240" w:after="283"/>
        <w:jc w:val="left"/>
        <w:rPr/>
      </w:pPr>
      <w:r>
        <w:rPr>
          <w:rFonts w:ascii="Times New Roman;serif" w:hAnsi="Times New Roman;serif"/>
          <w:b w:val="false"/>
          <w:color w:val="000000"/>
          <w:sz w:val="24"/>
        </w:rPr>
        <w:t>Subject to the rights of holders of Preferred Stock, the number of directors that constitutes the entire Board of Directors of the Corporation shall be fixed solely by resolution of the majority of the Whole Board. For purposes of this Restated Certificate of Incorporation, the term “</w:t>
      </w:r>
      <w:r>
        <w:rPr>
          <w:rFonts w:ascii="Times New Roman;serif" w:hAnsi="Times New Roman;serif"/>
          <w:b w:val="false"/>
          <w:color w:val="000000"/>
          <w:sz w:val="24"/>
          <w:u w:val="single"/>
        </w:rPr>
        <w:t>Whole Board</w:t>
      </w:r>
      <w:r>
        <w:rPr>
          <w:color w:val="000000"/>
        </w:rPr>
        <w:t xml:space="preserve">” </w:t>
      </w:r>
      <w:r>
        <w:rPr>
          <w:rFonts w:ascii="Times New Roman;serif" w:hAnsi="Times New Roman;serif"/>
          <w:b w:val="false"/>
          <w:color w:val="000000"/>
          <w:sz w:val="24"/>
        </w:rPr>
        <w:t xml:space="preserve">shall mean the total number of authorized directors whether or not there exist any vacancies in the previously authorized directorships. At each annual meeting of stockholders, directors of the Corporation shall be elected to hold office until the next annual meeting of stockholders and until their successors have been duly elected and qualified or until their earlier resignation or removal; except that if any such meeting shall not be so held, such election shall take place at a stockholders’ meeting called and held in accordance with the DGCL or by written consent in lieu of an annual meeting pursuant to Section 211(b) of the DGCL and Article VIII hereof.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for or fixed by or pursuant to the provisions of Article IV hereof in relation to the rights of the holders of Preferred Stock to elect directors under specified circumstances or as provided by resolution of the Board of Directors,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1.     The Corporation is to have perpetual existence.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2.    The business and affairs of the Corporation shall be managed by or under the direction of the Board of Directors. In addition to the powers and authority expressly conferred upon them by statute or by this Restated Certificate of Incorporation or the Bylaws of the Corporation, the directors are hereby empowered to exercise all such powers and do all such acts and things as may be exercised or done by the Corporation.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3.    In furtherance and not in limitation of the powers conferred by statute, the Board of Directors is expressly authorized to adopt, alter, amend or repeal the Bylaws of the Corporation. The affirmative vote of at least a majority of the Whole Board shall be required in order for the Board of Directors to adopt, amend, alter or repeal the Corporation’s Bylaws. The Corporation’s Bylaws may also be adopted, amended, altered or repealed by the stockholders of the Corporation. Notwithstanding the above or any other provision of this Restated Certificate of Incorporation, the Bylaws of the Corporation may not be amended, altered or repealed except in accordance with Article X of the Bylaws. No Bylaw hereafter legally adopted, amended, altered or repealed shall invalidate any prior act of the directors or officers of the Corporation that would have been valid if such Bylaw had not been adopted, amended, altered or repealed.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4.    The election of directors need not be by written ballot unless the Bylaws of the Corporation shall so provide.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5.    No stockholder will be permitted to cumulate votes at any election of directors.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88" w:before="240" w:after="283"/>
        <w:jc w:val="left"/>
        <w:rPr/>
      </w:pPr>
      <w:r>
        <w:rPr>
          <w:rFonts w:ascii="Times New Roman;serif" w:hAnsi="Times New Roman;serif"/>
          <w:b w:val="false"/>
          <w:color w:val="000000"/>
          <w:sz w:val="24"/>
        </w:rPr>
        <w:t xml:space="preserve">Section 1.    Any action required or permitted to be taken at an annual or special meeting of stockholders may be taken without a meeting if a consent or consents in writing, setting forth the action so taken, shall be signed by holders of record on the record date (established in the manner provided in Section 2 of this Article VIII) of outstanding shares of the Corporation having not less than the minimum number of votes that would be necessary to authorize or take such action at a meeting at which all shares entitled to vote thereon were present and voted, but only if such action is taken in accordance with the provisions of this Article VIII, the Bylaws of the Corporation and applicable law;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in the case of the election or removal of directors by written consent, such consent shall be effective only if signed by the holders of all outstanding shares entitled to vote for the election of directors.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2.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days after the date upon which the resolution fixing the record date is adopted by the Board of Directors. Any stockholder of record seeking to have the stockholders authorize or take corporate action by written consent shall, by written notice to the attention of the Secretary of the Corporation, request the Board of Directors to fix a record date. The Board of Directors shall promptly, but in all events within ten days after the date on which such a request is received, adopt a resolution fixing the record date (unless a record date has previously been fixed by the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pursuant to the first sentence of this Section 2 of Article VIII). If no record date has been fixed by the Board of Directors within ten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1.    Special meetings of stockholders of the Corporation may be called only by the Chairperson of the Board of Directors, the Chief Executive Officer, the President or the Board of Directors acting pursuant to a resolution adopted by a majority of the Whole Board, and any power of stockholders to call a special meeting of stockholders is specifically denied. Only such business shall be considered at a special meeting of stockholders as shall have been stated in the notice for such meeting.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2.    Advance notice of stockholder nominations for the election of directors and of business to be brought by stockholders before any meeting of the stockholders of the Corporation shall be given in the manner and to the extent provided in the Bylaws of the Corporation.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Section 1.    To the fullest extent permitted by the DGCL as the same exists or as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lineRule="auto" w:line="288" w:before="240" w:after="283"/>
        <w:jc w:val="left"/>
        <w:rPr/>
      </w:pPr>
      <w:r>
        <w:rPr>
          <w:rFonts w:ascii="Times New Roman;serif" w:hAnsi="Times New Roman;serif"/>
          <w:b w:val="false"/>
          <w:color w:val="000000"/>
          <w:sz w:val="24"/>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serif" w:hAnsi="Times New Roman;serif"/>
          <w:b w:val="false"/>
          <w:color w:val="000000"/>
          <w:sz w:val="24"/>
          <w:u w:val="single"/>
        </w:rPr>
        <w:t>Proceeding</w:t>
      </w:r>
      <w:r>
        <w:rPr>
          <w:color w:val="000000"/>
        </w:rPr>
        <w:t>”</w:t>
      </w:r>
      <w:r>
        <w:rPr>
          <w:rFonts w:ascii="Times New Roman;serif" w:hAnsi="Times New Roman;serif"/>
          <w:b w:val="false"/>
          <w:color w:val="000000"/>
          <w:sz w:val="24"/>
        </w:rPr>
        <w:t xml:space="preserve">)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Section 4.    Neither any amendment nor repeal of any Section of this Article X, nor the adoption of any provision of this Restated Certificate of Incorporation or the Bylaws of the Corporation inconsistent with this Article X, shall eliminate or reduce the effect of this Article X in respect of any matter occurring, or any cause of action, suit, claim or proceeding accruing or arising or that, but for this Article X, would accrue or arise, prior to such amendment, repeal or adoption of an inconsistent provision.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Meetings of stockholders may be held within or outside of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XII</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Unless the Corporation consents in writing to the selection of an alternative forum and to the fullest extent permitted by law, the Court of Chancery of the State of Delaware (or, if such court lacks jurisdiction, any other state or federal court located within the State of Delaware) shall be the sole and exclusive forum for (A) any derivative action or proceeding brought on behalf of the Corporation, (B) any action or proceeding asserting a claim of breach of a fiduciary duty owed by any director, officer or other employee of the Corporation to the Corporation or the Corporation’s stockholders, (C) any action or proceeding asserting a claim arising pursuant to any provision of the DGCL or the Corporation’s Restated Certificate of Incorporation or Bylaws, or (D) any action or proceeding asserting a claim governed by the internal affairs doctrine; in all cases subject to the court’s having personal jurisdiction over the indispensable parties named as defendants.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XIII</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Corporation shall not be governed by the provisions of Section 203 of the DGCL.</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XIV</w:t>
      </w:r>
    </w:p>
    <w:p>
      <w:pPr>
        <w:pStyle w:val="TextBody"/>
        <w:bidi w:val="0"/>
        <w:spacing w:lineRule="auto" w:line="288" w:before="240" w:after="283"/>
        <w:jc w:val="left"/>
        <w:rPr/>
      </w:pPr>
      <w:r>
        <w:rPr>
          <w:rFonts w:ascii="Times New Roman;serif" w:hAnsi="Times New Roman;serif"/>
          <w:b w:val="false"/>
          <w:color w:val="000000"/>
          <w:sz w:val="24"/>
        </w:rPr>
        <w:t xml:space="preserve">The Corporation reserves the right to amend or repeal any provision contained in this Restated Certificate of Incorporation in the manner prescribed by the laws of the State of Delaware and all rights conferred upon stockholders are granted subject to this reservation;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notwithstanding any other provision of this Restated Certificate of Incorporation or any provision of law that might otherwise permit a lesser vote or no vote, the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acting pursuant to a resolution adopted by a majority of the Whole Board and the affirmative vote of sixty-six and two-thirds percent (66 2/3%) of the voting power of the then outstanding voting securities of the Corporation, voting together as a single class, shall be required for the amendment, repeal or modification of the provisions of, or adoption of any provision inconsistent with, Section 3 of Article IV, Article VI, Section 5 of Article VII, Article VIII, Article IX, Article XII, Article XIII or Article XIV of this Restated Certificate of Incorporation.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10.34</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SECOND AMENDMENT TO LEASE</w:t>
      </w:r>
    </w:p>
    <w:p>
      <w:pPr>
        <w:pStyle w:val="TextBody"/>
        <w:bidi w:val="0"/>
        <w:spacing w:lineRule="auto" w:line="288" w:before="240" w:after="283"/>
        <w:ind w:left="0" w:right="0" w:firstLine="720"/>
        <w:jc w:val="left"/>
        <w:rPr/>
      </w:pPr>
      <w:r>
        <w:rPr>
          <w:rFonts w:ascii="Times New Roman;serif" w:hAnsi="Times New Roman;serif"/>
          <w:b/>
          <w:color w:val="000000"/>
          <w:sz w:val="22"/>
        </w:rPr>
        <w:t xml:space="preserve">THIS SECOND AMENDMENT TO LEASE </w:t>
      </w:r>
      <w:r>
        <w:rPr>
          <w:rFonts w:ascii="Times New Roman;serif" w:hAnsi="Times New Roman;serif"/>
          <w:b w:val="false"/>
          <w:color w:val="000000"/>
          <w:sz w:val="22"/>
        </w:rPr>
        <w:t>(this “</w:t>
      </w:r>
      <w:r>
        <w:rPr>
          <w:rFonts w:ascii="Times New Roman;serif" w:hAnsi="Times New Roman;serif"/>
          <w:b w:val="false"/>
          <w:color w:val="000000"/>
          <w:sz w:val="22"/>
          <w:u w:val="single"/>
        </w:rPr>
        <w:t>Second Amendment to Lease</w:t>
      </w:r>
      <w:r>
        <w:rPr>
          <w:color w:val="000000"/>
        </w:rPr>
        <w:t>”</w:t>
      </w:r>
      <w:r>
        <w:rPr>
          <w:rFonts w:ascii="Times New Roman;serif" w:hAnsi="Times New Roman;serif"/>
          <w:b w:val="false"/>
          <w:color w:val="000000"/>
          <w:sz w:val="22"/>
        </w:rPr>
        <w:t>), effective as of January 1, 2026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xml:space="preserve">), by and among </w:t>
      </w:r>
      <w:r>
        <w:rPr>
          <w:rFonts w:ascii="Times New Roman;serif" w:hAnsi="Times New Roman;serif"/>
          <w:b/>
          <w:color w:val="000000"/>
          <w:sz w:val="22"/>
        </w:rPr>
        <w:t>FORT SCHUYLER MANAGEMENT CORPORATION</w:t>
      </w:r>
      <w:r>
        <w:rPr>
          <w:rFonts w:ascii="Times New Roman;serif" w:hAnsi="Times New Roman;serif"/>
          <w:b w:val="false"/>
          <w:color w:val="000000"/>
          <w:sz w:val="22"/>
        </w:rPr>
        <w:t>, a not-for-profit corporation existing under the laws of the State of New York, having its office located at 257 Fuller Road, Albany, New York 12203 (“</w:t>
      </w:r>
      <w:r>
        <w:rPr>
          <w:rFonts w:ascii="Times New Roman;serif" w:hAnsi="Times New Roman;serif"/>
          <w:b w:val="false"/>
          <w:color w:val="000000"/>
          <w:sz w:val="22"/>
          <w:u w:val="single"/>
        </w:rPr>
        <w:t>Landlord</w:t>
      </w:r>
      <w:r>
        <w:rPr>
          <w:color w:val="000000"/>
        </w:rPr>
        <w:t>”</w:t>
      </w:r>
      <w:r>
        <w:rPr>
          <w:rFonts w:ascii="Times New Roman;serif" w:hAnsi="Times New Roman;serif"/>
          <w:b w:val="false"/>
          <w:color w:val="000000"/>
          <w:sz w:val="22"/>
        </w:rPr>
        <w:t xml:space="preserve">), and </w:t>
      </w:r>
      <w:r>
        <w:rPr>
          <w:rFonts w:ascii="Times New Roman;serif" w:hAnsi="Times New Roman;serif"/>
          <w:b/>
          <w:color w:val="000000"/>
          <w:sz w:val="22"/>
        </w:rPr>
        <w:t>IMMUNITYBIO, INC.</w:t>
      </w:r>
      <w:r>
        <w:rPr>
          <w:color w:val="000000"/>
        </w:rPr>
        <w:t xml:space="preserve"> </w:t>
      </w:r>
      <w:r>
        <w:rPr>
          <w:rFonts w:ascii="Times New Roman;serif" w:hAnsi="Times New Roman;serif"/>
          <w:b w:val="false"/>
          <w:color w:val="000000"/>
          <w:sz w:val="22"/>
        </w:rPr>
        <w:t>a publicly held corporation under the laws of the state of Delaware and having an office at 3530 John Hopkins Court, San Diego, California 92121 (“</w:t>
      </w:r>
      <w:r>
        <w:rPr>
          <w:rFonts w:ascii="Times New Roman;serif" w:hAnsi="Times New Roman;serif"/>
          <w:b w:val="false"/>
          <w:color w:val="000000"/>
          <w:sz w:val="22"/>
          <w:u w:val="single"/>
        </w:rPr>
        <w:t>Tenant</w:t>
      </w:r>
      <w:r>
        <w:rPr>
          <w:color w:val="000000"/>
        </w:rPr>
        <w:t>”</w:t>
      </w:r>
      <w:r>
        <w:rPr>
          <w:rFonts w:ascii="Times New Roman;serif" w:hAnsi="Times New Roman;serif"/>
          <w:b w:val="false"/>
          <w:color w:val="000000"/>
          <w:sz w:val="22"/>
        </w:rPr>
        <w:t>). Each of Landlord and Tenant may sometimes be referred to herein as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left"/>
        <w:rPr/>
      </w:pPr>
      <w:r>
        <w:rPr>
          <w:rFonts w:ascii="Times New Roman;serif" w:hAnsi="Times New Roman;serif"/>
          <w:b w:val="false"/>
          <w:color w:val="000000"/>
          <w:sz w:val="22"/>
        </w:rPr>
        <w:t>WHEREAS, Landlord and Athenex, Inc., a Delaware corporation (“</w:t>
      </w:r>
      <w:r>
        <w:rPr>
          <w:rFonts w:ascii="Times New Roman;serif" w:hAnsi="Times New Roman;serif"/>
          <w:b w:val="false"/>
          <w:color w:val="000000"/>
          <w:sz w:val="22"/>
          <w:u w:val="single"/>
        </w:rPr>
        <w:t>Athenex</w:t>
      </w:r>
      <w:r>
        <w:rPr>
          <w:color w:val="000000"/>
        </w:rPr>
        <w:t>”</w:t>
      </w:r>
      <w:r>
        <w:rPr>
          <w:rFonts w:ascii="Times New Roman;serif" w:hAnsi="Times New Roman;serif"/>
          <w:b w:val="false"/>
          <w:color w:val="000000"/>
          <w:sz w:val="22"/>
        </w:rPr>
        <w:t>), entered into that certain Site Access Agreement, dated as of August 9, 2017 (the “</w:t>
      </w:r>
      <w:r>
        <w:rPr>
          <w:rFonts w:ascii="Times New Roman;serif" w:hAnsi="Times New Roman;serif"/>
          <w:b w:val="false"/>
          <w:color w:val="000000"/>
          <w:sz w:val="22"/>
          <w:u w:val="single"/>
        </w:rPr>
        <w:t>Site Access Agreement</w:t>
      </w:r>
      <w:r>
        <w:rPr>
          <w:color w:val="000000"/>
        </w:rPr>
        <w:t>”</w:t>
      </w:r>
      <w:r>
        <w:rPr>
          <w:rFonts w:ascii="Times New Roman;serif" w:hAnsi="Times New Roman;serif"/>
          <w:b w:val="false"/>
          <w:color w:val="000000"/>
          <w:sz w:val="22"/>
        </w:rPr>
        <w:t>) and that certain Fort Schuyler Management Corporation Lease, dated as of October 1, 2021 (the “</w:t>
      </w:r>
      <w:r>
        <w:rPr>
          <w:rFonts w:ascii="Times New Roman;serif" w:hAnsi="Times New Roman;serif"/>
          <w:b w:val="false"/>
          <w:color w:val="000000"/>
          <w:sz w:val="22"/>
          <w:u w:val="single"/>
        </w:rPr>
        <w:t>Original Lease</w:t>
      </w:r>
      <w:r>
        <w:rPr>
          <w:color w:val="000000"/>
        </w:rPr>
        <w:t>”</w:t>
      </w:r>
      <w:r>
        <w:rPr>
          <w:rFonts w:ascii="Times New Roman;serif" w:hAnsi="Times New Roman;serif"/>
          <w:b w:val="false"/>
          <w:color w:val="000000"/>
          <w:sz w:val="22"/>
        </w:rPr>
        <w:t xml:space="preserve">) pursuant to which Landlord leased to Athenex that certain Premises (as defined in the Original Lease), which is inclusive of the Building (as defined in the Original Lease), Land (as defined in the Original Lease), and Manufacturing Equipment (as defined in the Original Lease); </w:t>
      </w:r>
    </w:p>
    <w:p>
      <w:pPr>
        <w:pStyle w:val="TextBody"/>
        <w:bidi w:val="0"/>
        <w:spacing w:lineRule="auto" w:line="288" w:before="240" w:after="283"/>
        <w:ind w:left="0" w:right="0" w:firstLine="720"/>
        <w:jc w:val="left"/>
        <w:rPr/>
      </w:pPr>
      <w:r>
        <w:rPr>
          <w:rFonts w:ascii="Times New Roman;serif" w:hAnsi="Times New Roman;serif"/>
          <w:b w:val="false"/>
          <w:color w:val="000000"/>
          <w:sz w:val="22"/>
        </w:rPr>
        <w:t>WHEREAS, pursuant to an Assignment of Lease, dated as of February 14, 2022, by and between Athenex and Tenant, Athenex sold, assigned, and transferred to Tenant all of Athenex’s rights in and to, and delegated to Tenant all of Athenex’s duties and obligations under, the Site Access Agreement and the Original Lease (collectively, the “</w:t>
      </w:r>
      <w:r>
        <w:rPr>
          <w:rFonts w:ascii="Times New Roman;serif" w:hAnsi="Times New Roman;serif"/>
          <w:b w:val="false"/>
          <w:color w:val="000000"/>
          <w:sz w:val="22"/>
          <w:u w:val="single"/>
        </w:rPr>
        <w:t>Assignment Transaction</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left"/>
        <w:rPr/>
      </w:pPr>
      <w:r>
        <w:rPr>
          <w:rFonts w:ascii="Times New Roman;serif" w:hAnsi="Times New Roman;serif"/>
          <w:b w:val="false"/>
          <w:color w:val="000000"/>
          <w:sz w:val="22"/>
        </w:rPr>
        <w:t>WHEREAS, in connection with the Assignment Transaction, the Parties entered into that certain First Amendment to Lease effective February 14, 2022 (the “</w:t>
      </w:r>
      <w:r>
        <w:rPr>
          <w:rFonts w:ascii="Times New Roman;serif" w:hAnsi="Times New Roman;serif"/>
          <w:b w:val="false"/>
          <w:color w:val="000000"/>
          <w:sz w:val="22"/>
          <w:u w:val="single"/>
        </w:rPr>
        <w:t>First Amendment to Lease</w:t>
      </w:r>
      <w:r>
        <w:rPr>
          <w:color w:val="000000"/>
        </w:rPr>
        <w:t xml:space="preserve">” </w:t>
      </w:r>
      <w:r>
        <w:rPr>
          <w:rFonts w:ascii="Times New Roman;serif" w:hAnsi="Times New Roman;serif"/>
          <w:b w:val="false"/>
          <w:color w:val="000000"/>
          <w:sz w:val="22"/>
        </w:rPr>
        <w:t>and, together with the Original Lease, the “</w:t>
      </w:r>
      <w:r>
        <w:rPr>
          <w:rFonts w:ascii="Times New Roman;serif" w:hAnsi="Times New Roman;serif"/>
          <w:b w:val="false"/>
          <w:color w:val="000000"/>
          <w:sz w:val="22"/>
          <w:u w:val="single"/>
        </w:rPr>
        <w:t>Amended Lease</w:t>
      </w:r>
      <w:r>
        <w:rPr>
          <w:color w:val="000000"/>
        </w:rPr>
        <w:t>”</w:t>
      </w:r>
      <w:r>
        <w:rPr>
          <w:rFonts w:ascii="Times New Roman;serif" w:hAnsi="Times New Roman;serif"/>
          <w:b w:val="false"/>
          <w:color w:val="000000"/>
          <w:sz w:val="22"/>
        </w:rPr>
        <w:t xml:space="preserve">) to amend certain terms of the Original Lease; and </w:t>
      </w:r>
    </w:p>
    <w:p>
      <w:pPr>
        <w:pStyle w:val="TextBody"/>
        <w:bidi w:val="0"/>
        <w:spacing w:lineRule="auto" w:line="288" w:before="240" w:after="283"/>
        <w:ind w:left="0" w:right="0" w:firstLine="720"/>
        <w:jc w:val="left"/>
        <w:rPr/>
      </w:pPr>
      <w:r>
        <w:rPr>
          <w:rFonts w:ascii="Times New Roman;serif" w:hAnsi="Times New Roman;serif"/>
          <w:b w:val="false"/>
          <w:color w:val="000000"/>
          <w:sz w:val="22"/>
        </w:rPr>
        <w:t>WHEREAS, the Parties entered into a Term Sheet along with New York State Urban Development Corporation d/b/a Empire State Development (“</w:t>
      </w:r>
      <w:r>
        <w:rPr>
          <w:rFonts w:ascii="Times New Roman;serif" w:hAnsi="Times New Roman;serif"/>
          <w:b w:val="false"/>
          <w:color w:val="000000"/>
          <w:sz w:val="22"/>
          <w:u w:val="single"/>
        </w:rPr>
        <w:t>ESD</w:t>
      </w:r>
      <w:r>
        <w:rPr>
          <w:color w:val="000000"/>
        </w:rPr>
        <w:t>”</w:t>
      </w:r>
      <w:r>
        <w:rPr>
          <w:rFonts w:ascii="Times New Roman;serif" w:hAnsi="Times New Roman;serif"/>
          <w:b w:val="false"/>
          <w:color w:val="000000"/>
          <w:sz w:val="22"/>
        </w:rPr>
        <w:t>) fully executed on May 27, 2025 whereby the Parties agreed to enter into this Second Amendment to Lease to amend certain terms of the Amended Lease as set forth herein (as amended by this Second Amendment to Lease, the “</w:t>
      </w:r>
      <w:r>
        <w:rPr>
          <w:rFonts w:ascii="Times New Roman;serif" w:hAnsi="Times New Roman;serif"/>
          <w:b w:val="false"/>
          <w:color w:val="000000"/>
          <w:sz w:val="22"/>
          <w:u w:val="single"/>
        </w:rPr>
        <w:t>Lease</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NOW, THEREFORE, for and in consideration of the premises and the mutual covenants hereinafter contained, and other good and valuable consideration the receipt and sufficiency of which is hereby acknowledged, the Parties hereto hereby formally covenant, agree and bind themselves as follows: </w:t>
      </w:r>
    </w:p>
    <w:p>
      <w:pPr>
        <w:pStyle w:val="TextBody"/>
        <w:bidi w:val="0"/>
        <w:spacing w:lineRule="auto" w:line="288" w:before="240" w:after="283"/>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Definitional Matters</w:t>
      </w:r>
      <w:r>
        <w:rPr>
          <w:rFonts w:ascii="Times New Roman;serif" w:hAnsi="Times New Roman;serif"/>
          <w:b w:val="false"/>
          <w:color w:val="000000"/>
          <w:sz w:val="22"/>
        </w:rPr>
        <w:t xml:space="preserve">. All capitalized terms used herein which are not otherwise defined shall have the meanings set forth in the Amended Lease. </w:t>
      </w:r>
    </w:p>
    <w:p>
      <w:pPr>
        <w:pStyle w:val="TextBody"/>
        <w:bidi w:val="0"/>
        <w:spacing w:lineRule="auto" w:line="288" w:before="240" w:after="283"/>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Amendments</w:t>
      </w:r>
      <w:r>
        <w:rPr>
          <w:rFonts w:ascii="Times New Roman;serif" w:hAnsi="Times New Roman;serif"/>
          <w:b w:val="false"/>
          <w:color w:val="000000"/>
          <w:sz w:val="22"/>
        </w:rPr>
        <w:t xml:space="preserve">. Upon the Effective Date, the Amended Lease is amended as follows: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a.The sentence contained in Section 1.1 of the Lease stating ““Base Rent” is $2.00 per year” is hereby deleted and replaced with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60655"/>
                <wp:effectExtent l="0" t="0" r="0" b="0"/>
                <wp:wrapNone/>
                <wp:docPr id="278" name="Frame2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 xml:space="preserve">Base Rent” is Five Hundred Twenty-Five Thousand and 00/100 Dollars ($525,000.00) per year.”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b.The sentence contained in Section 1.1 of the Lease stating “Base Rent shall be payable in advance before each anniversary of the Effective Date, with the first such payment due on or before the Commencement Date, to Landlord without the need for invoicing from Landlord” is hereby deleted and replaced with the following: </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 xml:space="preserve">Base Rent shall be due quarterly, in advance on or before the first day of the next successive quarter without the need for invoicing from the Landlord, provided that solely with respect to the first quarter of 2026, payment shall be made on or prior to January 12, 2026. If Tenant is late in making any payment of Base Rent due to Landlord under this Lease for more than ten (10) days following the due date, then interest shall accrue at the rate of seven percent (7%) per annum from the original due date until paid.”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c.Section 1.2 is deleted and replaced with the following:</w:t>
      </w:r>
    </w:p>
    <w:p>
      <w:pPr>
        <w:pStyle w:val="TextBody"/>
        <w:bidi w:val="0"/>
        <w:spacing w:lineRule="auto" w:line="288" w:before="120" w:after="283"/>
        <w:jc w:val="left"/>
        <w:rPr/>
      </w:pPr>
      <w:r>
        <w:rPr>
          <w:color w:val="000000"/>
        </w:rPr>
        <w:t>“</w:t>
      </w:r>
      <w:r>
        <w:rPr>
          <w:rFonts w:ascii="Times New Roman;serif" w:hAnsi="Times New Roman;serif"/>
          <w:b w:val="false"/>
          <w:color w:val="000000"/>
          <w:sz w:val="22"/>
        </w:rPr>
        <w:t>The term of this Lease (the “</w:t>
      </w:r>
      <w:r>
        <w:rPr>
          <w:rFonts w:ascii="Times New Roman;serif" w:hAnsi="Times New Roman;serif"/>
          <w:b w:val="false"/>
          <w:color w:val="000000"/>
          <w:sz w:val="22"/>
          <w:u w:val="single"/>
        </w:rPr>
        <w:t>Term</w:t>
      </w:r>
      <w:r>
        <w:rPr>
          <w:color w:val="000000"/>
        </w:rPr>
        <w:t>”</w:t>
      </w:r>
      <w:r>
        <w:rPr>
          <w:rFonts w:ascii="Times New Roman;serif" w:hAnsi="Times New Roman;serif"/>
          <w:b w:val="false"/>
          <w:color w:val="000000"/>
          <w:sz w:val="22"/>
        </w:rPr>
        <w:t>) shall commence on October 1, 2021(the “</w:t>
      </w:r>
      <w:r>
        <w:rPr>
          <w:rFonts w:ascii="Times New Roman;serif" w:hAnsi="Times New Roman;serif"/>
          <w:b w:val="false"/>
          <w:color w:val="000000"/>
          <w:sz w:val="22"/>
          <w:u w:val="single"/>
        </w:rPr>
        <w:t>Commencement Date</w:t>
      </w:r>
      <w:r>
        <w:rPr>
          <w:color w:val="000000"/>
        </w:rPr>
        <w:t>”</w:t>
      </w:r>
      <w:r>
        <w:rPr>
          <w:rFonts w:ascii="Times New Roman;serif" w:hAnsi="Times New Roman;serif"/>
          <w:b w:val="false"/>
          <w:color w:val="000000"/>
          <w:sz w:val="22"/>
        </w:rPr>
        <w:t>) and shall continue until December 31, 2028 (the “</w:t>
      </w:r>
      <w:r>
        <w:rPr>
          <w:rFonts w:ascii="Times New Roman;serif" w:hAnsi="Times New Roman;serif"/>
          <w:b w:val="false"/>
          <w:color w:val="000000"/>
          <w:sz w:val="22"/>
          <w:u w:val="single"/>
        </w:rPr>
        <w:t>Termination Date</w:t>
      </w:r>
      <w:r>
        <w:rPr>
          <w:color w:val="000000"/>
        </w:rPr>
        <w:t>”</w:t>
      </w:r>
      <w:r>
        <w:rPr>
          <w:rFonts w:ascii="Times New Roman;serif" w:hAnsi="Times New Roman;serif"/>
          <w:b w:val="false"/>
          <w:color w:val="000000"/>
          <w:sz w:val="22"/>
        </w:rPr>
        <w:t>), unless sooner terminated in accordance with the provisions of this Lease</w:t>
      </w:r>
      <w:r>
        <w:rPr>
          <w:rFonts w:ascii="Times New Roman;serif" w:hAnsi="Times New Roman;serif"/>
          <w:b w:val="false"/>
          <w:color w:val="0000FF"/>
          <w:sz w:val="22"/>
        </w:rPr>
        <w:t xml:space="preserve">, </w:t>
      </w:r>
      <w:r>
        <w:rPr>
          <w:rFonts w:ascii="Times New Roman;serif" w:hAnsi="Times New Roman;serif"/>
          <w:b w:val="false"/>
          <w:color w:val="000000"/>
          <w:sz w:val="22"/>
        </w:rPr>
        <w:t>including Section 20.1(a). Any term of the Lease as amended by the Second Amendment which requires any action or otherwise references a date which falls after the Termination Date shall be deemed to survive the Termination Date unless and until both Parties specifically terminate all aspects of the Lease, including those intended to survive the Lease, in a separate writing.”</w:t>
      </w:r>
    </w:p>
    <w:p>
      <w:pPr>
        <w:pStyle w:val="TextBody"/>
        <w:bidi w:val="0"/>
        <w:spacing w:lineRule="auto" w:line="288" w:before="24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d.Section 1.4 is deleted and replaced with the following:</w:t>
      </w:r>
    </w:p>
    <w:p>
      <w:pPr>
        <w:pStyle w:val="TextBody"/>
        <w:bidi w:val="0"/>
        <w:spacing w:lineRule="auto" w:line="288" w:before="120" w:after="283"/>
        <w:ind w:left="0" w:right="0" w:firstLine="720"/>
        <w:jc w:val="left"/>
        <w:rPr>
          <w:color w:val="000000"/>
        </w:rPr>
      </w:pPr>
      <w:r>
        <w:rPr>
          <w:color w:val="000000"/>
        </w:rPr>
        <w:t>“</w:t>
      </w:r>
      <w:r>
        <w:rPr>
          <w:rFonts w:ascii="Times New Roman;serif" w:hAnsi="Times New Roman;serif"/>
          <w:b w:val="false"/>
          <w:color w:val="000000"/>
          <w:sz w:val="22"/>
        </w:rPr>
        <w:t>1.4 [Reserved].”</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e.Section 3.3 is amended by deleting the first paragraph and replacing the same with the following:</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 xml:space="preserve">In addition to the liability, responsibility and obligations which Tenant expressly agreed to take on and bear pursuant to the Site Access Agreement, including without limitation Sections 3, 4, 5 and 6 thereof, all of which shall be deemed incorporated herein to the same extent as if restated herein in their entirety (and which shall remain Tenant’s responsibility under Section 3.2 above), Tenant shall, at its sole cost and expense, keep the foundation, the exterior walls, plate glass windows, exterior entrance doors, exterior entrance door closure devices, and other exterior openings; window and window frames, molding, locks, and hardware; signs, placards, decorations or advertising media of any type, underground utilities, roof exclusive of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60655"/>
                <wp:effectExtent l="0" t="0" r="0" b="0"/>
                <wp:wrapNone/>
                <wp:docPr id="279" name="Frame2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Roof Panel Cladding, and furnace of the Building in good order, condition and repair and make all necessary repairs and/or replacements thereto, reasonable wear and tear excepted.”</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f.Section 3.3 is amended by adding the following sentence at the end of the section:</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Notwithstanding the foregoing, Landlord acknowledges and agrees that Tenant may engage other contractors and/or subcontractors following the Effective Date of the Second Amendment to Lease for construction services relating to the Building pursuant to one or more additional agreements.”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g.Section 3.4 is amended by deleting the entire Section 3.4 and replacing it with the following:</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In the event the Premises should become in need of maintenance, repair or replacement required to be made by either party hereunder, said party will perform said maintenance, repair and replacement activities in compliance with all applicable federal, state, county and municipal laws, ordinances, codes, rules, orders, and regulations.”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h.Article 6 is amended by deleting the second sentence thereof and replacing the same with the following:</w:t>
      </w:r>
    </w:p>
    <w:p>
      <w:pPr>
        <w:pStyle w:val="TextBody"/>
        <w:bidi w:val="0"/>
        <w:spacing w:lineRule="auto" w:line="288" w:before="240" w:after="283"/>
        <w:jc w:val="left"/>
        <w:rPr/>
      </w:pPr>
      <w:r>
        <w:rPr>
          <w:color w:val="000000"/>
        </w:rPr>
        <w:t>““</w:t>
      </w:r>
      <w:r>
        <w:rPr>
          <w:rFonts w:ascii="Times New Roman;serif" w:hAnsi="Times New Roman;serif"/>
          <w:b w:val="false"/>
          <w:color w:val="000000"/>
          <w:sz w:val="22"/>
          <w:u w:val="single"/>
        </w:rPr>
        <w:t>Pre-Approved Alterations</w:t>
      </w:r>
      <w:r>
        <w:rPr>
          <w:color w:val="000000"/>
        </w:rPr>
        <w:t xml:space="preserve">” </w:t>
      </w:r>
      <w:r>
        <w:rPr>
          <w:rFonts w:ascii="Times New Roman;serif" w:hAnsi="Times New Roman;serif"/>
          <w:b w:val="false"/>
          <w:color w:val="000000"/>
          <w:sz w:val="22"/>
        </w:rPr>
        <w:t>means (i) the installation of the unattached, movable trade fixtures which may be installed without drilling, cutting or otherwise defacing the Premises, (ii) Alterations that are nonstructural and do not involve building penetrations that adversely affect the Building’s structure and (iii) such Alterations Tenant deems critical for its purposes in commencing pharmaceutical manufacturing operations and continuing such operations; provided, however, that such Alterations that deviate from pharmaceutical manufacturing operations that will affect Building systems shall not be made unless and until Landlord has the opportunity to review and consent to such proposed Alterations in advance; provided, further, if Landlord does not respond to Tenant’s notice of Alterations that deviate from pharmaceutical manufacturing operations that will affect Building systems within 10 business days following the date of such notice, then such failure to respond shall be deemed to be Landlord’s consent to such proposed Alterations. Prior to the Effective Date of the Second Amendment to Lease, Tenant shall provide Landlord with a full description of any Alterations to be completed or undertaken as of such date. Following the Effective Date of the Second Amendment to Lease, Tenant shall provide annual updates of all Alterations, which shall include anticipated timing of completion of such Alterations.”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i.Article 7 is amended by deleting the second paragraph thereof in its entirety and replacing the same with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60655"/>
                <wp:effectExtent l="0" t="0" r="0" b="0"/>
                <wp:wrapNone/>
                <wp:docPr id="280" name="Frame2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120" w:after="283"/>
        <w:jc w:val="left"/>
        <w:rPr/>
      </w:pPr>
      <w:r>
        <w:rPr>
          <w:color w:val="000000"/>
        </w:rPr>
        <w:t>“</w:t>
      </w:r>
      <w:r>
        <w:rPr>
          <w:rFonts w:ascii="Times New Roman;serif" w:hAnsi="Times New Roman;serif"/>
          <w:b w:val="false"/>
          <w:color w:val="000000"/>
          <w:sz w:val="22"/>
        </w:rPr>
        <w:t>Landlord may enter the Premises (excluding the portions of the Premises secured by Tenant for hosting sensitive equipment and operations, which Tenant shall only be able to access as set forth above) during normal business hours with not less than two (2) business days’ prior</w:t>
      </w:r>
      <w:r>
        <w:rPr>
          <w:color w:val="000000"/>
          <w:u w:val="single"/>
        </w:rPr>
        <w:t xml:space="preserve"> </w:t>
      </w:r>
      <w:r>
        <w:rPr>
          <w:rFonts w:ascii="Times New Roman;serif" w:hAnsi="Times New Roman;serif"/>
          <w:b w:val="false"/>
          <w:color w:val="000000"/>
          <w:sz w:val="22"/>
        </w:rPr>
        <w:t>written notice, except where Tenant is in default under this Lease beyond any applicable notice and cure period, in which case no notice is required.”</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j.Section 9.1 is amended by adding the following sentence at the end of the section:</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Tenant shall indemnify, hold harmless and defend Landlord and ESD harmless and shall execute any and all hold harmless agreements, releases and confessions of judgment in favor of Landlord and ESD in connection with anything resulting from the Tenant’s use of the Premises, including, without limitation, existing or resulting litigation relating to the Premises, to the terms of the Lease, to the Tenant’s capital investments (including, without limitation any construction activities) at the Premises, or to Tenant’s operations at the Premises.”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k.Section 9.8 is amended by deleting the second and third sentences thereof in their entirety.</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l.Section 11.1 is amended by deleting the fifth sentence thereof and replacing the same with the following new sentence:</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2"/>
        </w:rPr>
        <w:t>If Landlord fails to timely reimburse Tenant as aforesaid, then Tenant may offset the amount against the amount of the applicable Capital Investment Target (as defined below) for the period in which such offset occurs.”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m.Section 12.3 is amended by adding the following sentence after the second sentence thereof:</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Landlord acknowledges and permits Tenant to enter into such documents or amendments to existing documents with the County of Chautauqua Industrial Development Agency in order to implement the terms of the Second Amendment to Lease; provided, however, that Tenant will provide prompt notice to Landlord prior to entering into such documents or amendments to existing documents with the County of Chautauqua Industrial Development Agency.”</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n.Article 13 is deleted in its entirety and replaced with the following:</w:t>
      </w:r>
    </w:p>
    <w:p>
      <w:pPr>
        <w:pStyle w:val="TextBody"/>
        <w:bidi w:val="0"/>
        <w:spacing w:lineRule="auto" w:line="288" w:before="120" w:after="283"/>
        <w:jc w:val="left"/>
        <w:rPr/>
      </w:pPr>
      <w:r>
        <w:rPr>
          <w:color w:val="000000"/>
        </w:rPr>
        <w:t>“</w:t>
      </w:r>
      <w:r>
        <w:rPr>
          <w:rFonts w:ascii="Times New Roman;serif" w:hAnsi="Times New Roman;serif"/>
          <w:b/>
          <w:color w:val="000000"/>
          <w:sz w:val="22"/>
        </w:rPr>
        <w:t>ARTICLE 13</w:t>
      </w:r>
      <w:r>
        <w:rPr>
          <w:color w:val="000000"/>
        </w:rPr>
        <w:t xml:space="preserve"> </w:t>
      </w:r>
      <w:r>
        <w:rPr>
          <w:rFonts w:ascii="Times New Roman;serif" w:hAnsi="Times New Roman;serif"/>
          <w:b w:val="false"/>
          <w:color w:val="000000"/>
          <w:sz w:val="22"/>
        </w:rPr>
        <w:t>Default by Tenant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13.1 The following events shall be deemed to be events of default by Tenant under this Lease:</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Tenant shall fail to pay any Rent or make any other payment of money when due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60655"/>
                <wp:effectExtent l="0" t="0" r="0" b="0"/>
                <wp:wrapNone/>
                <wp:docPr id="281" name="Frame2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Tenant shall breach any term, provision or covenant of this Lease.</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Tenant shall become insolvent, or shall make a transfer in fraud of creditors, or shall make an assignment for the benefit of creditors.</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Tenant shall file, or have filed against it, a petition under any section or chapter of the national bankruptcy act (and it is not dismissed within ninety (90) days of the filing), as amended, or under any similar law or statute of the United States or any state thereof, or Tenant or any guarantor of Tenant’s obligations under this Lease shall be adjudged bankruptcy or insolvent in proceedings filed against Tenant or any guarantor of Tenant’s obligations under this Lease.</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A receiver or trustee shall be appointed for the Premises or for all or substantially all of the assets of Tenant.</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 Tenant vacates the Premises, fails to conduct its business in the Premises, or once manufacturing commences at the Premises, fails to manufacture pharmaceutical products at the Premises for a period of more than ninety (90) consecutive days, other than pursuant to: </w:t>
      </w:r>
    </w:p>
    <w:p>
      <w:pPr>
        <w:pStyle w:val="TextBody"/>
        <w:bidi w:val="0"/>
        <w:spacing w:lineRule="auto" w:line="288" w:before="12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(i)a Casualty Event, provided that (A) Tenant promptly takes commercially reasonable steps to remediate such Casualty Event and continues such remediation efforts in good faith until completion of the same, and (B) such Casualty Event was not caused by the negligence or intentional act of Tenant or any Tenant Party, </w:t>
      </w:r>
    </w:p>
    <w:p>
      <w:pPr>
        <w:pStyle w:val="TextBody"/>
        <w:bidi w:val="0"/>
        <w:spacing w:lineRule="auto" w:line="288" w:before="12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(ii)Force Majeure, </w:t>
      </w:r>
    </w:p>
    <w:p>
      <w:pPr>
        <w:pStyle w:val="TextBody"/>
        <w:bidi w:val="0"/>
        <w:spacing w:lineRule="auto" w:line="288" w:before="12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(iii)a partial or full suspension or cessation of manufacturing at the Premises in connection with (A) an inspection, investigation or review of the Premises or the Tenant’s pharmaceutical products manufactured at the Premises by a federal, state or local government agency, self-regulated organization or quasi-governmental authority, provided Tenant maintains its employees located at the Premises on the payroll in the ordinary course of business or (B) the Tenant’s ordinary course of business, provided Tenant maintains its employees located at the Premises on the payroll and provided that such suspension does not last more than one hundred twenty (120) days, or </w:t>
      </w:r>
    </w:p>
    <w:p>
      <w:pPr>
        <w:pStyle w:val="TextBody"/>
        <w:bidi w:val="0"/>
        <w:spacing w:lineRule="auto" w:line="288" w:before="12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(iv)other suspensions of manufacturing at the Premises which may not qualify under Sections 13.1(f)(i), (ii) or (iii), provided that (A) Tenant shall maintain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60655"/>
                <wp:effectExtent l="0" t="0" r="0" b="0"/>
                <wp:wrapNone/>
                <wp:docPr id="282" name="Frame2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substantially all of its employees located at the Premises on payroll during such period, (B) Tenant restarts manufacturing at the Premises within one hundred twenty (120) days following the expiration of the ninety (90) day period, and (C) Tenant shall only be allowed to avail itself of this Section 13.1(f)(iv) once during the Term.</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Subject to the provisions set forth in Section 13.1(f), Tenant fails to commence manufacturing operations at the Premises by December 31, 2028 and continue such manufacturing operations consecutively through December 31, 2035 if Tenant commences manufacturing in 2027 (or through December 31, 2036 if manufacturing commences after 2027) (the “Manufacturing Operations Covenant”).</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13.2 Upon the occurrence of an event of default set forth in Section 13.1, Landlord shall provide Tenant with notice of the occurrence of such event of default and shall provide Tenant with at least thirty (30) days from the date of Tenant’s receipt of such written notice of an event of default to cure such event of default; provided, that if Tenant is pursuing a remedy to cure such event of default in good faith at the expiration of such 30 day period, Tenant shall have such reasonable period following the expiration of such 30 day period as is necessary to cure such event of default. Upon the occurrence of an event of default of any of the terms set forth in Article 19, subject to the provisions set forth in Section 19.8, the Landlord shall have the right to automatically terminate the Lease, without any official advance notice required, immediately upon such default. Upon the expiration of such applicable cure period for an event of default (or, subject to the provisions set forth in Section 19.8, immediately in the event of a default under Article 19), Landlord shall have the option to pursue any and all remedies permissible at law, including the following: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Landlord may enter upon and take possession of the Premises in order to protect them from deterioration and Landlord shall have the right to recover from Tenant any other out of pocket costs or expenses, including reasonable attorneys’ fees and court costs, incurred by Landlord in connection therewith. Landlord may continue to demand from Tenant the Rent and Additional Rent, without any obligation to relet but that if Landlord, in its sole discretion, elects to relet the Premises, such action by Landlord shall not be deemed as an acceptance of Tenant’s surrender of the Premises unless Landlord expressly notifies Tenant of such acceptance in writing. Landlord, in its sole discretion, may elect for all Rent and Additional Rent reserved in this Lease from the date of such breach to the expiration date of this Lease, to become immediately due and payable to Landlord. Tenant hereby acknowledges that if Landlord relets the Premises, Landlord shall be reletting as Tenant’s agent and Tenant furthermore hereby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60655"/>
                <wp:effectExtent l="0" t="0" r="0" b="0"/>
                <wp:wrapNone/>
                <wp:docPr id="283" name="Frame2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agrees to pay to Landlord on demand any deficiency that may arise between the Rent and Additional Rent that are actually collected by Landlord. Notwithstanding the foregoing, Tenant shall not be liable for consequential or other indirect damages (including without limitation, lost profits or business interruption).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Landlord may terminate this Lease, in which event Tenant shall immediately surrender the Premises to Landlord, and if Tenant fails to do so, Landlord may, without prejudice to any other remedy which Landlord may have for possession, arrearages in or acceleration of rent, enter upon and take possession of the Premises and expel or remove Tenant or any other person who may be occupying the Premises or any part thereof, as provided by law. In addition, Landlord shall have the right to recover from Tenant any other actual, out-of-pocket costs or expenses, including reasonable attorneys’ fees and court costs, incurred by Landlord in connection with the preceding sentence. Tenant agrees to pay Landlord on demand the amount of all loss and damage that Landlord may be entitled to by law. Notwithstanding the foregoing, Tenant shall not be liable for consequential or other indirect damages (including without limitation, lost profits or business interruption).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13.3 If Landlord elects to exercise any remedy prescribed above, any such election shall in no way prejudice Landlord’s rights at any time thereafter to change said election in favor of any other remedy(ies) prescribed. Pursuit of any of the above remedies shall not preclude pursuit of any other remedies prescribed in other sections of this Lease and any other remedies provided by law. Forbearance by Landlord to enforce one or more of the remedies herein provided upon an event of default shall not be deemed or construed to constitute a waiver of such default. It is further agreed that in addition to Rent payments required under this Lease, Tenant shall compensate Landlord for any other actual, out-of-pocket costs or expenses, including reasonable attorneys’ fees and court costs, incurred by Landlord as a result of Tenant’s default. Notwithstanding the foregoing, Tenant shall not be liable for consequential or other indirect damages (including without limitation, lost profits or business interruption). </w:t>
      </w:r>
    </w:p>
    <w:p>
      <w:pPr>
        <w:pStyle w:val="TextBody"/>
        <w:bidi w:val="0"/>
        <w:spacing w:lineRule="auto" w:line="288" w:before="240" w:after="283"/>
        <w:jc w:val="left"/>
        <w:rPr/>
      </w:pPr>
      <w:r>
        <w:rPr>
          <w:rFonts w:ascii="Times New Roman;serif" w:hAnsi="Times New Roman;serif"/>
          <w:b w:val="false"/>
          <w:color w:val="000000"/>
          <w:sz w:val="22"/>
        </w:rPr>
        <w:t>13.4 If Landlord exercises its right to terminate the Lease pursuant to Section 13.2, Landlord shall provide Tenant with a one hundred twenty (120) day wind down period (the “</w:t>
      </w:r>
      <w:r>
        <w:rPr>
          <w:rFonts w:ascii="Times New Roman;serif" w:hAnsi="Times New Roman;serif"/>
          <w:b w:val="false"/>
          <w:color w:val="000000"/>
          <w:sz w:val="22"/>
          <w:u w:val="single"/>
        </w:rPr>
        <w:t>Wind Down Period</w:t>
      </w:r>
      <w:r>
        <w:rPr>
          <w:color w:val="000000"/>
        </w:rPr>
        <w:t>”</w:t>
      </w:r>
      <w:r>
        <w:rPr>
          <w:rFonts w:ascii="Times New Roman;serif" w:hAnsi="Times New Roman;serif"/>
          <w:b w:val="false"/>
          <w:color w:val="000000"/>
          <w:sz w:val="22"/>
        </w:rPr>
        <w:t xml:space="preserve">) in which to wind down operations at the Premises and to remove personal property that it is not otherwise obligated to remove from the Premises in accordance with the Lease, which Wind Down Period may be extended by the Landlord at the Landlord’s reasonable discretion. Tenant shall continue to pay all Rent and any other amounts due under this Lease during the Wind Down Period.”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60655"/>
                <wp:effectExtent l="0" t="0" r="0" b="0"/>
                <wp:wrapNone/>
                <wp:docPr id="284" name="Frame2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o.Article 15 is amended by deleting the second paragraph thereof in its entirety and replacing the same with the following: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 xml:space="preserve">Superior Interest” means any mortgage, master lease(s), ground lease(s), building loan agreements, leasehold mortgages, spreader and consolidation agreements and other similar documents and instruments, that may now or hereafter affect this Lease or the real property of which the Premises form a part and to all renewals, modifications, consolidations, replacements, extensions, assignments, spreaders, and refinancings thereof and to all advances made or hereafter made thereunder. Each Superior Interest whose holder has entered into and SNDA shall be a permitted encumbrance.”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p.Article 17 is amended by deleting the clause “or Renewal Term” in the second sentence thereof.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q.New Section 18.20 set forth below is incorporated into the Lease: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 xml:space="preserve">18.20 If Tenant complies with the reporting requirements set forth in Section 19.9, then the first sentence of Section 18.19 will not be applicable.”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r.New Article 19 set forth below is incorporated into the Lease: </w:t>
      </w:r>
    </w:p>
    <w:p>
      <w:pPr>
        <w:pStyle w:val="TextBody"/>
        <w:bidi w:val="0"/>
        <w:spacing w:lineRule="auto" w:line="288" w:before="240" w:after="283"/>
        <w:jc w:val="left"/>
        <w:rPr/>
      </w:pPr>
      <w:r>
        <w:rPr>
          <w:color w:val="000000"/>
        </w:rPr>
        <w:t>“</w:t>
      </w:r>
      <w:r>
        <w:rPr>
          <w:rFonts w:ascii="Times New Roman;serif" w:hAnsi="Times New Roman;serif"/>
          <w:b/>
          <w:color w:val="000000"/>
          <w:sz w:val="22"/>
        </w:rPr>
        <w:t>Article 19 Headcount, Investment &amp; Operating Budget Targets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2"/>
        </w:rPr>
        <w:t>19.1 Tenant shall meet the following targets relating to the amount of permanent, full-time employees employed by Tenant and/or its Affiliates by the corresponding date noted below (the “</w:t>
      </w:r>
      <w:r>
        <w:rPr>
          <w:rFonts w:ascii="Times New Roman;serif" w:hAnsi="Times New Roman;serif"/>
          <w:b w:val="false"/>
          <w:color w:val="000000"/>
          <w:sz w:val="22"/>
          <w:u w:val="single"/>
        </w:rPr>
        <w:t>Headcount Targets</w:t>
      </w:r>
      <w:r>
        <w:rPr>
          <w:color w:val="000000"/>
        </w:rPr>
        <w:t>”</w:t>
      </w:r>
      <w:r>
        <w:rPr>
          <w:rFonts w:ascii="Times New Roman;serif" w:hAnsi="Times New Roman;serif"/>
          <w:b w:val="false"/>
          <w:color w:val="000000"/>
          <w:sz w:val="22"/>
        </w:rPr>
        <w:t xml:space="preserve">): </w:t>
      </w:r>
    </w:p>
    <w:tbl>
      <w:tblPr>
        <w:tblW w:w="4289" w:type="dxa"/>
        <w:jc w:val="left"/>
        <w:tblInd w:w="0" w:type="dxa"/>
        <w:tblLayout w:type="fixed"/>
        <w:tblCellMar>
          <w:top w:w="28" w:type="dxa"/>
          <w:left w:w="28" w:type="dxa"/>
          <w:bottom w:w="28" w:type="dxa"/>
          <w:right w:w="28" w:type="dxa"/>
        </w:tblCellMar>
      </w:tblPr>
      <w:tblGrid>
        <w:gridCol w:w="825"/>
        <w:gridCol w:w="726"/>
        <w:gridCol w:w="728"/>
        <w:gridCol w:w="586"/>
        <w:gridCol w:w="586"/>
        <w:gridCol w:w="838"/>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Employees</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9</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2025</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25</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45</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r>
      <w:tr>
        <w:trPr/>
        <w:tc>
          <w:tcPr>
            <w:tcW w:w="2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100</w:t>
            </w:r>
          </w:p>
        </w:tc>
        <w:tc>
          <w:tcPr>
            <w:tcW w:w="20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2028</w:t>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19.2 Tenant shall meet the following cumulative targets relating to capital investments made by Tenant and/or its Affiliates to maintain, repair and prepare the Building for pharmaceutical manufacturing by the corresponding date noted below (the “Capital Investment Targets”): </w:t>
      </w:r>
    </w:p>
    <w:tbl>
      <w:tblPr>
        <w:tblW w:w="5085" w:type="dxa"/>
        <w:jc w:val="left"/>
        <w:tblInd w:w="0" w:type="dxa"/>
        <w:tblLayout w:type="fixed"/>
        <w:tblCellMar>
          <w:top w:w="28" w:type="dxa"/>
          <w:left w:w="28" w:type="dxa"/>
          <w:bottom w:w="28" w:type="dxa"/>
          <w:right w:w="28" w:type="dxa"/>
        </w:tblCellMar>
      </w:tblPr>
      <w:tblGrid>
        <w:gridCol w:w="1114"/>
        <w:gridCol w:w="978"/>
        <w:gridCol w:w="983"/>
        <w:gridCol w:w="586"/>
        <w:gridCol w:w="586"/>
        <w:gridCol w:w="838"/>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Amount of Capital Investment</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w:t>
            </w:r>
          </w:p>
        </w:tc>
      </w:tr>
      <w:tr>
        <w:trPr/>
        <w:tc>
          <w:tcPr>
            <w:tcW w:w="3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$7,000,000</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r>
      <w:tr>
        <w:trPr/>
        <w:tc>
          <w:tcPr>
            <w:tcW w:w="3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$25,000,000</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r>
      <w:tr>
        <w:trPr/>
        <w:tc>
          <w:tcPr>
            <w:tcW w:w="30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$40,000,000</w:t>
            </w:r>
          </w:p>
        </w:tc>
        <w:tc>
          <w:tcPr>
            <w:tcW w:w="20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2028</w:t>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19.3 Tenant shall meet the following targets relating to the Tenant’s and/or its Affiliates’ annual operating budget spent at the Premises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60655"/>
                <wp:effectExtent l="0" t="0" r="0" b="0"/>
                <wp:wrapNone/>
                <wp:docPr id="285" name="Frame2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2"/>
        </w:rPr>
        <w:t>corresponding periods noted below, which shall include the amount of the Rent paid by Tenant during such period (the “</w:t>
      </w:r>
      <w:r>
        <w:rPr>
          <w:rFonts w:ascii="Times New Roman;serif" w:hAnsi="Times New Roman;serif"/>
          <w:b w:val="false"/>
          <w:color w:val="000000"/>
          <w:sz w:val="22"/>
          <w:u w:val="single"/>
        </w:rPr>
        <w:t>Operating Budget Targets</w:t>
      </w:r>
      <w:r>
        <w:rPr>
          <w:color w:val="000000"/>
        </w:rPr>
        <w:t xml:space="preserve">” </w:t>
      </w:r>
      <w:r>
        <w:rPr>
          <w:rFonts w:ascii="Times New Roman;serif" w:hAnsi="Times New Roman;serif"/>
          <w:b w:val="false"/>
          <w:color w:val="000000"/>
          <w:sz w:val="22"/>
        </w:rPr>
        <w:t>and, together with the Headcount Targets and Capital Investment Targets, the “</w:t>
      </w:r>
      <w:r>
        <w:rPr>
          <w:rFonts w:ascii="Times New Roman;serif" w:hAnsi="Times New Roman;serif"/>
          <w:b w:val="false"/>
          <w:color w:val="000000"/>
          <w:sz w:val="22"/>
          <w:u w:val="single"/>
        </w:rPr>
        <w:t>Lease Term Targets</w:t>
      </w:r>
      <w:r>
        <w:rPr>
          <w:color w:val="000000"/>
        </w:rPr>
        <w:t>”</w:t>
      </w:r>
      <w:r>
        <w:rPr>
          <w:rFonts w:ascii="Times New Roman;serif" w:hAnsi="Times New Roman;serif"/>
          <w:b w:val="false"/>
          <w:color w:val="000000"/>
          <w:sz w:val="22"/>
        </w:rPr>
        <w:t xml:space="preserve">): </w:t>
      </w:r>
    </w:p>
    <w:tbl>
      <w:tblPr>
        <w:tblW w:w="8610" w:type="dxa"/>
        <w:jc w:val="left"/>
        <w:tblInd w:w="0" w:type="dxa"/>
        <w:tblLayout w:type="fixed"/>
        <w:tblCellMar>
          <w:top w:w="28" w:type="dxa"/>
          <w:left w:w="28" w:type="dxa"/>
          <w:bottom w:w="28" w:type="dxa"/>
          <w:right w:w="28" w:type="dxa"/>
        </w:tblCellMar>
      </w:tblPr>
      <w:tblGrid>
        <w:gridCol w:w="1310"/>
        <w:gridCol w:w="1149"/>
        <w:gridCol w:w="1156"/>
        <w:gridCol w:w="1461"/>
        <w:gridCol w:w="1461"/>
        <w:gridCol w:w="2073"/>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Amount of Operating Budget Spend</w:t>
            </w:r>
          </w:p>
        </w:tc>
        <w:tc>
          <w:tcPr>
            <w:tcW w:w="49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Period</w:t>
            </w:r>
          </w:p>
        </w:tc>
      </w:tr>
      <w:tr>
        <w:trPr/>
        <w:tc>
          <w:tcPr>
            <w:tcW w:w="36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$4,200,000</w:t>
            </w:r>
          </w:p>
        </w:tc>
        <w:tc>
          <w:tcPr>
            <w:tcW w:w="49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From January 1, 2025 through December 31, 2025</w:t>
            </w:r>
          </w:p>
        </w:tc>
      </w:tr>
      <w:tr>
        <w:trPr/>
        <w:tc>
          <w:tcPr>
            <w:tcW w:w="36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$5,000,000</w:t>
            </w:r>
          </w:p>
        </w:tc>
        <w:tc>
          <w:tcPr>
            <w:tcW w:w="49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From January 1, 2026 through December 31, 2026</w:t>
            </w:r>
          </w:p>
        </w:tc>
      </w:tr>
      <w:tr>
        <w:trPr/>
        <w:tc>
          <w:tcPr>
            <w:tcW w:w="36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$5,000,000</w:t>
            </w:r>
          </w:p>
        </w:tc>
        <w:tc>
          <w:tcPr>
            <w:tcW w:w="49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From January 1, 2027 through December 31, 2027</w:t>
            </w:r>
          </w:p>
        </w:tc>
      </w:tr>
      <w:tr>
        <w:trPr/>
        <w:tc>
          <w:tcPr>
            <w:tcW w:w="36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$5,000,000</w:t>
            </w:r>
          </w:p>
        </w:tc>
        <w:tc>
          <w:tcPr>
            <w:tcW w:w="49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From: January 1, 2028 through December 31, 2028</w:t>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19.4 Notwithstanding dates listed for the Capital Investment Targets described in Section 19.2 above, in the event that Tenant cannot meet the Capital Investment Targets by such deadlines listed above after Tenant has made good faith efforts to do so, Landlord agrees to work with Tenant in good faith to adjust such deadlines to conform to the Tenant’s and/or its Affiliates’ actual expenditure at such time.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19.5 If in any applicable measurement period Tenant and/or its Affiliates achieves less than 90% of the applicable Operating Budget Target or Capital Investment Target by the deadline described in Section 19.2 or Section 19.3, as applicable, or such other deadline agreed to by Tenant and Landlord pursuant to Section 19.4, then Tenant shall pay a penalty to Landlord in the amount of 50% of the difference between the amount that is 90% of the applicable Operating Budget Target or Capital Investment Target and the amount actually achieved. </w:t>
      </w:r>
    </w:p>
    <w:p>
      <w:pPr>
        <w:pStyle w:val="TextBody"/>
        <w:bidi w:val="0"/>
        <w:spacing w:lineRule="auto" w:line="288" w:before="240" w:after="283"/>
        <w:jc w:val="left"/>
        <w:rPr/>
      </w:pPr>
      <w:r>
        <w:rPr>
          <w:rFonts w:ascii="Times New Roman;serif" w:hAnsi="Times New Roman;serif"/>
          <w:b w:val="false"/>
          <w:color w:val="000000"/>
          <w:sz w:val="22"/>
        </w:rPr>
        <w:t xml:space="preserve">19.6 If in any applicable measurement period Tenant and/or its Affiliates achieves at least 90%, but less than 100%, of the applicable Operating Budget Target or Capital Investment Target by the deadline described in Section 19.2 or Section 19.3, as applicable, or such other deadline agreed to by Tenant and Landlord pursuant to Section 19.4, then Tenant shall pay a penalty to Landlord in the amount of 25% of the difference between the amount actually achieved and the applicable Operating Budget Target or Capital Investment Target;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in such event, if Tenant provides Landlord with a documented plan to achieve 100% of such Operating Budget Target or Capital Investment Target in the following year, then Landlord, in its sole and absolute discretion, may waive the 25% penalty described above.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60655"/>
                <wp:effectExtent l="0" t="0" r="0" b="0"/>
                <wp:wrapNone/>
                <wp:docPr id="286" name="Frame2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19.7 If Tenant and/or its Affiliates achieves less than 100% of its Capital Investment Target or Operating Budget Target by the deadline described in Section 19.2 or Section 19.3, as applicable, or such other deadline agreed to by Tenant and Landlord pursuant to Section 19.4, but Tenant exceeded its Capital Investment Target or Operating Budget Target, as applicable, in the prior year, Landlord shall consider such excess in good faith as a factor in Landlord’s determination as to whether to impose or waive such penalty described in Section 19.5 or Section 19.6, as applicable.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19.8 If Tenant and/or its Affiliates fails to meet any of the Headcount Targets, Operating Budget Targets or Capital Investment Targets by the applicable deadline, such failure shall be deemed an event of default by Tenant and Landlord shall have the right to terminate the Lease in compliance with Section 13.2; provided, however, such failures noted above shall not be deemed an event of default and Landlord shall not have the right to terminate the Lease for Tenant’s failure to meet any of the Headcount Targets, Operating Budget Targets or Capital Investment Targets by the applicable deadline if (a) Tenant has met at least 90% of each of the Headcount Target, Operating Budget Target and Capital Investment Target for such applicable year, (b) Tenant is making progress toward commencing manufacturing (if such shortfall occurs on or prior to December 31, 2028) or actually commenced manufacturing (if shortfall is after December 31, 2028), (c) no other event of default exists, and (d) Tenant pays all applicable penalties within thirty (30) days following the date such penalty is due.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19.9 Subject to the Agreement to Protect Proprietary or Commercially Sensitive Information or Trade Secrets by and between Tenant and the New York State Urban Development Corporation d/b/a Empire State Development (“ESD”), dated as of July 9, 2025 (the “Confidentiality Agreement”), and the Joinder Agreement by and among NYCREATES, Landlord and Tenant, dated July 9, 2025, whereby NYCREATES and Landlord became parties and subject to the Confidentiality Agreement, Tenant covenants to provide Landlord and ESD with the following on an annual basis: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(a)proof of timely payment for each stage of work completed in connection with the capital investments made by Tenant at the Premises throughout the Term;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(b)Tenant shall deliver reports to Landlord relating to the status of the work being performed in connection with the capital investments made by Tenant at the Premises;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60655"/>
                <wp:effectExtent l="0" t="0" r="0" b="0"/>
                <wp:wrapNone/>
                <wp:docPr id="287" name="Frame2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(c)Tenant shall deliver reports to Landlord regarding the Lease Term Targets or Post-Purchase Headcount Targets (as defined below), as applicable, at the Premises; and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(d)Such other information as is reasonably requested by Landlord and/or ESD that is necessary to evidence compliance with the terms of the Lease.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19.10 Tenant and/or its Affiliates shall make all payments in connection with the capital investments in a timely manner and in good faith to prevent the imposition of any mechanics liens on the Premises, except for such payments and/or liens being disputed in good faith, and shall indemnify and hold harmless the Landlord and ESD for Tenant’s use of the Premises and for any liens or any actions related to or arising from the capital investments made at the Premises.”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s.New Article 20 set forth below is incorporated into the Lease: </w:t>
      </w:r>
    </w:p>
    <w:p>
      <w:pPr>
        <w:pStyle w:val="TextBody"/>
        <w:bidi w:val="0"/>
        <w:spacing w:lineRule="auto" w:line="288" w:before="240" w:after="283"/>
        <w:jc w:val="left"/>
        <w:rPr/>
      </w:pPr>
      <w:r>
        <w:rPr>
          <w:color w:val="000000"/>
        </w:rPr>
        <w:t>“</w:t>
      </w:r>
      <w:r>
        <w:rPr>
          <w:rFonts w:ascii="Times New Roman;serif" w:hAnsi="Times New Roman;serif"/>
          <w:b/>
          <w:color w:val="000000"/>
          <w:sz w:val="22"/>
        </w:rPr>
        <w:t>Article 20 Purchase Option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20.1 Purchase Option.</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(a)Tenant shall have the option to purchase the Premises and the Manufacturing Equipment (the “Purchase Option”), as encumbered by liens, mortgages and other encumbrances of record, incurred or caused by Tenant, including mechanics’ liens as a result of work that Tenant has approved, or encumbrances consented to by Tenant (“Encumbrance”), if any, including the covenants as expressly described in this Section 20.1(a), on either (I) January 1, 2028 or (II) January 1, 2029 (the “Purchase Option Exercise Date”) for the price of One and 00/100 U.S. Dollar ($1.00), pursuant to a Bargain and Sale Deed with covenants, provided that there is no event of default under the Lease for which notice has been provided to Tenant and that has not been cured by Tenant within the applicable cure period as provided in this Lease or Anticipatory Breach (as defined below) at such time. Notwithstanding any other provision of this Lease, under no circumstances may Tenant exercise the Purchase Option unless Tenant has commenced manufacturing at the Premises. Likewise, if there is an excusable reason that Tenant has not commenced manufacturing by January 1, 2029 due to a Force Majeure event or otherwise, the Purchase Option may only be exercisable by the Tenant if (I) Landlord has agreed, in its reasonable discretion, to extend the Purchase Option Exercise Date, and (II) manufacturing at the Premises has commenced by said extended date. In the event there is any dispute between the Landlord and Tenant regarding the immediately preceding sentence, such dispute shall be resolved pursuant to the terms of Section 20.1(b). If Tenant timely exercises the Purchase Option, Landlord shall execute a customary title affidavit and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60655"/>
                <wp:effectExtent l="0" t="0" r="0" b="0"/>
                <wp:wrapNone/>
                <wp:docPr id="288" name="Frame2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documents or instruments as may be required by Tenant’s title insurer. If the Tenant exercises the Purchase Option, the following covenants and restrictions shall run with the land and be included in the Conveyance Deed (as defined below) (the “Purchase Option Restrictive Covenants”): </w:t>
      </w:r>
    </w:p>
    <w:p>
      <w:pPr>
        <w:pStyle w:val="TextBody"/>
        <w:bidi w:val="0"/>
        <w:spacing w:lineRule="auto" w:line="288" w:before="240" w:after="283"/>
        <w:ind w:left="0" w:right="0" w:firstLine="1440"/>
        <w:jc w:val="left"/>
        <w:rPr/>
      </w:pPr>
      <w:r>
        <w:rPr>
          <w:rFonts w:ascii="Times New Roman;serif" w:hAnsi="Times New Roman;serif"/>
          <w:b w:val="false"/>
          <w:color w:val="000000"/>
          <w:sz w:val="22"/>
        </w:rPr>
        <w:t>(i)Other than pursuant to a Permitted Transfer (as defined below), Tenant shall be prohibited from conveying the Premises for a five (5) year period following the Purchase Option Exercise Date without obtaining the prior written consent of Landlord and ESD (the “</w:t>
      </w:r>
      <w:r>
        <w:rPr>
          <w:rFonts w:ascii="Times New Roman;serif" w:hAnsi="Times New Roman;serif"/>
          <w:b w:val="false"/>
          <w:color w:val="000000"/>
          <w:sz w:val="22"/>
          <w:u w:val="single"/>
        </w:rPr>
        <w:t>Reconveyance Restriction</w:t>
      </w:r>
      <w:r>
        <w:rPr>
          <w:color w:val="000000"/>
        </w:rPr>
        <w:t>”</w:t>
      </w:r>
      <w:r>
        <w:rPr>
          <w:rFonts w:ascii="Times New Roman;serif" w:hAnsi="Times New Roman;serif"/>
          <w:b w:val="false"/>
          <w:color w:val="000000"/>
          <w:sz w:val="22"/>
        </w:rPr>
        <w:t>), which consent shall be provided at their sole and absolute discretion. Tenant and Landlord acknowledge and agree that the deed issued to the Tenant upon the purchase of the Premises and Manufacturing Equipment by Tenant (the “</w:t>
      </w:r>
      <w:r>
        <w:rPr>
          <w:rFonts w:ascii="Times New Roman;serif" w:hAnsi="Times New Roman;serif"/>
          <w:b w:val="false"/>
          <w:color w:val="000000"/>
          <w:sz w:val="22"/>
          <w:u w:val="single"/>
        </w:rPr>
        <w:t>Conveyance Deed</w:t>
      </w:r>
      <w:r>
        <w:rPr>
          <w:color w:val="000000"/>
        </w:rPr>
        <w:t>”</w:t>
      </w:r>
      <w:r>
        <w:rPr>
          <w:rFonts w:ascii="Times New Roman;serif" w:hAnsi="Times New Roman;serif"/>
          <w:b w:val="false"/>
          <w:color w:val="000000"/>
          <w:sz w:val="22"/>
        </w:rPr>
        <w:t>) shall include the Reconveyance Restriction and a Right of Reverter (as defined below) that shall provide Landlord the right to cause the title to the Premises to automatically revert back to Landlord. For purposes of Article 20, a “</w:t>
      </w:r>
      <w:r>
        <w:rPr>
          <w:rFonts w:ascii="Times New Roman;serif" w:hAnsi="Times New Roman;serif"/>
          <w:b w:val="false"/>
          <w:color w:val="000000"/>
          <w:sz w:val="22"/>
          <w:u w:val="single"/>
        </w:rPr>
        <w:t>Right of Reverter</w:t>
      </w:r>
      <w:r>
        <w:rPr>
          <w:color w:val="000000"/>
        </w:rPr>
        <w:t xml:space="preserve">” </w:t>
      </w:r>
      <w:r>
        <w:rPr>
          <w:rFonts w:ascii="Times New Roman;serif" w:hAnsi="Times New Roman;serif"/>
          <w:b w:val="false"/>
          <w:color w:val="000000"/>
          <w:sz w:val="22"/>
        </w:rPr>
        <w:t>shall mean that Tenant or any grantee of Tenant violates or presents an Anticipatory Breach of (a) Section 13.1(f), which shall be incorporated into the Conveyance Deed by reference and shall survive the termination of the Lease and the Manufacturing Operations Covenant, other than as a result of an event described in Section 13.1(f), during the five (5) year period immediately following the Purchase Option Exercise Date and/or (b) the Reconveyance Restriction. If Tenant or any grantee of Tenant violates the Reconveyance Restriction, Landlord shall have the right to automatically exercise its Right of Reverter and Tenant hereby agrees to pay a penalty to Landlord within 10 days following Landlord’s request in the amount equal to seventy percent (70%) of the sales price upon the closing of the transfer of the Premises. A “Permitted Transfer” means any of the following: (i) a sale of all or substantially all the assets of Tenant to an entity that following such transaction is valued equal to or greater than Tenant prior to such transaction; (ii) a sale of Tenant’s stock or other similar transaction whereby a person or entity obtains ownership of 50% or greater of Tenant’s equity (excluding any beneficial owner of 50% or more of Tenant’s outstanding stock as of the Effective Date of the Second Amendment to Lease or its affiliates); provided that such person or entity following such transaction is valued equal to or greater than Tenant prior to such transaction; or (iii) a merger or consolidation whereby Tenant is not the surviving entity; provided that such surviving entity following such transaction is valued equal to or greater than Tenant prior to such transaction. A Permitted Transfer shall not be effective unless the successor to the Tenant agrees in writing to be bound by the terms and conditions of the Conveyance Deed upon such transfer.</w:t>
      </w:r>
    </w:p>
    <w:p>
      <w:pPr>
        <w:pStyle w:val="TextBody"/>
        <w:bidi w:val="0"/>
        <w:spacing w:lineRule="auto" w:line="288" w:before="24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(ii)Tenant and/or its Affiliates shall meet the following targets relating to the amount of permanent, full-time employees employed by Tenant and/or its Affiliates and of third-parties with whom Tenant has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60655"/>
                <wp:effectExtent l="0" t="0" r="0" b="0"/>
                <wp:wrapNone/>
                <wp:docPr id="289" name="Frame2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contracted to perform work or services at the Premises by the corresponding date noted below (the “Post-Purchase Headcount Targets”): </w:t>
      </w:r>
    </w:p>
    <w:tbl>
      <w:tblPr>
        <w:tblW w:w="8369" w:type="dxa"/>
        <w:jc w:val="left"/>
        <w:tblInd w:w="0" w:type="dxa"/>
        <w:tblLayout w:type="fixed"/>
        <w:tblCellMar>
          <w:top w:w="28" w:type="dxa"/>
          <w:left w:w="28" w:type="dxa"/>
          <w:bottom w:w="28" w:type="dxa"/>
          <w:right w:w="28" w:type="dxa"/>
        </w:tblCellMar>
      </w:tblPr>
      <w:tblGrid>
        <w:gridCol w:w="825"/>
        <w:gridCol w:w="726"/>
        <w:gridCol w:w="728"/>
        <w:gridCol w:w="1774"/>
        <w:gridCol w:w="1774"/>
        <w:gridCol w:w="2542"/>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Employees</w:t>
            </w:r>
          </w:p>
        </w:tc>
        <w:tc>
          <w:tcPr>
            <w:tcW w:w="6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150</w:t>
            </w:r>
          </w:p>
        </w:tc>
        <w:tc>
          <w:tcPr>
            <w:tcW w:w="6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12/31/2029</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350</w:t>
            </w:r>
          </w:p>
        </w:tc>
        <w:tc>
          <w:tcPr>
            <w:tcW w:w="6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12/31/2030</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400</w:t>
            </w:r>
          </w:p>
        </w:tc>
        <w:tc>
          <w:tcPr>
            <w:tcW w:w="6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12/31/2031</w:t>
            </w:r>
          </w:p>
        </w:tc>
      </w:tr>
      <w:tr>
        <w:trPr/>
        <w:tc>
          <w:tcPr>
            <w:tcW w:w="2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 of 450</w:t>
            </w:r>
          </w:p>
        </w:tc>
        <w:tc>
          <w:tcPr>
            <w:tcW w:w="60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2032 and through December 31, 2023, inclusive</w:t>
            </w:r>
          </w:p>
        </w:tc>
      </w:tr>
    </w:tbl>
    <w:p>
      <w:pPr>
        <w:pStyle w:val="TextBody"/>
        <w:bidi w:val="0"/>
        <w:spacing w:lineRule="auto" w:line="288" w:before="24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If on the applicable measurement date Tenant and/or its Affiliates fails to meet at least 90% of the applicable Post-Purchase Headcount Target as described above, Tenant shall pay Landlord a penalty of Ten Thousand and 00/100 U.S. Dollars ($10,000.00) per each employee below the applicable Post-Purchase Headcount Target. </w:t>
      </w:r>
    </w:p>
    <w:p>
      <w:pPr>
        <w:pStyle w:val="TextBody"/>
        <w:bidi w:val="0"/>
        <w:spacing w:lineRule="auto" w:line="288" w:before="24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Tenant hereby agrees that in the event it conveys the Premises pursuant to Section 20.1(a)(i), either with prior written approval from Landlord and ESD within the five (5) year period following the Purchase Option Exercise Date or after the five (5) year period following the Purchase Option Exercise Date, it shall condition such conveyance on the acquiror’s agreement to comply with the Post-Purchase Headcount Targets and be responsible for the payment of any penalties for the failure to meet such targets. </w:t>
      </w:r>
    </w:p>
    <w:p>
      <w:pPr>
        <w:pStyle w:val="TextBody"/>
        <w:bidi w:val="0"/>
        <w:spacing w:lineRule="auto" w:line="288" w:before="24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(iii)For purposes of this Article 20, Anticipatory Breach shall mean an indication from Tenant that it will not perform under this Lease or under any terms of the Conveyance Deed before the Tenant’s performance is due, and good faith performance or excusable non-performance cannot be proven to the satisfaction of Landlord and ESD in their sole and absolute discretion.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Any dispute relating to Section 20.1(a) of this Lease shall be determined under the Expedited Procedures provisions of the Commercial Arbitration Rules of the American Arbitration Association (presently rules E-1 through E-10); provided, however, that with respect to any such arbitration, (i) the list of arbitrators referred to in Rule E-4 shall be returned within five (5) business days from the date of mailing, (ii) the parties shall notify the American Arbitration Association, by telephone, within four (4) days of any objections to the arbitrator appointed and will have no right to object if the arbitrator so appointed was on the list submitted by the American Arbitration Association and was not objected to in accordance with the second sentence of Rule E-4, (iii) the Notice of Hearing referred to in Rule E-7 shall be four (4) days in advance of the hearing, and (iv) the hearing shall be held within ten (10) days after the appointment of the arbitrator. Each party shall pay its fees and expenses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60655"/>
                <wp:effectExtent l="0" t="0" r="0" b="0"/>
                <wp:wrapNone/>
                <wp:docPr id="290" name="Frame2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such arbitration, and the fees and expenses of the arbitrator(s) shall be borne by the parties equally.” </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t.A new Exhibit B in the form attached hereto as Appendix A is added to the Lease as Exhibit B.</w:t>
      </w:r>
    </w:p>
    <w:p>
      <w:pPr>
        <w:pStyle w:val="TextBody"/>
        <w:bidi w:val="0"/>
        <w:spacing w:lineRule="auto" w:line="288" w:before="240" w:after="283"/>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This Second Amendment to Lease may be executed in several counterparts, each of which shall be an original and all of which shall constitute but one and the same instrument. Any signed copy of this Second Amendment to Lease made by reliable means (e.g., photocopy, facsimile, or PDF Adobe Acrobat) shall be considered an original. This Second Amendment to Lease shall be governed, construed and enforced in accordance with the laws of the State of New York. This Second Amendment to Lease may not be assigned without the prior written consent of all of the Parties hereto. The Original Lease, the First Amendment to Lease and the Second Amendment to Lease and the attachments thereto and hereto constitutes the sole and entire agreement of the Parties with respect to the subject matter therein and herein, and supersedes all prior and contemporaneous understandings, agreements, representations, and warranties, both written and oral, with respect to such subject matter. In the event of any conflict or inconsistency between the terms and conditions of this Second Amendment to Lease and Original Lease or First Amendment to Lease, the terms and conditions of this Second Amendment to Lease shall control. </w:t>
      </w:r>
    </w:p>
    <w:p>
      <w:pPr>
        <w:pStyle w:val="TextBody"/>
        <w:bidi w:val="0"/>
        <w:spacing w:lineRule="auto" w:line="288" w:before="36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 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60655"/>
                <wp:effectExtent l="0" t="0" r="0" b="0"/>
                <wp:wrapNone/>
                <wp:docPr id="291" name="Frame2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Landlord and Tenant have caused this Second Amendment to Lease to be executed in their respective names by their authorized representatives as of the Effective Date.</w:t>
      </w:r>
    </w:p>
    <w:p>
      <w:pPr>
        <w:pStyle w:val="TextBody"/>
        <w:bidi w:val="0"/>
        <w:spacing w:lineRule="auto" w:line="288" w:before="420" w:after="283"/>
        <w:jc w:val="left"/>
        <w:rPr>
          <w:rFonts w:ascii="Times New Roman;serif" w:hAnsi="Times New Roman;serif"/>
          <w:b/>
          <w:color w:val="000000"/>
          <w:sz w:val="22"/>
        </w:rPr>
      </w:pPr>
      <w:r>
        <w:rPr>
          <w:rFonts w:ascii="Times New Roman;serif" w:hAnsi="Times New Roman;serif"/>
          <w:b/>
          <w:color w:val="000000"/>
          <w:sz w:val="22"/>
        </w:rPr>
        <w:t>LANDLORD:</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FORT SCHUYLER MANAGEMENT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CORPORATION </w:t>
      </w:r>
    </w:p>
    <w:p>
      <w:pPr>
        <w:pStyle w:val="TextBody"/>
        <w:bidi w:val="0"/>
        <w:spacing w:lineRule="auto" w:line="288" w:before="360" w:after="283"/>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C. Kelly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Name: Paul C. Kelly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Title: Chief Operating Officer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Date: 12/29/2025</w:t>
      </w:r>
    </w:p>
    <w:p>
      <w:pPr>
        <w:pStyle w:val="TextBody"/>
        <w:bidi w:val="0"/>
        <w:spacing w:lineRule="auto" w:line="288" w:before="420" w:after="283"/>
        <w:jc w:val="left"/>
        <w:rPr>
          <w:rFonts w:ascii="Times New Roman;serif" w:hAnsi="Times New Roman;serif"/>
          <w:b/>
          <w:color w:val="000000"/>
          <w:sz w:val="22"/>
        </w:rPr>
      </w:pPr>
      <w:r>
        <w:rPr>
          <w:rFonts w:ascii="Times New Roman;serif" w:hAnsi="Times New Roman;serif"/>
          <w:b/>
          <w:color w:val="000000"/>
          <w:sz w:val="22"/>
        </w:rPr>
        <w:t>TENANT:</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IMMUNITYBIO, INC. </w:t>
      </w:r>
    </w:p>
    <w:p>
      <w:pPr>
        <w:pStyle w:val="TextBody"/>
        <w:bidi w:val="0"/>
        <w:spacing w:lineRule="auto" w:line="288" w:before="360" w:after="283"/>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David Sachs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Name: David Sachs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Date: 12/24/2025</w:t>
      </w:r>
    </w:p>
    <w:p>
      <w:pPr>
        <w:pStyle w:val="TextBody"/>
        <w:bidi w:val="0"/>
        <w:spacing w:lineRule="auto" w:line="288" w:before="720" w:after="283"/>
        <w:jc w:val="left"/>
        <w:rPr>
          <w:rFonts w:ascii="Times New Roman;serif" w:hAnsi="Times New Roman;serif"/>
          <w:b/>
          <w:color w:val="000000"/>
          <w:sz w:val="22"/>
        </w:rPr>
      </w:pPr>
      <w:r>
        <w:rPr>
          <w:rFonts w:ascii="Times New Roman;serif" w:hAnsi="Times New Roman;serif"/>
          <w:b/>
          <w:color w:val="000000"/>
          <w:sz w:val="22"/>
        </w:rPr>
        <w:t>Acknowledged and Agreed:</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NEW YORK STATE URBAN DEVELOPMENT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CORPORATION D/B/A EMPIRE STATE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DEVELOPMENT</w:t>
      </w:r>
    </w:p>
    <w:p>
      <w:pPr>
        <w:pStyle w:val="TextBody"/>
        <w:bidi w:val="0"/>
        <w:spacing w:lineRule="auto" w:line="288" w:before="36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Kevin Younis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Name: Kevin Younis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Title: COO &amp; Executive Deputy Commissioner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Date: 12/30/2025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To</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Second Amendment to Lease</w:t>
      </w:r>
    </w:p>
    <w:p>
      <w:pPr>
        <w:pStyle w:val="TextBody"/>
        <w:bidi w:val="0"/>
        <w:spacing w:lineRule="auto" w:line="288" w:before="4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B</w:t>
      </w:r>
    </w:p>
    <w:p>
      <w:pPr>
        <w:pStyle w:val="TextBody"/>
        <w:bidi w:val="0"/>
        <w:spacing w:lineRule="auto" w:line="288" w:before="120" w:after="240"/>
        <w:jc w:val="center"/>
        <w:rPr>
          <w:rFonts w:ascii="Times New Roman;serif" w:hAnsi="Times New Roman;serif"/>
          <w:b w:val="false"/>
          <w:color w:val="000000"/>
          <w:sz w:val="22"/>
        </w:rPr>
      </w:pPr>
      <w:r>
        <w:rPr>
          <w:rFonts w:ascii="Times New Roman;serif" w:hAnsi="Times New Roman;serif"/>
          <w:b w:val="false"/>
          <w:color w:val="000000"/>
          <w:sz w:val="22"/>
        </w:rPr>
        <w:t>Listing of Manufacturing Equipment</w:t>
      </w:r>
    </w:p>
    <w:p>
      <w:pPr>
        <w:pStyle w:val="TextBody"/>
        <w:bidi w:val="0"/>
        <w:spacing w:lineRule="auto" w:line="288" w:before="420" w:after="283"/>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1.One (1) Two-person scissor lift (ATX ID 942)</w:t>
      </w:r>
    </w:p>
    <w:p>
      <w:pPr>
        <w:pStyle w:val="TextBody"/>
        <w:bidi w:val="0"/>
        <w:spacing w:lineRule="auto" w:line="288" w:before="240" w:after="283"/>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2.One (1) One-person mobile lift (ATX ID 935)</w:t>
      </w:r>
    </w:p>
    <w:p>
      <w:pPr>
        <w:pStyle w:val="TextBody"/>
        <w:bidi w:val="0"/>
        <w:spacing w:lineRule="auto" w:line="288" w:before="240" w:after="283"/>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3.One (1) Articulating one-person boom lift (ATX 935)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right"/>
        <w:rPr>
          <w:rFonts w:ascii="Times New Roman;serif" w:hAnsi="Times New Roman;serif"/>
          <w:b/>
          <w:color w:val="000000"/>
          <w:sz w:val="22"/>
        </w:rPr>
      </w:pPr>
      <w:r>
        <w:rPr>
          <w:rFonts w:ascii="Times New Roman;serif" w:hAnsi="Times New Roman;serif"/>
          <w:b/>
          <w:color w:val="000000"/>
          <w:sz w:val="22"/>
        </w:rPr>
        <w:t>EXHIBIT 21.1</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2"/>
        </w:rPr>
        <w:t>SUBSIDIARIES OF IMMUNITYBIO, INC</w:t>
      </w:r>
      <w:r>
        <w:rPr>
          <w:rFonts w:ascii="Times New Roman;serif" w:hAnsi="Times New Roman;serif"/>
          <w:b w:val="false"/>
          <w:color w:val="000000"/>
          <w:sz w:val="22"/>
        </w:rPr>
        <w:t>.</w:t>
      </w:r>
    </w:p>
    <w:tbl>
      <w:tblPr>
        <w:tblW w:w="8544" w:type="dxa"/>
        <w:jc w:val="left"/>
        <w:tblInd w:w="0" w:type="dxa"/>
        <w:tblLayout w:type="fixed"/>
        <w:tblCellMar>
          <w:top w:w="28" w:type="dxa"/>
          <w:left w:w="28" w:type="dxa"/>
          <w:bottom w:w="28" w:type="dxa"/>
          <w:right w:w="28" w:type="dxa"/>
        </w:tblCellMar>
      </w:tblPr>
      <w:tblGrid>
        <w:gridCol w:w="1670"/>
        <w:gridCol w:w="1467"/>
        <w:gridCol w:w="1468"/>
        <w:gridCol w:w="109"/>
        <w:gridCol w:w="109"/>
        <w:gridCol w:w="109"/>
        <w:gridCol w:w="609"/>
        <w:gridCol w:w="609"/>
        <w:gridCol w:w="612"/>
        <w:gridCol w:w="109"/>
        <w:gridCol w:w="109"/>
        <w:gridCol w:w="109"/>
        <w:gridCol w:w="426"/>
        <w:gridCol w:w="426"/>
        <w:gridCol w:w="603"/>
      </w:tblGrid>
      <w:tr>
        <w:trPr/>
        <w:tc>
          <w:tcPr>
            <w:tcW w:w="167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Jurisdiction of</w:t>
              <w:br/>
              <w:t>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of </w:t>
              <w:br/>
              <w:t xml:space="preserve">Voting Securities </w:t>
              <w:br/>
              <w:t xml:space="preserve">Owned Directly </w:t>
              <w:br/>
              <w:t xml:space="preserve">or Indirectly by </w:t>
              <w:br/>
              <w:t>ImmunityBio, Inc.</w:t>
            </w:r>
          </w:p>
        </w:tc>
      </w:tr>
      <w:tr>
        <w:trPr/>
        <w:tc>
          <w:tcPr>
            <w:tcW w:w="46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Infacell Therapeutics,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Inex Bio,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Republic of 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ImmunityBio Ireland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NantCell,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Etubics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Altor BioScience,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Altor BioScience Manufacturing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Receptome,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VBC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VivaBioCell,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GlobeImmune,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69.1%</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Immunotherapy NANTibody,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IgDraSol,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MCLR Parent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Mariposa Clinic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Mariposa Lab 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Mariposa Radiology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AccessBio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ind w:left="0" w:right="0" w:hanging="990"/>
        <w:jc w:val="left"/>
        <w:rPr>
          <w:rFonts w:ascii="Times New Roman;serif" w:hAnsi="Times New Roman;serif"/>
          <w:b w:val="false"/>
          <w:color w:val="000000"/>
          <w:sz w:val="18"/>
        </w:rPr>
      </w:pPr>
      <w:r>
        <w:rPr>
          <w:rFonts w:ascii="Times New Roman;serif" w:hAnsi="Times New Roman;serif"/>
          <w:b w:val="false"/>
          <w:color w:val="000000"/>
          <w:sz w:val="18"/>
        </w:rPr>
        <w:t>Note:    All of the subsidiaries shown above are included in our consolidated financial statements. Inactive subsidiaries have not been included in the above list.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88" w:before="360" w:after="283"/>
        <w:jc w:val="left"/>
        <w:rPr/>
      </w:pPr>
      <w:r>
        <w:rPr>
          <w:rFonts w:ascii="Times New Roman;serif" w:hAnsi="Times New Roman;serif"/>
          <w:b w:val="false"/>
          <w:color w:val="000000"/>
          <w:sz w:val="22"/>
          <w:shd w:fill="FFFFFF" w:val="clear"/>
        </w:rPr>
        <w:t>We consent to the incorporation by reference in Registration Statement </w:t>
      </w:r>
      <w:r>
        <w:rPr>
          <w:rFonts w:ascii="Times New Roman;serif" w:hAnsi="Times New Roman;serif"/>
          <w:b w:val="false"/>
          <w:color w:val="000000"/>
          <w:sz w:val="22"/>
        </w:rPr>
        <w:t>Nos</w:t>
      </w:r>
      <w:r>
        <w:rPr>
          <w:rFonts w:ascii="Times New Roman;serif" w:hAnsi="Times New Roman;serif"/>
          <w:b w:val="false"/>
          <w:color w:val="000000"/>
          <w:sz w:val="22"/>
          <w:shd w:fill="FFFFFF" w:val="clear"/>
        </w:rPr>
        <w:t>. </w:t>
      </w:r>
      <w:r>
        <w:rPr>
          <w:rFonts w:ascii="Times New Roman;serif" w:hAnsi="Times New Roman;serif"/>
          <w:b w:val="false"/>
          <w:color w:val="000000"/>
          <w:sz w:val="22"/>
        </w:rPr>
        <w:t xml:space="preserve">333-278361 and 333-278770 </w:t>
      </w:r>
      <w:r>
        <w:rPr>
          <w:rFonts w:ascii="Times New Roman;serif" w:hAnsi="Times New Roman;serif"/>
          <w:b w:val="false"/>
          <w:color w:val="000000"/>
          <w:sz w:val="22"/>
          <w:shd w:fill="FFFFFF" w:val="clear"/>
        </w:rPr>
        <w:t>on Form S-3 and Registration Statement Nos. </w:t>
      </w:r>
      <w:r>
        <w:rPr>
          <w:rFonts w:ascii="Times New Roman;serif" w:hAnsi="Times New Roman;serif"/>
          <w:b w:val="false"/>
          <w:color w:val="000000"/>
          <w:sz w:val="22"/>
        </w:rPr>
        <w:t>333-205942, 333-233082, 333-243725, 333-252232, 333-265599, 333-280354, and 333-288241</w:t>
      </w:r>
      <w:r>
        <w:rPr>
          <w:color w:val="000000"/>
          <w:shd w:fill="FFFFFF" w:val="clear"/>
        </w:rPr>
        <w:t xml:space="preserve"> </w:t>
      </w:r>
      <w:r>
        <w:rPr>
          <w:rFonts w:ascii="Times New Roman;serif" w:hAnsi="Times New Roman;serif"/>
          <w:b w:val="false"/>
          <w:color w:val="000000"/>
          <w:sz w:val="22"/>
          <w:shd w:fill="FFFFFF" w:val="clear"/>
        </w:rPr>
        <w:t xml:space="preserve">on Form S-8 </w:t>
      </w:r>
      <w:r>
        <w:rPr>
          <w:rFonts w:ascii="Times New Roman;serif" w:hAnsi="Times New Roman;serif"/>
          <w:b w:val="false"/>
          <w:color w:val="000000"/>
          <w:sz w:val="22"/>
        </w:rPr>
        <w:t>of our reports dated February 23, 2026, relating to the financial statements of ImmunityBio, Inc. and the effectiveness of ImmunityBio, Inc.’s internal control over financial reporting appearing in this Annual Report on Form 10-K for the year ended December 31, 2025.</w:t>
      </w:r>
    </w:p>
    <w:p>
      <w:pPr>
        <w:pStyle w:val="TextBody"/>
        <w:bidi w:val="0"/>
        <w:spacing w:lineRule="auto" w:line="288" w:before="36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 Deloitte &amp; Touche LLP</w:t>
      </w:r>
    </w:p>
    <w:p>
      <w:pPr>
        <w:pStyle w:val="TextBody"/>
        <w:bidi w:val="0"/>
        <w:spacing w:lineRule="auto" w:line="288" w:before="36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San Diego, California</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February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23.2</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Consent of Independent Registered Public Accounting Firm</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following Registration Statements:</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 xml:space="preserve">(1)Registration Statement (Form S-8 No. 333-205942) pertaining to the 2014 Equity Incentive Plan and 2015 Equity Incentive Plan; </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(2)Registration Statement (Form S-8 No. 333-233082) pertaining to the 2015 Equity Incentive Plan as Amended and Restated;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 xml:space="preserve">(3)Registration Statement (Form S-8 No. 333-243725) pertaining to the 2015 Equity Incentive Plan as Amended and Restated; </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(4)Registration Statement (Post-Effective Amendment No. 1 on Form S-8 to Form S-4 No. 333-252232) for the registration of common stock reserved for issuance pursuant to the Amended and Restated ImmunityBio, Inc. 2015 Stock Incentive Plan;</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 xml:space="preserve">(5)Registration Statement (Form S-8 No. 333-265599) pertaining to the 2015 Equity Incentive Plan, as Amended; </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 xml:space="preserve">(6)Registration Statement (Form S-3 No. 333-278361) of ImmunityBio, Inc. for the registration of the resale by certain selling stockholders of common stock and common stock underlying the options; </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 xml:space="preserve">(7)Registration Statement (Form S-3ASR No. 333-278770) of ImmunityBio, Inc. for the registration of common stock, preferred stock, debt securities, depositary shares, warrants, subscription rights, purchase contracts and units; </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(8)Registration Statement (Form S-8 No. 333-280354) pertaining to the 2015 Equity Incentive Plan, as Amended; and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 xml:space="preserve">(9)Registration Statement (Form S-8 No. 333-288241) pertaining to the 2025 Equity Incentive Plan; </w:t>
      </w:r>
    </w:p>
    <w:p>
      <w:pPr>
        <w:pStyle w:val="TextBody"/>
        <w:bidi w:val="0"/>
        <w:spacing w:lineRule="auto" w:line="288" w:before="180" w:after="283"/>
        <w:jc w:val="left"/>
        <w:rPr/>
      </w:pPr>
      <w:r>
        <w:rPr>
          <w:rFonts w:ascii="Times New Roman;serif" w:hAnsi="Times New Roman;serif"/>
          <w:b w:val="false"/>
          <w:color w:val="000000"/>
          <w:sz w:val="22"/>
          <w:shd w:fill="FFFFFF" w:val="clear"/>
        </w:rPr>
        <w:t xml:space="preserve">of our report dated </w:t>
      </w:r>
      <w:r>
        <w:rPr>
          <w:rFonts w:ascii="Times New Roman;serif" w:hAnsi="Times New Roman;serif"/>
          <w:b w:val="false"/>
          <w:color w:val="000000"/>
          <w:sz w:val="22"/>
        </w:rPr>
        <w:t>March 3, 2025</w:t>
      </w:r>
      <w:r>
        <w:rPr>
          <w:rFonts w:ascii="Times New Roman;serif" w:hAnsi="Times New Roman;serif"/>
          <w:b w:val="false"/>
          <w:color w:val="000000"/>
          <w:sz w:val="22"/>
          <w:shd w:fill="FFFFFF" w:val="clear"/>
        </w:rPr>
        <w:t>, with respect to the consolidated financial statements of ImmunityBio, Inc. and Subsidiaries and the effectiveness of internal control over financial reporting of ImmunityBio, Inc. and Subsidiaries included in</w:t>
      </w:r>
      <w:r>
        <w:rPr>
          <w:color w:val="000000"/>
        </w:rPr>
        <w:t xml:space="preserve"> </w:t>
      </w:r>
      <w:r>
        <w:rPr>
          <w:rFonts w:ascii="Times New Roman;serif" w:hAnsi="Times New Roman;serif"/>
          <w:b w:val="false"/>
          <w:color w:val="000000"/>
          <w:sz w:val="22"/>
        </w:rPr>
        <w:t>this Annu</w:t>
      </w:r>
      <w:r>
        <w:rPr>
          <w:rFonts w:ascii="Times New Roman;serif" w:hAnsi="Times New Roman;serif"/>
          <w:b w:val="false"/>
          <w:color w:val="000000"/>
          <w:sz w:val="22"/>
          <w:shd w:fill="FFFFFF" w:val="clear"/>
        </w:rPr>
        <w:t xml:space="preserve">al Report (Form 10-K) for the year ended </w:t>
      </w:r>
      <w:r>
        <w:rPr>
          <w:rFonts w:ascii="Times New Roman;serif" w:hAnsi="Times New Roman;serif"/>
          <w:b w:val="false"/>
          <w:color w:val="000000"/>
          <w:sz w:val="22"/>
        </w:rPr>
        <w:t>December 31, 2024</w:t>
      </w:r>
      <w:r>
        <w:rPr>
          <w:rFonts w:ascii="Times New Roman;serif" w:hAnsi="Times New Roman;serif"/>
          <w:b w:val="false"/>
          <w:color w:val="000000"/>
          <w:sz w:val="22"/>
          <w:shd w:fill="FFFFFF" w:val="clear"/>
        </w:rPr>
        <w:t>.</w:t>
      </w:r>
    </w:p>
    <w:p>
      <w:pPr>
        <w:pStyle w:val="TextBody"/>
        <w:bidi w:val="0"/>
        <w:spacing w:lineRule="auto" w:line="288" w:before="36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 Ernst &amp; Young LLP</w:t>
      </w:r>
    </w:p>
    <w:p>
      <w:pPr>
        <w:pStyle w:val="TextBody"/>
        <w:bidi w:val="0"/>
        <w:spacing w:lineRule="auto" w:line="288" w:before="36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Los Angeles, California</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February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Richard Adcock,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ImmunityBio,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98" w:type="dxa"/>
        <w:jc w:val="left"/>
        <w:tblInd w:w="0" w:type="dxa"/>
        <w:tblLayout w:type="fixed"/>
        <w:tblCellMar>
          <w:top w:w="28" w:type="dxa"/>
          <w:left w:w="28" w:type="dxa"/>
          <w:bottom w:w="28" w:type="dxa"/>
          <w:right w:w="28" w:type="dxa"/>
        </w:tblCellMar>
      </w:tblPr>
      <w:tblGrid>
        <w:gridCol w:w="755"/>
        <w:gridCol w:w="663"/>
        <w:gridCol w:w="666"/>
        <w:gridCol w:w="134"/>
        <w:gridCol w:w="134"/>
        <w:gridCol w:w="136"/>
        <w:gridCol w:w="937"/>
        <w:gridCol w:w="937"/>
        <w:gridCol w:w="133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Adcock</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C. Sachs,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ImmunityBio,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007" w:type="dxa"/>
        <w:jc w:val="left"/>
        <w:tblInd w:w="0" w:type="dxa"/>
        <w:tblLayout w:type="fixed"/>
        <w:tblCellMar>
          <w:top w:w="28" w:type="dxa"/>
          <w:left w:w="28" w:type="dxa"/>
          <w:bottom w:w="28" w:type="dxa"/>
          <w:right w:w="28" w:type="dxa"/>
        </w:tblCellMar>
      </w:tblPr>
      <w:tblGrid>
        <w:gridCol w:w="755"/>
        <w:gridCol w:w="663"/>
        <w:gridCol w:w="666"/>
        <w:gridCol w:w="134"/>
        <w:gridCol w:w="134"/>
        <w:gridCol w:w="136"/>
        <w:gridCol w:w="736"/>
        <w:gridCol w:w="736"/>
        <w:gridCol w:w="104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360" w:after="283"/>
        <w:jc w:val="both"/>
        <w:rPr/>
      </w:pPr>
      <w:r>
        <w:rPr>
          <w:rFonts w:ascii="Times New Roman;serif" w:hAnsi="Times New Roman;serif"/>
          <w:b w:val="false"/>
          <w:color w:val="000000"/>
          <w:sz w:val="20"/>
        </w:rPr>
        <w:t>Pursuant to 18 U.S.C. </w:t>
      </w:r>
      <w:r>
        <w:rPr>
          <w:rFonts w:ascii="Times New Roman;serif" w:hAnsi="Times New Roman;serif"/>
          <w:b/>
          <w:color w:val="000000"/>
          <w:sz w:val="20"/>
        </w:rPr>
        <w:t>§ </w:t>
      </w:r>
      <w:r>
        <w:rPr>
          <w:rFonts w:ascii="Times New Roman;serif" w:hAnsi="Times New Roman;serif"/>
          <w:b w:val="false"/>
          <w:color w:val="000000"/>
          <w:sz w:val="20"/>
        </w:rPr>
        <w:t>1350, as adopted pursuant to Section 906 of the Sarbanes-Oxley Act of 2002, I, Richard Adcock, the chief executive officer of ImmunityBio, Inc. (the “Company”), hereby certify,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Annual Report of the Company on Form 10-K for the year ended December 31, 2025 (the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before="0" w:after="0"/>
        <w:jc w:val="left"/>
        <w:rPr/>
      </w:pPr>
      <w:r>
        <w:rPr/>
      </w:r>
    </w:p>
    <w:tbl>
      <w:tblPr>
        <w:tblW w:w="5698" w:type="dxa"/>
        <w:jc w:val="left"/>
        <w:tblInd w:w="0" w:type="dxa"/>
        <w:tblLayout w:type="fixed"/>
        <w:tblCellMar>
          <w:top w:w="28" w:type="dxa"/>
          <w:left w:w="28" w:type="dxa"/>
          <w:bottom w:w="28" w:type="dxa"/>
          <w:right w:w="28" w:type="dxa"/>
        </w:tblCellMar>
      </w:tblPr>
      <w:tblGrid>
        <w:gridCol w:w="755"/>
        <w:gridCol w:w="663"/>
        <w:gridCol w:w="666"/>
        <w:gridCol w:w="134"/>
        <w:gridCol w:w="134"/>
        <w:gridCol w:w="136"/>
        <w:gridCol w:w="937"/>
        <w:gridCol w:w="937"/>
        <w:gridCol w:w="133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Adcock</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 1350, AS ADOPTED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I, David C. Sachs, the chief financial officer of ImmunityBio, Inc. (the “Company”), hereby certify,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Annual Report of the Company on Form 10-K for the year ended December 31, 2025 (the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07" w:type="dxa"/>
        <w:jc w:val="left"/>
        <w:tblInd w:w="0" w:type="dxa"/>
        <w:tblLayout w:type="fixed"/>
        <w:tblCellMar>
          <w:top w:w="28" w:type="dxa"/>
          <w:left w:w="28" w:type="dxa"/>
          <w:bottom w:w="28" w:type="dxa"/>
          <w:right w:w="28" w:type="dxa"/>
        </w:tblCellMar>
      </w:tblPr>
      <w:tblGrid>
        <w:gridCol w:w="755"/>
        <w:gridCol w:w="663"/>
        <w:gridCol w:w="666"/>
        <w:gridCol w:w="134"/>
        <w:gridCol w:w="134"/>
        <w:gridCol w:w="136"/>
        <w:gridCol w:w="736"/>
        <w:gridCol w:w="736"/>
        <w:gridCol w:w="104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326110/000156459021044008/ibrx-ex32_717.htm" TargetMode="External"/><Relationship Id="rId14" Type="http://schemas.openxmlformats.org/officeDocument/2006/relationships/hyperlink" Target="https://www.sec.gov/Archives/edgar/data/1326110/000156459021044008/ibrx-ex32_717.htm" TargetMode="External"/><Relationship Id="rId15" Type="http://schemas.openxmlformats.org/officeDocument/2006/relationships/hyperlink" Target="https://www.sec.gov/Archives/edgar/data/1326110/000156459021044008/ibrx-ex32_717.htm" TargetMode="External"/><Relationship Id="rId16" Type="http://schemas.openxmlformats.org/officeDocument/2006/relationships/hyperlink" Target="https://www.sec.gov/Archives/edgar/data/1326110/000156459021044008/ibrx-ex32_717.htm" TargetMode="External"/><Relationship Id="rId17" Type="http://schemas.openxmlformats.org/officeDocument/2006/relationships/hyperlink" Target="https://www.sec.gov/Archives/edgar/data/1326110/000156459021044008/ibrx-ex32_717.htm" TargetMode="External"/><Relationship Id="rId18" Type="http://schemas.openxmlformats.org/officeDocument/2006/relationships/hyperlink" Target="https://www.sec.gov/Archives/edgar/data/1326110/000119312515229037/d917371dex41.htm" TargetMode="External"/><Relationship Id="rId19" Type="http://schemas.openxmlformats.org/officeDocument/2006/relationships/hyperlink" Target="https://www.sec.gov/Archives/edgar/data/1326110/000119312515229037/d917371dex42.htm" TargetMode="External"/><Relationship Id="rId20" Type="http://schemas.openxmlformats.org/officeDocument/2006/relationships/hyperlink" Target="https://www.sec.gov/Archives/edgar/data/1326110/000119312515229037/d917371dex43.htm" TargetMode="External"/><Relationship Id="rId21" Type="http://schemas.openxmlformats.org/officeDocument/2006/relationships/hyperlink" Target="https://www.sec.gov/Archives/edgar/data/1326110/000119312515229037/d917371dex45.htm" TargetMode="External"/><Relationship Id="rId22" Type="http://schemas.openxmlformats.org/officeDocument/2006/relationships/hyperlink" Target="https://www.sec.gov/Archives/edgar/data/1326110/000119312515229037/d917371dex46.htm" TargetMode="External"/><Relationship Id="rId23" Type="http://schemas.openxmlformats.org/officeDocument/2006/relationships/hyperlink" Target="https://www.sec.gov/Archives/edgar/data/1326110/000119312521169432/d162734dex41.htm" TargetMode="External"/><Relationship Id="rId24" Type="http://schemas.openxmlformats.org/officeDocument/2006/relationships/hyperlink" Target="https://www.sec.gov/Archives/edgar/data/1326110/000132611024000037/ibrx-20231231x10kexhibit47.htm" TargetMode="External"/><Relationship Id="rId25" Type="http://schemas.openxmlformats.org/officeDocument/2006/relationships/hyperlink" Target="https://www.sec.gov/Archives/edgar/data/1326110/000119312521011616/d28678dex1013.htm" TargetMode="External"/><Relationship Id="rId26" Type="http://schemas.openxmlformats.org/officeDocument/2006/relationships/hyperlink" Target="https://www.sec.gov/Archives/edgar/data/1326110/000132611023000147/ibrx-2023930x10qexhibit41.htm" TargetMode="External"/><Relationship Id="rId27" Type="http://schemas.openxmlformats.org/officeDocument/2006/relationships/hyperlink" Target="https://www.sec.gov/Archives/edgar/data/1326110/000119312523190800/d489429dex41.htm" TargetMode="External"/><Relationship Id="rId28" Type="http://schemas.openxmlformats.org/officeDocument/2006/relationships/hyperlink" Target="https://www.sec.gov/Archives/edgar/data/1326110/000119312525075102/d943675dex41.htm" TargetMode="External"/><Relationship Id="rId29" Type="http://schemas.openxmlformats.org/officeDocument/2006/relationships/hyperlink" Target="https://www.sec.gov/Archives/edgar/data/1326110/000119312525164789/d20571dex41.htm" TargetMode="External"/><Relationship Id="rId30" Type="http://schemas.openxmlformats.org/officeDocument/2006/relationships/hyperlink" Target="https://www.sec.gov/Archives/edgar/data/1326110/000119312520323766/d21044dex101.htm" TargetMode="External"/><Relationship Id="rId31" Type="http://schemas.openxmlformats.org/officeDocument/2006/relationships/hyperlink" Target="https://www.sec.gov/Archives/edgar/data/1326110/000119312520323766/d21044dex102.htm" TargetMode="External"/><Relationship Id="rId32" Type="http://schemas.openxmlformats.org/officeDocument/2006/relationships/hyperlink" Target="https://www.sec.gov/Archives/edgar/data/1326110/000132611024000037/ibrx20231231-10kexhibit103.htm" TargetMode="External"/><Relationship Id="rId33" Type="http://schemas.openxmlformats.org/officeDocument/2006/relationships/hyperlink" Target="https://www.sec.gov/Archives/edgar/data/1326110/000119312524274871/d875134dex13.htm" TargetMode="External"/><Relationship Id="rId34" Type="http://schemas.openxmlformats.org/officeDocument/2006/relationships/hyperlink" Target="https://www.sec.gov/Archives/edgar/data/1326110/000132611024000037/ibrx20231231-10kexhibit104.htm" TargetMode="External"/><Relationship Id="rId35" Type="http://schemas.openxmlformats.org/officeDocument/2006/relationships/hyperlink" Target="https://www.sec.gov/Archives/edgar/data/1326110/000132611024000037/ibrx20231231-10kexhibit105.htm" TargetMode="External"/><Relationship Id="rId36" Type="http://schemas.openxmlformats.org/officeDocument/2006/relationships/hyperlink" Target="https://www.sec.gov/Archives/edgar/data/1326110/000119312525075102/d943675dex101.htm" TargetMode="External"/><Relationship Id="rId37" Type="http://schemas.openxmlformats.org/officeDocument/2006/relationships/hyperlink" Target="https://www.sec.gov/Archives/edgar/data/1326110/000119312525164789/d20571dex101.htm" TargetMode="External"/><Relationship Id="rId38" Type="http://schemas.openxmlformats.org/officeDocument/2006/relationships/hyperlink" Target="https://www.sec.gov/Archives/edgar/data/1326110/000119312521146472/d176034dex101.htm" TargetMode="External"/><Relationship Id="rId39" Type="http://schemas.openxmlformats.org/officeDocument/2006/relationships/hyperlink" Target="https://www.sec.gov/Archives/edgar/data/1326110/000119312525331244/d61833dex101.htm" TargetMode="External"/><Relationship Id="rId40" Type="http://schemas.openxmlformats.org/officeDocument/2006/relationships/hyperlink" Target="https://www.sec.gov/Archives/edgar/data/1326110/000119312521011616/d28678dex104.htm" TargetMode="External"/><Relationship Id="rId41" Type="http://schemas.openxmlformats.org/officeDocument/2006/relationships/hyperlink" Target="https://www.sec.gov/Archives/edgar/data/1326110/000119312521011616/d28678dex1012.htm" TargetMode="External"/><Relationship Id="rId42" Type="http://schemas.openxmlformats.org/officeDocument/2006/relationships/hyperlink" Target="https://www.sec.gov/Archives/edgar/data/1326110/000119312524274871/d875134dex12.htm" TargetMode="External"/><Relationship Id="rId43" Type="http://schemas.openxmlformats.org/officeDocument/2006/relationships/hyperlink" Target="https://www.sec.gov/Archives/edgar/data/1326110/000132611026000014/ibrx-20261238xkexhibit101.htm" TargetMode="External"/><Relationship Id="rId44" Type="http://schemas.openxmlformats.org/officeDocument/2006/relationships/hyperlink" Target="https://www.sec.gov/Archives/edgar/data/1326110/000095012315007692/d917371dex1019.htm" TargetMode="External"/><Relationship Id="rId45" Type="http://schemas.openxmlformats.org/officeDocument/2006/relationships/hyperlink" Target="https://www.sec.gov/Archives/edgar/data/1326110/000132611022000058/ibrx-20220630x10qexhibit106.htm" TargetMode="External"/><Relationship Id="rId46" Type="http://schemas.openxmlformats.org/officeDocument/2006/relationships/hyperlink" Target="https://www.sec.gov/Archives/edgar/data/1326110/000132611022000058/ibrx-20220630x10qexhibit107.htm" TargetMode="External"/><Relationship Id="rId47" Type="http://schemas.openxmlformats.org/officeDocument/2006/relationships/hyperlink" Target="https://www.sec.gov/Archives/edgar/data/1326110/000132611022000058/ibrx-20220630x10qexhibit108.htm" TargetMode="External"/><Relationship Id="rId48" Type="http://schemas.openxmlformats.org/officeDocument/2006/relationships/hyperlink" Target="https://www.sec.gov/Archives/edgar/data/1326110/000156459016015596/nk-ex1023_1729.htm" TargetMode="External"/><Relationship Id="rId49" Type="http://schemas.openxmlformats.org/officeDocument/2006/relationships/hyperlink" Target="https://www.sec.gov/Archives/edgar/data/1326110/000156459020052488/nk-ex102_93.htm" TargetMode="External"/><Relationship Id="rId50" Type="http://schemas.openxmlformats.org/officeDocument/2006/relationships/hyperlink" Target="https://www.sec.gov/Archives/edgar/data/1326110/000132611022000058/ibrx-20220630x10qexhibit104.htm" TargetMode="External"/><Relationship Id="rId51" Type="http://schemas.openxmlformats.org/officeDocument/2006/relationships/hyperlink" Target="https://www.sec.gov/Archives/edgar/data/1326110/000156459016028905/nk-ex101_159.htm" TargetMode="External"/><Relationship Id="rId52" Type="http://schemas.openxmlformats.org/officeDocument/2006/relationships/hyperlink" Target="https://www.sec.gov/Archives/edgar/data/1326110/000132611023000098/ibrx-20230630x10qexhibit102.htm" TargetMode="External"/><Relationship Id="rId53" Type="http://schemas.openxmlformats.org/officeDocument/2006/relationships/hyperlink" Target="https://www.sec.gov/Archives/edgar/data/1326110/000119312521011616/d28678dex1027.htm" TargetMode="External"/><Relationship Id="rId54" Type="http://schemas.openxmlformats.org/officeDocument/2006/relationships/hyperlink" Target="https://www.sec.gov/Archives/edgar/data/1326110/000132611024000037/ibrx-20231231x10kex1041.htm" TargetMode="External"/><Relationship Id="rId55" Type="http://schemas.openxmlformats.org/officeDocument/2006/relationships/hyperlink" Target="https://www.sec.gov/Archives/edgar/data/1326110/000119312521011616/d28678dex1028.htm" TargetMode="External"/><Relationship Id="rId56" Type="http://schemas.openxmlformats.org/officeDocument/2006/relationships/hyperlink" Target="https://www.sec.gov/Archives/edgar/data/1326110/000119312521011616/d28678dex1029.htm" TargetMode="External"/><Relationship Id="rId57" Type="http://schemas.openxmlformats.org/officeDocument/2006/relationships/hyperlink" Target="https://www.sec.gov/Archives/edgar/data/1326110/000156459020052488/nk-ex103_94.htm" TargetMode="External"/><Relationship Id="rId58" Type="http://schemas.openxmlformats.org/officeDocument/2006/relationships/hyperlink" Target="https://www.sec.gov/Archives/edgar/data/1326110/000156459021010945/nk-ex1035_433.htm" TargetMode="External"/><Relationship Id="rId59" Type="http://schemas.openxmlformats.org/officeDocument/2006/relationships/hyperlink" Target="https://www.sec.gov/Archives/edgar/data/1326110/000156459021044008/ibrx-ex101_955.htm" TargetMode="External"/><Relationship Id="rId60" Type="http://schemas.openxmlformats.org/officeDocument/2006/relationships/hyperlink" Target="https://www.sec.gov/Archives/edgar/data/1326110/000132611021000009/ibrx-20210930x10qexhibit104.htm" TargetMode="External"/><Relationship Id="rId61" Type="http://schemas.openxmlformats.org/officeDocument/2006/relationships/hyperlink" Target="https://www.sec.gov/Archives/edgar/data/1326110/000132611022000027/ibrx-20220331x10qexhibit102.htm" TargetMode="External"/><Relationship Id="rId62" Type="http://schemas.openxmlformats.org/officeDocument/2006/relationships/hyperlink" Target="https://www.sec.gov/Archives/edgar/data/1326110/000132611022000027/ibrx-20220331x10qexhibit103.htm" TargetMode="External"/><Relationship Id="rId63" Type="http://schemas.openxmlformats.org/officeDocument/2006/relationships/hyperlink" Target="https://www.sec.gov/Archives/edgar/data/1326110/000119312522007333/d276464dex101.htm" TargetMode="External"/><Relationship Id="rId64" Type="http://schemas.openxmlformats.org/officeDocument/2006/relationships/hyperlink" Target="https://www.sec.gov/Archives/edgar/data/1326110/000156459019029330/nk-ex104_267.htm" TargetMode="External"/><Relationship Id="rId65" Type="http://schemas.openxmlformats.org/officeDocument/2006/relationships/hyperlink" Target="https://www.sec.gov/Archives/edgar/data/1326110/000156459020024168/nk-ex101_98.htm" TargetMode="External"/><Relationship Id="rId66" Type="http://schemas.openxmlformats.org/officeDocument/2006/relationships/hyperlink" Target="https://www.sec.gov/Archives/edgar/data/1326110/000156459016024275/nk-ex101_112.htm" TargetMode="External"/><Relationship Id="rId67" Type="http://schemas.openxmlformats.org/officeDocument/2006/relationships/hyperlink" Target="https://www.sec.gov/Archives/edgar/data/1326110/000156459020052488/nk-ex104_390.htm" TargetMode="External"/><Relationship Id="rId68" Type="http://schemas.openxmlformats.org/officeDocument/2006/relationships/hyperlink" Target="https://www.sec.gov/Archives/edgar/data/1326110/000119312521011616/d28678dex1031.htm" TargetMode="External"/><Relationship Id="rId69" Type="http://schemas.openxmlformats.org/officeDocument/2006/relationships/hyperlink" Target="https://www.sec.gov/Archives/edgar/data/1326110/000119312515229037/d917371dex101.htm" TargetMode="External"/><Relationship Id="rId70" Type="http://schemas.openxmlformats.org/officeDocument/2006/relationships/hyperlink" Target="https://www.sec.gov/Archives/edgar/data/1326110/000119312515252847/d917371dex104.htm" TargetMode="External"/><Relationship Id="rId71" Type="http://schemas.openxmlformats.org/officeDocument/2006/relationships/hyperlink" Target="https://www.sec.gov/Archives/edgar/data/1326110/000132611024000103/ibrx-2024630x10qexhibit101.htm" TargetMode="External"/><Relationship Id="rId72" Type="http://schemas.openxmlformats.org/officeDocument/2006/relationships/hyperlink" Target="https://www.sec.gov/Archives/edgar/data/1326110/000119312521011616/d28678dex1014.htm" TargetMode="External"/><Relationship Id="rId73" Type="http://schemas.openxmlformats.org/officeDocument/2006/relationships/hyperlink" Target="https://www.sec.gov/Archives/edgar/data/1326110/000132611025000084/ibrx-2025620x8xkexhibit101.htm" TargetMode="External"/><Relationship Id="rId74" Type="http://schemas.openxmlformats.org/officeDocument/2006/relationships/hyperlink" Target="https://www.sec.gov/Archives/edgar/data/1326110/000132611024000111/ibrx-2024930x10qexhibit101.htm" TargetMode="External"/><Relationship Id="rId75" Type="http://schemas.openxmlformats.org/officeDocument/2006/relationships/hyperlink" Target="https://www.sec.gov/Archives/edgar/data/1326110/000132611025000033/ibrx-20241231x10kexhibit191.htm" TargetMode="External"/><Relationship Id="rId76" Type="http://schemas.openxmlformats.org/officeDocument/2006/relationships/hyperlink" Target="https://www.sec.gov/Archives/edgar/data/1326110/000132611024000037/ibrx-20231231x10kexhibit971.htm" TargetMode="External"/><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161762</Words>
  <Characters>912557</Characters>
  <CharactersWithSpaces>1069763</CharactersWithSpaces>
  <Paragraphs>7922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