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166370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208915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227330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247015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March 23, 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234315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NantKwest,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236220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368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2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001-37507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43-1979754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980" w:space="720"/>
            <w:col w:w="2140"/>
          </w:cols>
          <w:pgMar w:left="240" w:top="368" w:right="359" w:bottom="1440" w:gutter="0" w:footer="0" w:header="0"/>
          <w:type w:val="continuous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(State or other jurisdiction</w:t>
      </w: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00" w:space="720"/>
            <w:col w:w="2900" w:space="720"/>
            <w:col w:w="2260"/>
          </w:cols>
          <w:pgMar w:left="240" w:top="368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3530 John Hopkins Court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San Diego, California 92121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(Address of principal executive offices, including zip code)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(858) 633-0300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242570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368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203835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368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1140" w:right="40" w:hanging="1133"/>
        <w:spacing w:after="0" w:line="282" w:lineRule="auto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firstLine="456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March 23, 2016, the Compensation Committee (the “Committee”) of the Board of Directors of NantKwest, Inc. approved base salary increases for Patrick Soon-Shiong, the Company’s Chairman and Chief Executive Officer and Barry Simon, the Company’s President and Chief Operating Officer. The Committee approved an increase to Dr. Soon-Shiong’s annual base salary for 2016 from $1 to $600,000 and an increase in Dr. Simon’s annual base salary for 2016 from $395,000 to $418,700. The increases are effective retroactively as of January 1, 2016.</w:t>
      </w:r>
    </w:p>
    <w:p>
      <w:pPr>
        <w:sectPr>
          <w:pgSz w:w="11900" w:h="16838" w:orient="portrait"/>
          <w:cols w:equalWidth="0" w:num="1">
            <w:col w:w="11340"/>
          </w:cols>
          <w:pgMar w:left="240" w:top="270" w:right="31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80" w:firstLine="45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NANTKWEST, INC.</w:t>
            </w:r>
          </w:p>
        </w:tc>
      </w:tr>
      <w:tr>
        <w:trPr>
          <w:trHeight w:val="432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March 29, 2016</w:t>
            </w:r>
          </w:p>
        </w:tc>
        <w:tc>
          <w:tcPr>
            <w:tcW w:w="7580" w:type="dxa"/>
            <w:vAlign w:val="bottom"/>
            <w:gridSpan w:val="2"/>
          </w:tcPr>
          <w:p>
            <w:pPr>
              <w:ind w:lef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/s/ Richard J. Tajak</w:t>
            </w:r>
          </w:p>
        </w:tc>
      </w:tr>
      <w:tr>
        <w:trPr>
          <w:trHeight w:val="195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Richard J. Tajak</w:t>
            </w:r>
          </w:p>
        </w:tc>
      </w:tr>
      <w:tr>
        <w:trPr>
          <w:trHeight w:val="230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Interim Chief Financial Officer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27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2019-12-08T06:05:24Z</dcterms:created>
  <dcterms:modified xsi:type="dcterms:W3CDTF">2019-12-08T06:05:24Z</dcterms:modified>
</cp:coreProperties>
</file>