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June 9,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ImmunityBio,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001-37507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43-1979754</w:t>
            </w:r>
          </w:p>
        </w:tc>
      </w:tr>
      <w:tr>
        <w:trPr/>
        <w:tc>
          <w:tcPr>
            <w:tcW w:w="20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3530 John Hopkins Court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Diego, California 92121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(844) 696-5235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63" w:type="dxa"/>
        <w:jc w:val="left"/>
        <w:tblInd w:w="0" w:type="dxa"/>
        <w:tblLayout w:type="fixed"/>
        <w:tblCellMar>
          <w:top w:w="28" w:type="dxa"/>
          <w:left w:w="28" w:type="dxa"/>
          <w:bottom w:w="28" w:type="dxa"/>
          <w:right w:w="28" w:type="dxa"/>
        </w:tblCellMar>
      </w:tblPr>
      <w:tblGrid>
        <w:gridCol w:w="1339"/>
        <w:gridCol w:w="1175"/>
        <w:gridCol w:w="1191"/>
        <w:gridCol w:w="109"/>
        <w:gridCol w:w="109"/>
        <w:gridCol w:w="109"/>
        <w:gridCol w:w="274"/>
        <w:gridCol w:w="274"/>
        <w:gridCol w:w="276"/>
        <w:gridCol w:w="109"/>
        <w:gridCol w:w="109"/>
        <w:gridCol w:w="109"/>
        <w:gridCol w:w="843"/>
        <w:gridCol w:w="843"/>
        <w:gridCol w:w="1194"/>
      </w:tblGrid>
      <w:tr>
        <w:trPr/>
        <w:tc>
          <w:tcPr>
            <w:tcW w:w="133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IBRX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5.07    Submission of Matters to a Vote of Security Holders. </w:t>
      </w:r>
    </w:p>
    <w:p>
      <w:pPr>
        <w:pStyle w:val="TextBody"/>
        <w:bidi w:val="0"/>
        <w:spacing w:lineRule="auto" w:line="288" w:before="120" w:after="283"/>
        <w:jc w:val="left"/>
        <w:rPr/>
      </w:pPr>
      <w:r>
        <w:rPr>
          <w:rFonts w:ascii="Times New Roman;serif" w:hAnsi="Times New Roman;serif"/>
          <w:b w:val="false"/>
          <w:color w:val="000000"/>
          <w:sz w:val="20"/>
        </w:rPr>
        <w:t>On June 9, 2026, ImmunityBio, Inc.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held its 2026 Annual Meeting of Stockholders (the “</w:t>
      </w:r>
      <w:r>
        <w:rPr>
          <w:rFonts w:ascii="Times New Roman;serif" w:hAnsi="Times New Roman;serif"/>
          <w:b/>
          <w:color w:val="000000"/>
          <w:sz w:val="20"/>
        </w:rPr>
        <w:t>Annual Meeting</w:t>
      </w:r>
      <w:r>
        <w:rPr>
          <w:color w:val="000000"/>
        </w:rPr>
        <w:t>”</w:t>
      </w:r>
      <w:r>
        <w:rPr>
          <w:rFonts w:ascii="Times New Roman;serif" w:hAnsi="Times New Roman;serif"/>
          <w:b w:val="false"/>
          <w:color w:val="000000"/>
          <w:sz w:val="20"/>
        </w:rPr>
        <w:t>). Of the 1,047,345,861 shares of our common stock, par value $0.0001 per share (“</w:t>
      </w:r>
      <w:r>
        <w:rPr>
          <w:rFonts w:ascii="Times New Roman;serif" w:hAnsi="Times New Roman;serif"/>
          <w:b/>
          <w:color w:val="000000"/>
          <w:sz w:val="20"/>
        </w:rPr>
        <w:t>Common Stock</w:t>
      </w:r>
      <w:r>
        <w:rPr>
          <w:color w:val="000000"/>
        </w:rPr>
        <w:t>”</w:t>
      </w:r>
      <w:r>
        <w:rPr>
          <w:rFonts w:ascii="Times New Roman;serif" w:hAnsi="Times New Roman;serif"/>
          <w:b w:val="false"/>
          <w:color w:val="000000"/>
          <w:sz w:val="20"/>
        </w:rPr>
        <w:t>) outstanding as of April 13, 2026, 885,167,059 shares of Common Stock were represented, either by attending the Annual Meeting virtually or by proxy, constituting (i) a quorum under the Company’s bylaws and (ii) approximately 85% of the outstanding shares of Common Stock entitled to vote. The matters voted on at the Annual Meeting and the votes cast with respect to each such matter are set forth below.</w:t>
      </w:r>
    </w:p>
    <w:p>
      <w:pPr>
        <w:pStyle w:val="TextBody"/>
        <w:bidi w:val="0"/>
        <w:spacing w:lineRule="auto" w:line="288" w:before="240" w:after="283"/>
        <w:ind w:left="0" w:right="0" w:hanging="540"/>
        <w:jc w:val="left"/>
        <w:rPr/>
      </w:pPr>
      <w:r>
        <w:rPr>
          <w:rFonts w:ascii="Times New Roman;serif" w:hAnsi="Times New Roman;serif"/>
          <w:b/>
          <w:color w:val="000000"/>
          <w:sz w:val="20"/>
        </w:rPr>
        <w:t>1.Election of Nine Directors.</w:t>
      </w:r>
      <w:r>
        <w:rPr>
          <w:color w:val="000000"/>
        </w:rPr>
        <w:t xml:space="preserve"> </w:t>
      </w:r>
      <w:r>
        <w:rPr>
          <w:rFonts w:ascii="Times New Roman;serif" w:hAnsi="Times New Roman;serif"/>
          <w:b w:val="false"/>
          <w:color w:val="000000"/>
          <w:sz w:val="20"/>
        </w:rPr>
        <w:t>The following nominees were re-elected by the holders of our Common Stock to serve as directors for a one year term expiring at the 2027 annual meeting of stockholders based on the following results of voting. Each director’s term continues until the election and qualification of his or her successor, or until his or her earlier retirement, resignation, disqualification, removal, or death.</w:t>
      </w:r>
    </w:p>
    <w:tbl>
      <w:tblPr>
        <w:tblW w:w="7909" w:type="dxa"/>
        <w:jc w:val="left"/>
        <w:tblInd w:w="0" w:type="dxa"/>
        <w:tblLayout w:type="fixed"/>
        <w:tblCellMar>
          <w:top w:w="28" w:type="dxa"/>
          <w:left w:w="28" w:type="dxa"/>
          <w:bottom w:w="28" w:type="dxa"/>
          <w:right w:w="28" w:type="dxa"/>
        </w:tblCellMar>
      </w:tblPr>
      <w:tblGrid>
        <w:gridCol w:w="829"/>
        <w:gridCol w:w="729"/>
        <w:gridCol w:w="736"/>
        <w:gridCol w:w="109"/>
        <w:gridCol w:w="109"/>
        <w:gridCol w:w="109"/>
        <w:gridCol w:w="379"/>
        <w:gridCol w:w="379"/>
        <w:gridCol w:w="383"/>
        <w:gridCol w:w="109"/>
        <w:gridCol w:w="109"/>
        <w:gridCol w:w="109"/>
        <w:gridCol w:w="534"/>
        <w:gridCol w:w="534"/>
        <w:gridCol w:w="536"/>
        <w:gridCol w:w="109"/>
        <w:gridCol w:w="109"/>
        <w:gridCol w:w="109"/>
        <w:gridCol w:w="553"/>
        <w:gridCol w:w="553"/>
        <w:gridCol w:w="783"/>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color w:val="000000"/>
                <w:sz w:val="20"/>
              </w:rPr>
              <w:t>Broker Non-Votes”</w:t>
            </w:r>
          </w:p>
        </w:tc>
      </w:tr>
      <w:tr>
        <w:trPr/>
        <w:tc>
          <w:tcPr>
            <w:tcW w:w="2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Soon-Shiong,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714,631,732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19,014,153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151,521,174</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Cheryl L. Cohen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731,554,649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2,091,236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151,521,174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Adcock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731,960,821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1,685,064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151,521,174</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D. Blaszyk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722,575,150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11,070,735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151,521,174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Wesley Clark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729,527,285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4,118,600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151,521,174</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Linda Maxwell,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717,976,024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15,669,861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151,521,174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Christobel Selecky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722,387,537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11,258,348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151,521,174</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Barry J. Simon,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731,770,436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1,875,449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151,521,174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Bruce Wendel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732,149,734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1,496,151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151,521,174</w:t>
            </w:r>
          </w:p>
        </w:tc>
      </w:tr>
    </w:tbl>
    <w:p>
      <w:pPr>
        <w:pStyle w:val="TextBody"/>
        <w:bidi w:val="0"/>
        <w:spacing w:lineRule="auto" w:line="288" w:before="240" w:after="283"/>
        <w:ind w:left="0" w:right="0" w:hanging="540"/>
        <w:jc w:val="left"/>
        <w:rPr/>
      </w:pPr>
      <w:r>
        <w:rPr>
          <w:rFonts w:ascii="Times New Roman;serif" w:hAnsi="Times New Roman;serif"/>
          <w:b/>
          <w:color w:val="000000"/>
          <w:sz w:val="20"/>
        </w:rPr>
        <w:t>2.Ratification of Appointment of Independent Registered Public Accounting Firm.</w:t>
      </w:r>
      <w:r>
        <w:rPr>
          <w:color w:val="000000"/>
        </w:rPr>
        <w:t xml:space="preserve"> </w:t>
      </w:r>
      <w:r>
        <w:rPr>
          <w:rFonts w:ascii="Times New Roman;serif" w:hAnsi="Times New Roman;serif"/>
          <w:b w:val="false"/>
          <w:color w:val="000000"/>
          <w:sz w:val="20"/>
        </w:rPr>
        <w:t>The appointment of Deloitte &amp; Touche LLP as our independent registered public accounting firm for the fiscal year ending December 31, 2026 was ratified by our stockholders based on the following results of voting:</w:t>
      </w:r>
    </w:p>
    <w:tbl>
      <w:tblPr>
        <w:tblW w:w="6576" w:type="dxa"/>
        <w:jc w:val="left"/>
        <w:tblInd w:w="0" w:type="dxa"/>
        <w:tblLayout w:type="fixed"/>
        <w:tblCellMar>
          <w:top w:w="28" w:type="dxa"/>
          <w:left w:w="28" w:type="dxa"/>
          <w:bottom w:w="28" w:type="dxa"/>
          <w:right w:w="28" w:type="dxa"/>
        </w:tblCellMar>
      </w:tblPr>
      <w:tblGrid>
        <w:gridCol w:w="418"/>
        <w:gridCol w:w="366"/>
        <w:gridCol w:w="372"/>
        <w:gridCol w:w="109"/>
        <w:gridCol w:w="109"/>
        <w:gridCol w:w="109"/>
        <w:gridCol w:w="489"/>
        <w:gridCol w:w="489"/>
        <w:gridCol w:w="491"/>
        <w:gridCol w:w="109"/>
        <w:gridCol w:w="109"/>
        <w:gridCol w:w="109"/>
        <w:gridCol w:w="360"/>
        <w:gridCol w:w="360"/>
        <w:gridCol w:w="361"/>
        <w:gridCol w:w="109"/>
        <w:gridCol w:w="109"/>
        <w:gridCol w:w="109"/>
        <w:gridCol w:w="553"/>
        <w:gridCol w:w="553"/>
        <w:gridCol w:w="783"/>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color w:val="000000"/>
                <w:sz w:val="20"/>
              </w:rPr>
              <w:t>Broker Non-Votes”</w:t>
            </w:r>
          </w:p>
        </w:tc>
      </w:tr>
      <w:tr>
        <w:trPr/>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882,420,139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1,675,960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1,070,960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(d)    Exhibits.</w:t>
      </w:r>
    </w:p>
    <w:tbl>
      <w:tblPr>
        <w:tblW w:w="7797"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00"/>
        <w:gridCol w:w="1900"/>
        <w:gridCol w:w="2725"/>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5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5" w:type="dxa"/>
            <w:gridSpan w:val="3"/>
            <w:tcBorders/>
            <w:vAlign w:val="center"/>
          </w:tcPr>
          <w:p>
            <w:pPr>
              <w:pStyle w:val="TableContents"/>
              <w:bidi w:val="0"/>
              <w:spacing w:before="0" w:after="283"/>
              <w:jc w:val="left"/>
              <w:rPr>
                <w:sz w:val="4"/>
                <w:szCs w:val="4"/>
              </w:rPr>
            </w:pPr>
            <w:r>
              <w:rPr>
                <w:sz w:val="4"/>
                <w:szCs w:val="4"/>
              </w:rPr>
            </w:r>
          </w:p>
        </w:tc>
      </w:tr>
      <w:tr>
        <w:trPr/>
        <w:tc>
          <w:tcPr>
            <w:tcW w:w="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4541" w:type="dxa"/>
        <w:jc w:val="left"/>
        <w:tblInd w:w="0" w:type="dxa"/>
        <w:tblLayout w:type="fixed"/>
        <w:tblCellMar>
          <w:top w:w="28" w:type="dxa"/>
          <w:left w:w="28" w:type="dxa"/>
          <w:bottom w:w="28" w:type="dxa"/>
          <w:right w:w="28" w:type="dxa"/>
        </w:tblCellMar>
      </w:tblPr>
      <w:tblGrid>
        <w:gridCol w:w="630"/>
        <w:gridCol w:w="554"/>
        <w:gridCol w:w="556"/>
        <w:gridCol w:w="134"/>
        <w:gridCol w:w="134"/>
        <w:gridCol w:w="136"/>
        <w:gridCol w:w="109"/>
        <w:gridCol w:w="109"/>
        <w:gridCol w:w="109"/>
        <w:gridCol w:w="606"/>
        <w:gridCol w:w="606"/>
        <w:gridCol w:w="858"/>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IMMUNITYBIO,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June 10,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David C. Sachs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David C. Sachs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3839</Characters>
  <CharactersWithSpaces>4412</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