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001-37507</w:t>
      </w:r>
    </w:p>
    <w:p>
      <w:pPr>
        <w:spacing w:after="0" w:line="25"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IMMUNITYBIO,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jc w:val="center"/>
              <w:ind w:left="1004"/>
              <w:spacing w:after="0"/>
              <w:rPr>
                <w:sz w:val="20"/>
                <w:szCs w:val="20"/>
                <w:color w:val="auto"/>
              </w:rPr>
            </w:pPr>
            <w:r>
              <w:rPr>
                <w:rFonts w:ascii="Arial" w:cs="Arial" w:eastAsia="Arial" w:hAnsi="Arial"/>
                <w:sz w:val="16"/>
                <w:szCs w:val="16"/>
                <w:b w:val="1"/>
                <w:bCs w:val="1"/>
                <w:color w:val="auto"/>
                <w:w w:val="93"/>
              </w:rPr>
              <w:t>Delaware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0" w:type="dxa"/>
            <w:vAlign w:val="bottom"/>
          </w:tcPr>
          <w:p>
            <w:pPr>
              <w:jc w:val="right"/>
              <w:ind w:right="2345"/>
              <w:spacing w:after="0"/>
              <w:rPr>
                <w:sz w:val="20"/>
                <w:szCs w:val="20"/>
                <w:color w:val="auto"/>
              </w:rPr>
            </w:pPr>
            <w:r>
              <w:rPr>
                <w:rFonts w:ascii="Arial" w:cs="Arial" w:eastAsia="Arial" w:hAnsi="Arial"/>
                <w:sz w:val="16"/>
                <w:szCs w:val="16"/>
                <w:b w:val="1"/>
                <w:bCs w:val="1"/>
                <w:color w:val="auto"/>
              </w:rPr>
              <w:t>43-1979754</w:t>
            </w:r>
          </w:p>
        </w:tc>
      </w:tr>
      <w:tr>
        <w:trPr>
          <w:trHeight w:val="172"/>
        </w:trPr>
        <w:tc>
          <w:tcPr>
            <w:tcW w:w="4540" w:type="dxa"/>
            <w:vAlign w:val="bottom"/>
            <w:gridSpan w:val="2"/>
          </w:tcPr>
          <w:p>
            <w:pPr>
              <w:jc w:val="center"/>
              <w:ind w:left="1024"/>
              <w:spacing w:after="0"/>
              <w:rPr>
                <w:sz w:val="20"/>
                <w:szCs w:val="20"/>
                <w:color w:val="auto"/>
              </w:rPr>
            </w:pPr>
            <w:r>
              <w:rPr>
                <w:rFonts w:ascii="Arial" w:cs="Arial" w:eastAsia="Arial" w:hAnsi="Arial"/>
                <w:sz w:val="14"/>
                <w:szCs w:val="14"/>
                <w:b w:val="1"/>
                <w:bCs w:val="1"/>
                <w:color w:val="auto"/>
                <w:w w:val="93"/>
              </w:rPr>
              <w:t>(State or other jurisdiction of</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0" w:type="dxa"/>
            <w:vAlign w:val="bottom"/>
          </w:tcPr>
          <w:p>
            <w:pPr>
              <w:jc w:val="center"/>
              <w:ind w:right="192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2"/>
          </w:tcPr>
          <w:p>
            <w:pPr>
              <w:jc w:val="center"/>
              <w:ind w:left="1024"/>
              <w:spacing w:after="0"/>
              <w:rPr>
                <w:sz w:val="20"/>
                <w:szCs w:val="20"/>
                <w:color w:val="auto"/>
              </w:rPr>
            </w:pPr>
            <w:r>
              <w:rPr>
                <w:rFonts w:ascii="Arial" w:cs="Arial" w:eastAsia="Arial" w:hAnsi="Arial"/>
                <w:sz w:val="14"/>
                <w:szCs w:val="14"/>
                <w:b w:val="1"/>
                <w:bCs w:val="1"/>
                <w:color w:val="auto"/>
                <w:w w:val="94"/>
              </w:rPr>
              <w:t>incorporation or organization)</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0" w:type="dxa"/>
            <w:vAlign w:val="bottom"/>
          </w:tcPr>
          <w:p>
            <w:pPr>
              <w:jc w:val="center"/>
              <w:ind w:right="1945"/>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4540" w:type="dxa"/>
            <w:vAlign w:val="bottom"/>
            <w:gridSpan w:val="2"/>
          </w:tcPr>
          <w:p>
            <w:pPr>
              <w:jc w:val="center"/>
              <w:ind w:left="1004"/>
              <w:spacing w:after="0"/>
              <w:rPr>
                <w:sz w:val="20"/>
                <w:szCs w:val="20"/>
                <w:color w:val="auto"/>
              </w:rPr>
            </w:pPr>
            <w:r>
              <w:rPr>
                <w:rFonts w:ascii="Arial" w:cs="Arial" w:eastAsia="Arial" w:hAnsi="Arial"/>
                <w:sz w:val="16"/>
                <w:szCs w:val="16"/>
                <w:b w:val="1"/>
                <w:bCs w:val="1"/>
                <w:color w:val="auto"/>
                <w:w w:val="92"/>
              </w:rPr>
              <w:t>3530 John Hopkins Court</w:t>
            </w: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210"/>
        </w:trPr>
        <w:tc>
          <w:tcPr>
            <w:tcW w:w="4540" w:type="dxa"/>
            <w:vAlign w:val="bottom"/>
            <w:gridSpan w:val="2"/>
          </w:tcPr>
          <w:p>
            <w:pPr>
              <w:jc w:val="center"/>
              <w:ind w:left="1024"/>
              <w:spacing w:after="0"/>
              <w:rPr>
                <w:sz w:val="20"/>
                <w:szCs w:val="20"/>
                <w:color w:val="auto"/>
              </w:rPr>
            </w:pPr>
            <w:r>
              <w:rPr>
                <w:rFonts w:ascii="Arial" w:cs="Arial" w:eastAsia="Arial" w:hAnsi="Arial"/>
                <w:sz w:val="16"/>
                <w:szCs w:val="16"/>
                <w:b w:val="1"/>
                <w:bCs w:val="1"/>
                <w:color w:val="auto"/>
                <w:w w:val="91"/>
              </w:rPr>
              <w:t>San Diego, California</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0" w:type="dxa"/>
            <w:vAlign w:val="bottom"/>
          </w:tcPr>
          <w:p>
            <w:pPr>
              <w:jc w:val="right"/>
              <w:ind w:right="2525"/>
              <w:spacing w:after="0"/>
              <w:rPr>
                <w:sz w:val="20"/>
                <w:szCs w:val="20"/>
                <w:color w:val="auto"/>
              </w:rPr>
            </w:pPr>
            <w:r>
              <w:rPr>
                <w:rFonts w:ascii="Arial" w:cs="Arial" w:eastAsia="Arial" w:hAnsi="Arial"/>
                <w:sz w:val="16"/>
                <w:szCs w:val="16"/>
                <w:b w:val="1"/>
                <w:bCs w:val="1"/>
                <w:color w:val="auto"/>
              </w:rPr>
              <w:t>92121</w:t>
            </w:r>
          </w:p>
        </w:tc>
      </w:tr>
      <w:tr>
        <w:trPr>
          <w:trHeight w:val="224"/>
        </w:trPr>
        <w:tc>
          <w:tcPr>
            <w:tcW w:w="4540" w:type="dxa"/>
            <w:vAlign w:val="bottom"/>
            <w:gridSpan w:val="2"/>
          </w:tcPr>
          <w:p>
            <w:pPr>
              <w:jc w:val="center"/>
              <w:ind w:left="100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0" w:type="dxa"/>
            <w:vAlign w:val="bottom"/>
          </w:tcPr>
          <w:p>
            <w:pPr>
              <w:jc w:val="center"/>
              <w:ind w:right="1945"/>
              <w:spacing w:after="0"/>
              <w:rPr>
                <w:sz w:val="20"/>
                <w:szCs w:val="20"/>
                <w:color w:val="auto"/>
              </w:rPr>
            </w:pPr>
            <w:r>
              <w:rPr>
                <w:rFonts w:ascii="Arial" w:cs="Arial" w:eastAsia="Arial" w:hAnsi="Arial"/>
                <w:sz w:val="14"/>
                <w:szCs w:val="14"/>
                <w:b w:val="1"/>
                <w:bCs w:val="1"/>
                <w:color w:val="auto"/>
                <w:w w:val="95"/>
              </w:rPr>
              <w:t>(Zip Code)</w:t>
            </w:r>
          </w:p>
        </w:tc>
      </w:tr>
      <w:tr>
        <w:trPr>
          <w:trHeight w:val="451"/>
        </w:trPr>
        <w:tc>
          <w:tcPr>
            <w:tcW w:w="112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(858) 633-0300</w:t>
            </w:r>
          </w:p>
        </w:tc>
      </w:tr>
      <w:tr>
        <w:trPr>
          <w:trHeight w:val="257"/>
        </w:trPr>
        <w:tc>
          <w:tcPr>
            <w:tcW w:w="7640" w:type="dxa"/>
            <w:vAlign w:val="bottom"/>
            <w:gridSpan w:val="5"/>
          </w:tcPr>
          <w:p>
            <w:pPr>
              <w:jc w:val="center"/>
              <w:ind w:left="35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00" w:type="dxa"/>
            <w:vAlign w:val="bottom"/>
          </w:tcPr>
          <w:p>
            <w:pPr>
              <w:spacing w:after="0"/>
              <w:rPr>
                <w:sz w:val="22"/>
                <w:szCs w:val="22"/>
                <w:color w:val="auto"/>
              </w:rPr>
            </w:pPr>
          </w:p>
        </w:tc>
      </w:tr>
      <w:tr>
        <w:trPr>
          <w:trHeight w:val="264"/>
        </w:trPr>
        <w:tc>
          <w:tcPr>
            <w:tcW w:w="4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1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ind w:right="785"/>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4"/>
        </w:trPr>
        <w:tc>
          <w:tcPr>
            <w:tcW w:w="4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Stock, par value $0.0001 per share</w:t>
            </w:r>
          </w:p>
        </w:tc>
        <w:tc>
          <w:tcPr>
            <w:tcW w:w="31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IBRX</w:t>
            </w:r>
          </w:p>
        </w:tc>
        <w:tc>
          <w:tcPr>
            <w:tcW w:w="3600" w:type="dxa"/>
            <w:vAlign w:val="bottom"/>
          </w:tcPr>
          <w:p>
            <w:pPr>
              <w:jc w:val="center"/>
              <w:ind w:right="785"/>
              <w:spacing w:after="0"/>
              <w:rPr>
                <w:sz w:val="20"/>
                <w:szCs w:val="20"/>
                <w:color w:val="auto"/>
              </w:rPr>
            </w:pPr>
            <w:r>
              <w:rPr>
                <w:rFonts w:ascii="Arial" w:cs="Arial" w:eastAsia="Arial" w:hAnsi="Arial"/>
                <w:sz w:val="14"/>
                <w:szCs w:val="14"/>
                <w:b w:val="1"/>
                <w:bCs w:val="1"/>
                <w:color w:val="auto"/>
                <w:w w:val="95"/>
              </w:rPr>
              <w:t>The Nasdaq Global Select Market</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ind w:left="5440"/>
        <w:spacing w:after="0"/>
        <w:rPr>
          <w:sz w:val="20"/>
          <w:szCs w:val="20"/>
          <w:color w:val="auto"/>
        </w:rPr>
      </w:pPr>
      <w:r>
        <w:rPr>
          <w:rFonts w:ascii="Arial" w:cs="Arial" w:eastAsia="Arial" w:hAnsi="Arial"/>
          <w:sz w:val="16"/>
          <w:szCs w:val="16"/>
          <w:color w:val="auto"/>
        </w:rPr>
        <w:t>None</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360" w:type="dxa"/>
        <w:tblCellMar>
          <w:top w:w="0" w:type="dxa"/>
          <w:left w:w="0" w:type="dxa"/>
          <w:bottom w:w="0" w:type="dxa"/>
          <w:right w:w="0" w:type="dxa"/>
        </w:tblCellMar>
      </w:tblPr>
      <w:tr>
        <w:trPr>
          <w:trHeight w:val="254"/>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2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4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220"/>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its audit report. </w:t>
      </w:r>
      <w:r>
        <w:rPr>
          <w:rFonts w:ascii="MS PGothic" w:cs="MS PGothic" w:eastAsia="MS PGothic" w:hAnsi="MS PGothic"/>
          <w:sz w:val="15"/>
          <w:szCs w:val="15"/>
          <w:color w:val="auto"/>
        </w:rPr>
        <w:t>☑</w:t>
      </w:r>
    </w:p>
    <w:p>
      <w:pPr>
        <w:spacing w:after="0" w:line="60"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4"/>
          <w:szCs w:val="24"/>
          <w:color w:val="auto"/>
        </w:rPr>
      </w:pPr>
    </w:p>
    <w:p>
      <w:pPr>
        <w:ind w:right="320"/>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based on the closing price of shares of common stock on the Nasdaq Global Select Market on June 30, 2022 was approximately $302.1 million.</w:t>
      </w:r>
    </w:p>
    <w:p>
      <w:pPr>
        <w:spacing w:after="0" w:line="64"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The number of shares of the registrant’s common stock outstanding as of February 24, 2023 was 435,835,583 (excluding 163,800 shares held by a majority owned subsidiary of ours that are treated as treasury shares for accounting purposes).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300"/>
        <w:spacing w:after="0" w:line="269" w:lineRule="auto"/>
        <w:rPr>
          <w:sz w:val="20"/>
          <w:szCs w:val="20"/>
          <w:color w:val="auto"/>
        </w:rPr>
      </w:pPr>
      <w:r>
        <w:rPr>
          <w:rFonts w:ascii="Arial" w:cs="Arial" w:eastAsia="Arial" w:hAnsi="Arial"/>
          <w:sz w:val="16"/>
          <w:szCs w:val="16"/>
          <w:color w:val="auto"/>
        </w:rPr>
        <w:t>As noted herein, the information called for by Part III of this Annual Report on Form 10-K is incorporated by reference to specified portions of the registrant’s definitive proxy statement to be filed in conjunction with the registrant’s 2023 Annual Meeting of Stockholders, which is expected to be filed not later than 120 days after the registrant’s fiscal year ended December 31, 2022.</w:t>
      </w:r>
    </w:p>
    <w:p>
      <w:pPr>
        <w:sectPr>
          <w:pgSz w:w="11900" w:h="16852" w:orient="portrait"/>
          <w:cols w:equalWidth="0" w:num="1">
            <w:col w:w="11240"/>
          </w:cols>
          <w:pgMar w:left="320" w:top="233" w:right="339" w:bottom="0" w:gutter="0" w:footer="0" w:header="0"/>
        </w:sectPr>
      </w:pPr>
    </w:p>
    <w:bookmarkStart w:id="1" w:name="page2"/>
    <w:bookmarkEnd w:id="1"/>
    <w:p>
      <w:pPr>
        <w:spacing w:after="0" w:line="26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684530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80" w:type="dxa"/>
            <w:vAlign w:val="bottom"/>
            <w:gridSpan w:val="11"/>
          </w:tcPr>
          <w:p>
            <w:pPr>
              <w:jc w:val="center"/>
              <w:ind w:right="2900"/>
              <w:spacing w:after="0"/>
              <w:rPr>
                <w:sz w:val="20"/>
                <w:szCs w:val="20"/>
                <w:color w:val="auto"/>
              </w:rPr>
            </w:pPr>
            <w:r>
              <w:rPr>
                <w:rFonts w:ascii="Arial" w:cs="Arial" w:eastAsia="Arial" w:hAnsi="Arial"/>
                <w:sz w:val="18"/>
                <w:szCs w:val="18"/>
                <w:b w:val="1"/>
                <w:bCs w:val="1"/>
                <w:color w:val="auto"/>
              </w:rPr>
              <w:t>IMMUNITYBIO,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9"/>
              </w:rPr>
              <w:t>ANNUAL REPORT ON FORM 10-K</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gridSpan w:val="14"/>
          </w:tcPr>
          <w:p>
            <w:pPr>
              <w:jc w:val="center"/>
              <w:ind w:right="2100"/>
              <w:spacing w:after="0"/>
              <w:rPr>
                <w:sz w:val="20"/>
                <w:szCs w:val="20"/>
                <w:color w:val="auto"/>
              </w:rPr>
            </w:pPr>
            <w:r>
              <w:rPr>
                <w:rFonts w:ascii="Arial" w:cs="Arial" w:eastAsia="Arial" w:hAnsi="Arial"/>
                <w:sz w:val="18"/>
                <w:szCs w:val="18"/>
                <w:b w:val="1"/>
                <w:bCs w:val="1"/>
                <w:color w:val="auto"/>
                <w:w w:val="98"/>
              </w:rPr>
              <w:t>FOR THE YEAR ENDED DECEMBER 31, 2022</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jc w:val="right"/>
              <w:ind w:right="5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0" w:type="dxa"/>
            <w:vAlign w:val="bottom"/>
            <w:gridSpan w:val="9"/>
            <w:shd w:val="clear" w:color="auto" w:fill="CCEEFF"/>
          </w:tcPr>
          <w:p>
            <w:pPr>
              <w:jc w:val="center"/>
              <w:ind w:right="3380"/>
              <w:spacing w:after="0"/>
              <w:rPr>
                <w:sz w:val="20"/>
                <w:szCs w:val="20"/>
                <w:color w:val="auto"/>
              </w:rPr>
            </w:pPr>
            <w:r>
              <w:rPr>
                <w:rFonts w:ascii="Arial" w:cs="Arial" w:eastAsia="Arial" w:hAnsi="Arial"/>
                <w:sz w:val="18"/>
                <w:szCs w:val="18"/>
                <w:b w:val="1"/>
                <w:bCs w:val="1"/>
                <w:color w:val="auto"/>
                <w:w w:val="98"/>
              </w:rPr>
              <w:t>PART I</w:t>
            </w: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1.</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Business.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1A.</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Risk Factors.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1B.</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Unresolved Staff Comments.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2.</w:t>
            </w:r>
          </w:p>
        </w:tc>
        <w:tc>
          <w:tcPr>
            <w:tcW w:w="780" w:type="dxa"/>
            <w:vAlign w:val="bottom"/>
            <w:tcBorders>
              <w:bottom w:val="single" w:sz="8" w:color="0000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87"/>
              </w:rPr>
              <w:t>Properties.</w:t>
            </w:r>
          </w:p>
        </w:tc>
        <w:tc>
          <w:tcPr>
            <w:tcW w:w="7400" w:type="dxa"/>
            <w:vAlign w:val="bottom"/>
            <w:tcBorders>
              <w:bottom w:val="single" w:sz="8" w:color="CCEEFF"/>
            </w:tcBorders>
            <w:gridSpan w:val="21"/>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3.</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4.</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Mine Safety Disclosures.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0" w:type="dxa"/>
            <w:vAlign w:val="bottom"/>
            <w:gridSpan w:val="9"/>
            <w:shd w:val="clear" w:color="auto" w:fill="CCEEFF"/>
          </w:tcPr>
          <w:p>
            <w:pPr>
              <w:jc w:val="center"/>
              <w:ind w:right="3380"/>
              <w:spacing w:after="0"/>
              <w:rPr>
                <w:sz w:val="20"/>
                <w:szCs w:val="20"/>
                <w:color w:val="auto"/>
              </w:rPr>
            </w:pPr>
            <w:r>
              <w:rPr>
                <w:rFonts w:ascii="Arial" w:cs="Arial" w:eastAsia="Arial" w:hAnsi="Arial"/>
                <w:sz w:val="18"/>
                <w:szCs w:val="18"/>
                <w:b w:val="1"/>
                <w:bCs w:val="1"/>
                <w:color w:val="auto"/>
              </w:rPr>
              <w:t>PART II</w:t>
            </w: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5.</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22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Issuer Purchases of Equity Securities.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6.</w:t>
            </w:r>
          </w:p>
        </w:tc>
        <w:tc>
          <w:tcPr>
            <w:tcW w:w="720" w:type="dxa"/>
            <w:vAlign w:val="bottom"/>
            <w:tcBorders>
              <w:bottom w:val="single" w:sz="8" w:color="0000FF"/>
            </w:tcBorders>
            <w:gridSpan w:val="3"/>
            <w:shd w:val="clear" w:color="auto" w:fill="CCEEFF"/>
          </w:tcPr>
          <w:p>
            <w:pPr>
              <w:spacing w:after="0" w:line="202" w:lineRule="exact"/>
              <w:rPr>
                <w:sz w:val="20"/>
                <w:szCs w:val="20"/>
                <w:color w:val="auto"/>
              </w:rPr>
            </w:pPr>
            <w:r>
              <w:rPr>
                <w:rFonts w:ascii="Arial" w:cs="Arial" w:eastAsia="Arial" w:hAnsi="Arial"/>
                <w:sz w:val="18"/>
                <w:szCs w:val="18"/>
                <w:color w:val="0000FF"/>
                <w:w w:val="85"/>
              </w:rPr>
              <w:t>Reserved.</w:t>
            </w:r>
          </w:p>
        </w:tc>
        <w:tc>
          <w:tcPr>
            <w:tcW w:w="7460" w:type="dxa"/>
            <w:vAlign w:val="bottom"/>
            <w:tcBorders>
              <w:bottom w:val="single" w:sz="8" w:color="CCEEFF"/>
            </w:tcBorders>
            <w:gridSpan w:val="2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7.</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7A.</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Item 8.</w:t>
            </w:r>
          </w:p>
        </w:tc>
        <w:tc>
          <w:tcPr>
            <w:tcW w:w="440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Financial Statements and Supplementary Data.</w:t>
            </w:r>
          </w:p>
        </w:tc>
        <w:tc>
          <w:tcPr>
            <w:tcW w:w="378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9.</w:t>
            </w:r>
          </w:p>
        </w:tc>
        <w:tc>
          <w:tcPr>
            <w:tcW w:w="6520" w:type="dxa"/>
            <w:vAlign w:val="bottom"/>
            <w:tcBorders>
              <w:bottom w:val="single" w:sz="8" w:color="0000FF"/>
            </w:tcBorders>
            <w:gridSpan w:val="24"/>
            <w:shd w:val="clear" w:color="auto" w:fill="CCEEFF"/>
          </w:tcPr>
          <w:p>
            <w:pPr>
              <w:spacing w:after="0" w:line="202" w:lineRule="exact"/>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16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9A.</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Controls and Procedures.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9B.</w:t>
            </w:r>
          </w:p>
        </w:tc>
        <w:tc>
          <w:tcPr>
            <w:tcW w:w="1360" w:type="dxa"/>
            <w:vAlign w:val="bottom"/>
            <w:tcBorders>
              <w:bottom w:val="single" w:sz="8" w:color="0000FF"/>
            </w:tcBorders>
            <w:gridSpan w:val="6"/>
            <w:shd w:val="clear" w:color="auto" w:fill="CCEEFF"/>
          </w:tcPr>
          <w:p>
            <w:pPr>
              <w:spacing w:after="0" w:line="202" w:lineRule="exact"/>
              <w:rPr>
                <w:sz w:val="20"/>
                <w:szCs w:val="20"/>
                <w:color w:val="auto"/>
              </w:rPr>
            </w:pPr>
            <w:r>
              <w:rPr>
                <w:rFonts w:ascii="Arial" w:cs="Arial" w:eastAsia="Arial" w:hAnsi="Arial"/>
                <w:sz w:val="18"/>
                <w:szCs w:val="18"/>
                <w:color w:val="0000FF"/>
                <w:w w:val="92"/>
              </w:rPr>
              <w:t>Other Information.</w:t>
            </w:r>
          </w:p>
        </w:tc>
        <w:tc>
          <w:tcPr>
            <w:tcW w:w="6820" w:type="dxa"/>
            <w:vAlign w:val="bottom"/>
            <w:tcBorders>
              <w:bottom w:val="single" w:sz="8" w:color="CCEEFF"/>
            </w:tcBorders>
            <w:gridSpan w:val="19"/>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9C.</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PART III</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Item 10.</w:t>
            </w:r>
          </w:p>
        </w:tc>
        <w:tc>
          <w:tcPr>
            <w:tcW w:w="4140" w:type="dxa"/>
            <w:vAlign w:val="bottom"/>
            <w:tcBorders>
              <w:bottom w:val="single" w:sz="8" w:color="0000FF"/>
            </w:tcBorders>
            <w:gridSpan w:val="17"/>
            <w:shd w:val="clear" w:color="auto" w:fill="CCEEFF"/>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040" w:type="dxa"/>
            <w:vAlign w:val="bottom"/>
            <w:tcBorders>
              <w:bottom w:val="single" w:sz="8" w:color="CCEEFF"/>
            </w:tcBorders>
            <w:gridSpan w:val="8"/>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11.</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Executive Compensation.</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12.</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Security Ownership of Certain Beneficial Owners and Management and</w:t>
            </w: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2100" w:type="dxa"/>
            <w:vAlign w:val="bottom"/>
            <w:tcBorders>
              <w:top w:val="single" w:sz="8" w:color="0000FF"/>
              <w:bottom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w w:val="89"/>
              </w:rPr>
              <w:t>Related Stockholder Matters.</w:t>
            </w:r>
          </w:p>
        </w:tc>
        <w:tc>
          <w:tcPr>
            <w:tcW w:w="2940" w:type="dxa"/>
            <w:vAlign w:val="bottom"/>
            <w:tcBorders>
              <w:top w:val="single" w:sz="8" w:color="0000FF"/>
              <w:bottom w:val="single" w:sz="8" w:color="CCEEFF"/>
            </w:tcBorders>
            <w:gridSpan w:val="8"/>
            <w:shd w:val="clear" w:color="auto" w:fill="CCEEFF"/>
          </w:tcPr>
          <w:p>
            <w:pPr>
              <w:spacing w:after="0"/>
              <w:rPr>
                <w:sz w:val="20"/>
                <w:szCs w:val="20"/>
                <w:color w:val="auto"/>
              </w:rPr>
            </w:pPr>
          </w:p>
        </w:tc>
        <w:tc>
          <w:tcPr>
            <w:tcW w:w="3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68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Item 13.</w:t>
            </w:r>
          </w:p>
        </w:tc>
        <w:tc>
          <w:tcPr>
            <w:tcW w:w="8180" w:type="dxa"/>
            <w:vAlign w:val="bottom"/>
            <w:gridSpan w:val="25"/>
          </w:tcPr>
          <w:p>
            <w:pPr>
              <w:spacing w:after="0" w:line="20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14.</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Principal Accountant Fees and Services.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0" w:type="dxa"/>
            <w:vAlign w:val="bottom"/>
            <w:gridSpan w:val="9"/>
            <w:shd w:val="clear" w:color="auto" w:fill="CCEEFF"/>
          </w:tcPr>
          <w:p>
            <w:pPr>
              <w:jc w:val="center"/>
              <w:ind w:right="3400"/>
              <w:spacing w:after="0"/>
              <w:rPr>
                <w:sz w:val="20"/>
                <w:szCs w:val="20"/>
                <w:color w:val="auto"/>
              </w:rPr>
            </w:pPr>
            <w:r>
              <w:rPr>
                <w:rFonts w:ascii="Arial" w:cs="Arial" w:eastAsia="Arial" w:hAnsi="Arial"/>
                <w:sz w:val="18"/>
                <w:szCs w:val="18"/>
                <w:b w:val="1"/>
                <w:bCs w:val="1"/>
                <w:color w:val="auto"/>
              </w:rPr>
              <w:t>PART IV</w:t>
            </w: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Item 15.</w:t>
            </w:r>
          </w:p>
        </w:tc>
        <w:tc>
          <w:tcPr>
            <w:tcW w:w="81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Item 16.</w:t>
            </w:r>
          </w:p>
        </w:tc>
        <w:tc>
          <w:tcPr>
            <w:tcW w:w="3200" w:type="dxa"/>
            <w:vAlign w:val="bottom"/>
            <w:tcBorders>
              <w:top w:val="single" w:sz="8" w:color="0000FF"/>
            </w:tcBorders>
            <w:gridSpan w:val="15"/>
          </w:tcPr>
          <w:p>
            <w:pPr>
              <w:spacing w:after="0" w:line="202" w:lineRule="exact"/>
              <w:rPr>
                <w:sz w:val="20"/>
                <w:szCs w:val="20"/>
                <w:color w:val="auto"/>
              </w:rPr>
            </w:pPr>
            <w:r>
              <w:rPr>
                <w:rFonts w:ascii="Arial" w:cs="Arial" w:eastAsia="Arial" w:hAnsi="Arial"/>
                <w:sz w:val="18"/>
                <w:szCs w:val="18"/>
                <w:color w:val="0000FF"/>
              </w:rPr>
              <w:t>Form 10-K Summary.</w:t>
            </w:r>
          </w:p>
        </w:tc>
        <w:tc>
          <w:tcPr>
            <w:tcW w:w="4980" w:type="dxa"/>
            <w:vAlign w:val="bottom"/>
            <w:tcBorders>
              <w:top w:val="single" w:sz="8" w:color="CCEEFF"/>
            </w:tcBorders>
            <w:gridSpan w:val="10"/>
          </w:tcPr>
          <w:p>
            <w:pPr>
              <w:spacing w:after="0"/>
              <w:rPr>
                <w:sz w:val="17"/>
                <w:szCs w:val="17"/>
                <w:color w:val="auto"/>
              </w:rPr>
            </w:pPr>
          </w:p>
        </w:tc>
        <w:tc>
          <w:tcPr>
            <w:tcW w:w="15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FF"/>
              </w:rPr>
              <w:t>Signatures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This Annual Report on Form 10-K (Annual Report) contains forward-looking statements within the meaning of Section 27A of the Securities Act of 1933, as amended (Securities Act), and Section 21E of the Securities Exchange Act of 1934, as amended (Exchange Act), that are based on our management’s beliefs and assumptions and on information currently available to our management. Forward-looking statements may include, but are not limited to:</w:t>
      </w:r>
    </w:p>
    <w:p>
      <w:pPr>
        <w:spacing w:after="0" w:line="79" w:lineRule="exact"/>
        <w:rPr>
          <w:sz w:val="20"/>
          <w:szCs w:val="20"/>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develop next-generation therapies and vaccines that complement, harness, and amplify the immune system to defeat cancers and infectious diseases;</w:t>
      </w:r>
    </w:p>
    <w:p>
      <w:pPr>
        <w:spacing w:after="0" w:line="62"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obtain funding for our operations, including funding necessary to complete further development and any commercialization of our product candidates;</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regarding the potential benefits of our strategy and technology;</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regarding the operation and effectiveness of our product candidates and related benefits;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utilize multiple modes to induce cell death;</w:t>
      </w:r>
    </w:p>
    <w:p>
      <w:pPr>
        <w:spacing w:after="0" w:line="117"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beliefs regarding the benefits and perceived limitations of competing approaches, and the future of competing technologies and our industry;</w:t>
      </w:r>
    </w:p>
    <w:p>
      <w:pPr>
        <w:spacing w:after="0" w:line="62" w:lineRule="exact"/>
        <w:rPr>
          <w:rFonts w:ascii="Arial" w:cs="Arial" w:eastAsia="Arial" w:hAnsi="Arial"/>
          <w:sz w:val="18"/>
          <w:szCs w:val="18"/>
          <w:b w:val="1"/>
          <w:bCs w:val="1"/>
          <w:color w:val="auto"/>
        </w:rPr>
      </w:pPr>
    </w:p>
    <w:p>
      <w:pPr>
        <w:ind w:left="980" w:right="46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details regarding our strategic vision and planned product candidate pipeline, including that we eventually plan to advance vaccines and therapies for virally-induced infectious diseases;</w:t>
      </w:r>
    </w:p>
    <w:p>
      <w:pPr>
        <w:spacing w:after="0" w:line="62" w:lineRule="exact"/>
        <w:rPr>
          <w:rFonts w:ascii="Arial" w:cs="Arial" w:eastAsia="Arial" w:hAnsi="Arial"/>
          <w:sz w:val="18"/>
          <w:szCs w:val="18"/>
          <w:b w:val="1"/>
          <w:bCs w:val="1"/>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beliefs regarding the success, cost and timing of our product candidate development activities and current and future clinical trials and studies, including study design and the enrollment of patients;</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timing of the development and commercialization of our product candidates;</w:t>
      </w:r>
    </w:p>
    <w:p>
      <w:pPr>
        <w:spacing w:after="0" w:line="111" w:lineRule="exact"/>
        <w:rPr>
          <w:rFonts w:ascii="Arial" w:cs="Arial" w:eastAsia="Arial" w:hAnsi="Arial"/>
          <w:sz w:val="18"/>
          <w:szCs w:val="18"/>
          <w:b w:val="1"/>
          <w:bCs w:val="1"/>
          <w:color w:val="auto"/>
        </w:rPr>
      </w:pPr>
    </w:p>
    <w:p>
      <w:pPr>
        <w:ind w:left="980" w:right="200" w:hanging="324"/>
        <w:spacing w:after="0" w:line="261" w:lineRule="exact"/>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regarding our ability to utilize the Phase 1/2 aNK and haNK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clinical trials data to support the development of our product candidates, including our haNK, taNK, t</w:t>
      </w:r>
      <w:r>
        <w:rPr>
          <w:rFonts w:ascii="MS PGothic" w:cs="MS PGothic" w:eastAsia="MS PGothic" w:hAnsi="MS PGothic"/>
          <w:sz w:val="18"/>
          <w:szCs w:val="18"/>
          <w:color w:val="auto"/>
        </w:rPr>
        <w:t>‑</w:t>
      </w:r>
      <w:r>
        <w:rPr>
          <w:rFonts w:ascii="Arial" w:cs="Arial" w:eastAsia="Arial" w:hAnsi="Arial"/>
          <w:sz w:val="18"/>
          <w:szCs w:val="18"/>
          <w:color w:val="auto"/>
        </w:rPr>
        <w:t>haNK</w:t>
      </w:r>
      <w:r>
        <w:rPr>
          <w:rFonts w:ascii="Arial" w:cs="Arial" w:eastAsia="Arial" w:hAnsi="Arial"/>
          <w:sz w:val="23"/>
          <w:szCs w:val="23"/>
          <w:color w:val="auto"/>
          <w:vertAlign w:val="superscript"/>
        </w:rPr>
        <w:t>™</w:t>
      </w:r>
      <w:r>
        <w:rPr>
          <w:rFonts w:ascii="Arial" w:cs="Arial" w:eastAsia="Arial" w:hAnsi="Arial"/>
          <w:sz w:val="18"/>
          <w:szCs w:val="18"/>
          <w:color w:val="auto"/>
        </w:rPr>
        <w:t>, MSC, and M-ceNK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candidates;</w:t>
      </w:r>
    </w:p>
    <w:p>
      <w:pPr>
        <w:spacing w:after="0" w:line="25" w:lineRule="exact"/>
        <w:rPr>
          <w:rFonts w:ascii="Arial" w:cs="Arial" w:eastAsia="Arial" w:hAnsi="Arial"/>
          <w:sz w:val="18"/>
          <w:szCs w:val="18"/>
          <w:b w:val="1"/>
          <w:bCs w:val="1"/>
          <w:color w:val="auto"/>
        </w:rPr>
      </w:pPr>
    </w:p>
    <w:p>
      <w:pPr>
        <w:ind w:left="980" w:right="520" w:hanging="324"/>
        <w:spacing w:after="0" w:line="234"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our expectations regarding the development, application, commercialization, marketing, prospects and use generally of our product candidates, including Anktiva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(N-803), saRNA, hAd5 and yeast constructs, recombinant subunit proteins, toll-like receptor-activating adjuvants, and aldoxorubicin;</w:t>
      </w:r>
    </w:p>
    <w:p>
      <w:pPr>
        <w:spacing w:after="0" w:line="94" w:lineRule="exact"/>
        <w:rPr>
          <w:rFonts w:ascii="Arial" w:cs="Arial" w:eastAsia="Arial" w:hAnsi="Arial"/>
          <w:sz w:val="18"/>
          <w:szCs w:val="18"/>
          <w:b w:val="1"/>
          <w:bCs w:val="1"/>
          <w:i w:val="1"/>
          <w:iCs w:val="1"/>
          <w:color w:val="auto"/>
        </w:rPr>
      </w:pPr>
    </w:p>
    <w:p>
      <w:pPr>
        <w:jc w:val="both"/>
        <w:ind w:left="980" w:right="40" w:hanging="324"/>
        <w:spacing w:after="0" w:line="263"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timing or likelihood of regulatory filings or other actions and related regulatory authority responses, including any planned investigational new drug (IND), Biologics License Application (BLA) or New Drug Application (NDA) filings or pursuit of accelerated regulatory approval pathways or orphan drug status and </w:t>
      </w:r>
      <w:r>
        <w:rPr>
          <w:rFonts w:ascii="Arial" w:cs="Arial" w:eastAsia="Arial" w:hAnsi="Arial"/>
          <w:sz w:val="18"/>
          <w:szCs w:val="18"/>
          <w:i w:val="1"/>
          <w:iCs w:val="1"/>
          <w:color w:val="auto"/>
        </w:rPr>
        <w:t>Breakthrough Therapy</w:t>
      </w:r>
      <w:r>
        <w:rPr>
          <w:rFonts w:ascii="Arial" w:cs="Arial" w:eastAsia="Arial" w:hAnsi="Arial"/>
          <w:sz w:val="18"/>
          <w:szCs w:val="18"/>
          <w:color w:val="auto"/>
        </w:rPr>
        <w:t xml:space="preserve"> designations;</w:t>
      </w:r>
    </w:p>
    <w:p>
      <w:pPr>
        <w:spacing w:after="0" w:line="75" w:lineRule="exact"/>
        <w:rPr>
          <w:rFonts w:ascii="Arial" w:cs="Arial" w:eastAsia="Arial" w:hAnsi="Arial"/>
          <w:sz w:val="18"/>
          <w:szCs w:val="18"/>
          <w:b w:val="1"/>
          <w:bCs w:val="1"/>
          <w:color w:val="auto"/>
        </w:rPr>
      </w:pPr>
    </w:p>
    <w:p>
      <w:pPr>
        <w:ind w:left="980" w:hanging="324"/>
        <w:spacing w:after="0" w:line="207" w:lineRule="exact"/>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implement and support our SARS-CoV-2 (COVID</w:t>
      </w:r>
      <w:r>
        <w:rPr>
          <w:rFonts w:ascii="MS PGothic" w:cs="MS PGothic" w:eastAsia="MS PGothic" w:hAnsi="MS PGothic"/>
          <w:sz w:val="18"/>
          <w:szCs w:val="18"/>
          <w:color w:val="auto"/>
        </w:rPr>
        <w:t>‑</w:t>
      </w:r>
      <w:r>
        <w:rPr>
          <w:rFonts w:ascii="Arial" w:cs="Arial" w:eastAsia="Arial" w:hAnsi="Arial"/>
          <w:sz w:val="18"/>
          <w:szCs w:val="18"/>
          <w:color w:val="auto"/>
        </w:rPr>
        <w:t>19) vaccine and therapeutic programs;</w:t>
      </w:r>
    </w:p>
    <w:p>
      <w:pPr>
        <w:spacing w:after="0" w:line="117"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implement an integrated discovery ecosystem and the operation of that planned ecosystem, including being able to regularly add neoepitopes and subsequently formulate new product candidates;</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and willingness of strategic collaborators to share our vision and effectively work with us to achieve our goals;</w:t>
      </w:r>
    </w:p>
    <w:p>
      <w:pPr>
        <w:spacing w:after="0" w:line="117"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and willingness of various third parties to engage in research and development activities involving our product candidates, and our ability to leverage those activities;</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attract additional third-party collaborators;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regarding the ease of administration associated with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expectations regarding patient compatibility associated with our product candidates;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beliefs regarding the potential markets for our product candidates and our ability to serve those markets;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expectations regarding the timing of enrollment and submission of our clinical trials, and protocols related to such trials;</w:t>
      </w:r>
    </w:p>
    <w:p>
      <w:pPr>
        <w:spacing w:after="0" w:line="117" w:lineRule="exact"/>
        <w:rPr>
          <w:rFonts w:ascii="Arial" w:cs="Arial" w:eastAsia="Arial" w:hAnsi="Arial"/>
          <w:sz w:val="18"/>
          <w:szCs w:val="18"/>
          <w:b w:val="1"/>
          <w:bCs w:val="1"/>
          <w:color w:val="auto"/>
        </w:rPr>
      </w:pPr>
    </w:p>
    <w:p>
      <w:pPr>
        <w:ind w:left="980" w:right="44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produce an antibody cytokine fusion protein, a DNA, RNA, or recombinant protein vaccine, a toll-like receptor-activating adjuvant, an NK-cell or T-cell therapy, or a damage-associated molecular patterns (DAMP) inducer therapy;</w:t>
      </w:r>
    </w:p>
    <w:p>
      <w:pPr>
        <w:spacing w:after="0" w:line="62"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beliefs regarding the potential manufacturing and distribution benefits associated with our product candidates, and our ability to scale up the production of our product candidates;</w:t>
      </w:r>
    </w:p>
    <w:p>
      <w:pPr>
        <w:spacing w:after="0" w:line="62" w:lineRule="exact"/>
        <w:rPr>
          <w:rFonts w:ascii="Arial" w:cs="Arial" w:eastAsia="Arial" w:hAnsi="Arial"/>
          <w:sz w:val="18"/>
          <w:szCs w:val="18"/>
          <w:b w:val="1"/>
          <w:bCs w:val="1"/>
          <w:color w:val="auto"/>
        </w:rPr>
      </w:pPr>
    </w:p>
    <w:p>
      <w:pPr>
        <w:ind w:left="980" w:hanging="324"/>
        <w:spacing w:after="0" w:line="207" w:lineRule="exact"/>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plans regarding our manufacturing facilities and our belief that our manufacturing is capable of being conducted in</w:t>
      </w:r>
      <w:r>
        <w:rPr>
          <w:rFonts w:ascii="MS PGothic" w:cs="MS PGothic" w:eastAsia="MS PGothic" w:hAnsi="MS PGothic"/>
          <w:sz w:val="18"/>
          <w:szCs w:val="18"/>
          <w:color w:val="auto"/>
        </w:rPr>
        <w:t>‑</w:t>
      </w:r>
      <w:r>
        <w:rPr>
          <w:rFonts w:ascii="Arial" w:cs="Arial" w:eastAsia="Arial" w:hAnsi="Arial"/>
          <w:sz w:val="18"/>
          <w:szCs w:val="18"/>
          <w:color w:val="auto"/>
        </w:rPr>
        <w:t>house;</w:t>
      </w:r>
    </w:p>
    <w:p>
      <w:pPr>
        <w:spacing w:after="0" w:line="117" w:lineRule="exact"/>
        <w:rPr>
          <w:rFonts w:ascii="Arial" w:cs="Arial" w:eastAsia="Arial" w:hAnsi="Arial"/>
          <w:sz w:val="18"/>
          <w:szCs w:val="18"/>
          <w:b w:val="1"/>
          <w:bCs w:val="1"/>
          <w:color w:val="auto"/>
        </w:rPr>
      </w:pPr>
    </w:p>
    <w:p>
      <w:pPr>
        <w:ind w:left="980" w:right="60" w:hanging="324"/>
        <w:spacing w:after="0" w:line="263"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belief in the potential of our antibody cytokine fusion proteins, DNA, RNA or recombinant protein vaccines, toll-like receptor-activating adjuvants, NK-cell therapies, or DAMP inducer platforms, and the fact that our business is based upon the success individually and collectively of these platforms;</w:t>
      </w:r>
    </w:p>
    <w:p>
      <w:pPr>
        <w:spacing w:after="0" w:line="75" w:lineRule="exact"/>
        <w:rPr>
          <w:rFonts w:ascii="Arial" w:cs="Arial" w:eastAsia="Arial" w:hAnsi="Arial"/>
          <w:sz w:val="18"/>
          <w:szCs w:val="18"/>
          <w:b w:val="1"/>
          <w:bCs w:val="1"/>
          <w:color w:val="auto"/>
        </w:rPr>
      </w:pPr>
    </w:p>
    <w:p>
      <w:pPr>
        <w:jc w:val="both"/>
        <w:ind w:left="980" w:right="620" w:hanging="324"/>
        <w:spacing w:after="0" w:line="263"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belief regarding the magnitude or duration for additional clinical testing of our antibody cytokine fusion proteins, DNA, RNA or recombinant protein vaccines, toll-like receptor-activating adjuvants, NK-cell therapies, or DAMP inducers along with other product candidate families;</w:t>
      </w:r>
    </w:p>
    <w:p>
      <w:pPr>
        <w:spacing w:after="0" w:line="75" w:lineRule="exact"/>
        <w:rPr>
          <w:rFonts w:ascii="Arial" w:cs="Arial" w:eastAsia="Arial" w:hAnsi="Arial"/>
          <w:sz w:val="18"/>
          <w:szCs w:val="18"/>
          <w:b w:val="1"/>
          <w:bCs w:val="1"/>
          <w:color w:val="auto"/>
        </w:rPr>
      </w:pPr>
    </w:p>
    <w:p>
      <w:pPr>
        <w:ind w:left="980" w:right="120" w:hanging="324"/>
        <w:spacing w:after="0" w:line="223" w:lineRule="exact"/>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even if we successfully develop and commercialize specific product candidates like our N-803 or PD-L1 t</w:t>
      </w:r>
      <w:r>
        <w:rPr>
          <w:rFonts w:ascii="MS PGothic" w:cs="MS PGothic" w:eastAsia="MS PGothic" w:hAnsi="MS PGothic"/>
          <w:sz w:val="18"/>
          <w:szCs w:val="18"/>
          <w:color w:val="auto"/>
        </w:rPr>
        <w:t>‑</w:t>
      </w:r>
      <w:r>
        <w:rPr>
          <w:rFonts w:ascii="Arial" w:cs="Arial" w:eastAsia="Arial" w:hAnsi="Arial"/>
          <w:sz w:val="18"/>
          <w:szCs w:val="18"/>
          <w:color w:val="auto"/>
        </w:rPr>
        <w:t>haNK, our ability to develop and commercialize our other product candidates either alone or in combination with other therapeutic agents;</w:t>
      </w:r>
    </w:p>
    <w:p>
      <w:pPr>
        <w:spacing w:after="0" w:line="94" w:lineRule="exact"/>
        <w:rPr>
          <w:rFonts w:ascii="Arial" w:cs="Arial" w:eastAsia="Arial" w:hAnsi="Arial"/>
          <w:sz w:val="18"/>
          <w:szCs w:val="18"/>
          <w:b w:val="1"/>
          <w:bCs w:val="1"/>
          <w:color w:val="auto"/>
        </w:rPr>
      </w:pPr>
    </w:p>
    <w:p>
      <w:pPr>
        <w:ind w:left="980" w:right="56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to obtain and maintain regulatory approval of any of our product candidates, and any related restrictions, limitations and/or warnings in the label of any approved product candidate;</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commercialize any approved products;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and degree of market acceptance of any approved products;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b w:val="1"/>
          <w:bCs w:val="1"/>
          <w:color w:val="auto"/>
        </w:rPr>
      </w:pPr>
    </w:p>
    <w:p>
      <w:pPr>
        <w:ind w:left="980" w:right="44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accuracy of our estimates regarding our future revenue, as well as our future operating expenses, capital requirements and needs for additional financing;</w:t>
      </w:r>
    </w:p>
    <w:p>
      <w:pPr>
        <w:spacing w:after="0" w:line="62" w:lineRule="exact"/>
        <w:rPr>
          <w:rFonts w:ascii="Arial" w:cs="Arial" w:eastAsia="Arial" w:hAnsi="Arial"/>
          <w:sz w:val="18"/>
          <w:szCs w:val="18"/>
          <w:b w:val="1"/>
          <w:bCs w:val="1"/>
          <w:color w:val="auto"/>
        </w:rPr>
      </w:pPr>
    </w:p>
    <w:p>
      <w:pPr>
        <w:ind w:left="98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obtain, maintain, protect and enforce intellectual property protection for our product candidates and technology and not infringe upon, misappropriate or otherwise violate the intellectual property of others;</w:t>
      </w:r>
    </w:p>
    <w:p>
      <w:pPr>
        <w:spacing w:after="0" w:line="62"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terms and conditions of licenses granted to us and our ability to license additional intellectual property relating to our product candidates and technology;</w:t>
      </w:r>
    </w:p>
    <w:p>
      <w:pPr>
        <w:spacing w:after="0" w:line="62"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impact on us, if any, if the contingent value rights (CVRs) held by former Altor BioScience Corporation (Altor) stockholders become due and payable in accordance with their terms;</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regulatory developments in the United States (U.S.) and foreign countries; and</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impact of the coronavirus pandemic, or responses to the pandemic, on our business, clinical trials or personnel.</w:t>
      </w:r>
    </w:p>
    <w:p>
      <w:pPr>
        <w:spacing w:after="0" w:line="171"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i w:val="1"/>
          <w:iCs w:val="1"/>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i w:val="1"/>
          <w:iCs w:val="1"/>
          <w:color w:val="auto"/>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w:t>
      </w:r>
      <w:r>
        <w:rPr>
          <w:rFonts w:ascii="Arial" w:cs="Arial" w:eastAsia="Arial" w:hAnsi="Arial"/>
          <w:sz w:val="16"/>
          <w:szCs w:val="16"/>
          <w:i w:val="1"/>
          <w:iCs w:val="1"/>
          <w:u w:val="single" w:color="auto"/>
          <w:color w:val="0000FF"/>
        </w:rPr>
        <w:t>Item 1A. “Risk Factors”</w:t>
      </w:r>
      <w:r>
        <w:rPr>
          <w:rFonts w:ascii="Arial" w:cs="Arial" w:eastAsia="Arial" w:hAnsi="Arial"/>
          <w:sz w:val="16"/>
          <w:szCs w:val="16"/>
          <w:i w:val="1"/>
          <w:iCs w:val="1"/>
          <w:color w:val="auto"/>
        </w:rPr>
        <w:t xml:space="preserve"> of this Annual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Annual Report.</w:t>
      </w:r>
    </w:p>
    <w:p>
      <w:pPr>
        <w:spacing w:after="0" w:line="161"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completely and with the understanding that our actual future results may be materially different from what we expect.</w:t>
      </w:r>
    </w:p>
    <w:p>
      <w:pPr>
        <w:spacing w:after="0" w:line="14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Anktiva, ceNK, Conkwest, GlobeImmune, GlobeImmune (logo), haNK, haNK (Chinese characters), ImmunityBio, NantKwest, NK-92, Outsmart your disease, taNK, Tarmogen, VesAnktiva, and VivaBioCell are trademarks or registered trademarks of ImmunityBio, Inc., its subsidiaries, or its affiliates.</w:t>
      </w:r>
    </w:p>
    <w:p>
      <w:pPr>
        <w:spacing w:after="0" w:line="12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i w:val="1"/>
          <w:iCs w:val="1"/>
          <w:color w:val="auto"/>
        </w:rPr>
        <w:t>Our product candidates, including N-803, are investigational. Safety and efficacy have not been established by any agency, including the U.S. Food and Drug Administration (FDA).</w:t>
      </w:r>
    </w:p>
    <w:p>
      <w:pPr>
        <w:spacing w:after="0" w:line="170" w:lineRule="exact"/>
        <w:rPr>
          <w:sz w:val="20"/>
          <w:szCs w:val="20"/>
          <w:color w:val="auto"/>
        </w:rPr>
      </w:pPr>
    </w:p>
    <w:p>
      <w:pPr>
        <w:ind w:right="220" w:firstLine="648"/>
        <w:spacing w:after="0"/>
        <w:rPr>
          <w:sz w:val="20"/>
          <w:szCs w:val="20"/>
          <w:color w:val="auto"/>
        </w:rPr>
      </w:pPr>
      <w:r>
        <w:rPr>
          <w:rFonts w:ascii="Arial" w:cs="Arial" w:eastAsia="Arial" w:hAnsi="Arial"/>
          <w:sz w:val="18"/>
          <w:szCs w:val="18"/>
          <w:i w:val="1"/>
          <w:iCs w:val="1"/>
          <w:color w:val="auto"/>
        </w:rPr>
        <w:t xml:space="preserve">This Annual Report contains references to our trademarks and trademarks belonging to other entities. Solely for convenience, trademarks and trade names referred to in this Annual Report, including logos, artwork and other visual displays, may appear without the </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or </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In this Annual Report, “ImmunityBio,” “the company,” “the combined company,” “we,” “us,” and “our” refer to ImmunityBio, Inc. and its subsidiaries.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ImmunityBio, Inc. is a clinical-stage biotechnology company developing next-generation therapies and vaccines that complement, harness, and amplify the immune system to defeat cancers and infectious diseases. We strive to be a vertically-integrated immunotherapy company designing and manufacturing our products so they are more effective, accessible, more conveniently stored, and more easily administered to patients.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broad immunotherapy and cell therapy platforms are designed to attack cancer and infectious pathogens by activating both the innate immune system—natural killer (NK) cells, dendritic cells, and macrophages—and the adaptive immune system—B cells and T cells—in an orchestrated manner. The goal of this potentially best-in-class approach is to generate immunogenic cell death thereby eliminating rogue cells from the body whether they are cancerous or virally infected. Our ultimate goal is to employ this approach to establish an “immunological memory” that confers long-term benefit for the patient.</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business is based on the foundation of multiple platforms that collectively act on the entire immune response with the goal of targeted, durable, coordinated, and safe immunity against disease. These platforms and their associated product candidates are designed to overcome the limitations of the current standards of care in oncology and infectious diseases, such as checkpoint inhibitors and antiretroviral therapies. Our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5966460" cy="3317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platforms include 9 first-in-human therapeutic agents that are currently being studied in 26 clinical trials—17 of which are in Phase 2 or</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 development—across 12 indications in liquid and solid tumors, including bladder, pancreatic and lung cancers. These are among the most frequent and lethal cancer types for which there are high failure rates for existing standards of care or, in some cases, no available effective treatment. In infectious diseases, our pipeline currently targets such pathogens as the novel strain of the coronavirus (SARS-CoV-2) and human immunodeficiency virus (HIV). We believe SARS-CoV-2 currently lacks a vaccine that provides long-term protection against the virus, particularly its variants, while HIV affects tens of millions of people globally and currently has no known cure.</w:t>
      </w:r>
    </w:p>
    <w:p>
      <w:pPr>
        <w:spacing w:after="0" w:line="19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believe that our innovative approach to orchestrate and combine therapies for optimal immune system response will become a therapeutic foundation across multiple clinical indications. Additionally, we believe that data from multiple clinical trials indicates N-803 has broad potential to enhance the activity of therapeutic monoclonal antibodies (mAbs), including checkpoint inhibitors (e.g., Keytruda), across a wide range of tumor types. N-803 is currently being studied in 21 clinical trials (both ImmunityBio and investigator-sponsored) across 12 indications. Although such designations may not lead to a faster development process or regulatory review and may not increase the likelihood that a product candidate will receive approval, Anktiva, ImmunityBio’s novel antibody cytokine fusion protein, has received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and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designations from the FDA in combination with bacillus Calmette-Guérin (BCG) for the treatment of patients with BCG-unresponsive non-muscle invasive bladder cancer (NMIBC) with carcinoma in situ (CIS) with or without Ta or T1 disease. In May 2022, we announced the submission of a Biologics License Application (BLA) to the FDA for our product candidate, Anktiva in combination with BCG for the treatment of patients with BCG-unresponsive NMIBC with CIS with or without Ta or T1 disease. In July 2022, we announced that the FDA had accepted our BLA for review and set a target Prescription Drug User Fee Act (PDUFA) action date of May 23, 2023. It is unclear when the FDA will approve our BLA, if at all.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have established Good Manufacturing Practice (GMP) manufacturing capacity at scale with cutting-edge cell manufacturing expertise and ready-to-scale facilities, as well as extensive and seasoned research and development (R&amp;D), clinical trial, and regulatory operations and development teams.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seek to become the leading global immunological therapeutics company by creating the next generation of immunotherapies to address serious unmet needs within oncology and infectious diseases. To achieve this goal, the key elements of our strategy include:</w:t>
      </w:r>
    </w:p>
    <w:p>
      <w:pPr>
        <w:spacing w:after="0" w:line="116" w:lineRule="exact"/>
        <w:rPr>
          <w:sz w:val="20"/>
          <w:szCs w:val="20"/>
          <w:color w:val="auto"/>
        </w:rPr>
      </w:pPr>
    </w:p>
    <w:p>
      <w:pPr>
        <w:ind w:left="980" w:right="102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advancing the approval and commercialization of our lead antibody cytokine fusion protein, N-803, as an integral component of immunotherapy combinations, including those with checkpoint inhibitors;</w:t>
      </w:r>
    </w:p>
    <w:p>
      <w:pPr>
        <w:spacing w:after="0" w:line="116" w:lineRule="exact"/>
        <w:rPr>
          <w:rFonts w:ascii="Arial" w:cs="Arial" w:eastAsia="Arial" w:hAnsi="Arial"/>
          <w:sz w:val="18"/>
          <w:szCs w:val="18"/>
          <w:b w:val="1"/>
          <w:bCs w:val="1"/>
          <w:color w:val="auto"/>
        </w:rPr>
      </w:pPr>
    </w:p>
    <w:p>
      <w:pPr>
        <w:ind w:left="980" w:right="14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continuously scrutinizing our clinical pipeline and assessing our strategic priorities to maximize opportunities for regulatory approval and to meet unmet medical needs;</w:t>
      </w:r>
    </w:p>
    <w:p>
      <w:pPr>
        <w:spacing w:after="0" w:line="116" w:lineRule="exact"/>
        <w:rPr>
          <w:rFonts w:ascii="Arial" w:cs="Arial" w:eastAsia="Arial" w:hAnsi="Arial"/>
          <w:sz w:val="18"/>
          <w:szCs w:val="18"/>
          <w:b w:val="1"/>
          <w:bCs w:val="1"/>
          <w:color w:val="auto"/>
        </w:rPr>
      </w:pPr>
    </w:p>
    <w:p>
      <w:pPr>
        <w:ind w:left="980" w:right="56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accelerating our immunotherapy platform and product candidates with registrational intent to address difficult-to-treat oncological and infectious disease indications;</w:t>
      </w:r>
    </w:p>
    <w:p>
      <w:pPr>
        <w:spacing w:after="0" w:line="116" w:lineRule="exact"/>
        <w:rPr>
          <w:rFonts w:ascii="Arial" w:cs="Arial" w:eastAsia="Arial" w:hAnsi="Arial"/>
          <w:sz w:val="18"/>
          <w:szCs w:val="18"/>
          <w:b w:val="1"/>
          <w:bCs w:val="1"/>
          <w:color w:val="auto"/>
        </w:rPr>
      </w:pPr>
    </w:p>
    <w:p>
      <w:pPr>
        <w:ind w:left="980" w:right="140" w:hanging="324"/>
        <w:spacing w:after="0" w:line="263"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continuing to prospect, license, and acquire technologies to complement and strengthen our platforms and product candidates, both as single agent and combination therapies, in order to activate and coordinate the innate and adaptive immune system to generate cellular memory against multiple tumor types and infectious diseases;</w:t>
      </w:r>
    </w:p>
    <w:p>
      <w:pPr>
        <w:spacing w:after="0" w:line="129" w:lineRule="exact"/>
        <w:rPr>
          <w:rFonts w:ascii="Arial" w:cs="Arial" w:eastAsia="Arial" w:hAnsi="Arial"/>
          <w:sz w:val="18"/>
          <w:szCs w:val="18"/>
          <w:b w:val="1"/>
          <w:bCs w:val="1"/>
          <w:color w:val="auto"/>
        </w:rPr>
      </w:pPr>
    </w:p>
    <w:p>
      <w:pPr>
        <w:ind w:left="980" w:right="42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optimizing investment in our discovery, development, and manufacturing capabilities for our next-generation targeted antibody cytokine fusion and recombinant proteins and vaccine candidates, as well as for cell therapies;</w:t>
      </w:r>
    </w:p>
    <w:p>
      <w:pPr>
        <w:spacing w:after="0" w:line="116" w:lineRule="exact"/>
        <w:rPr>
          <w:rFonts w:ascii="Arial" w:cs="Arial" w:eastAsia="Arial" w:hAnsi="Arial"/>
          <w:sz w:val="18"/>
          <w:szCs w:val="18"/>
          <w:b w:val="1"/>
          <w:bCs w:val="1"/>
          <w:color w:val="auto"/>
        </w:rPr>
      </w:pPr>
    </w:p>
    <w:p>
      <w:pPr>
        <w:ind w:left="980" w:right="44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advancing our formulations and delivery mechanisms to make our promising biotechnology product candidates available to the broadest population possible; and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cultivating new and expanding existing collaborations for our multi-stage pipeline to efficiently scale globally.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Next-Generation Platforms</w:t>
      </w:r>
    </w:p>
    <w:p>
      <w:pPr>
        <w:spacing w:after="0" w:line="11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Antibody Cytokine Fusion Proteins</w:t>
      </w:r>
    </w:p>
    <w:p>
      <w:pPr>
        <w:spacing w:after="0" w:line="12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Antibody cytokine fusion proteins such as N-803 are a novel class of biopharmaceuticals that enhance the therapeutic potential of cytokines, and promote lymphocyte infiltration at a site of disease, improving immune response. N-803 is a novel interleukin-15 (IL-15) superagonist fusion protein consisting of high-affinity mutant IL-15N72D fused to the IL-15 receptor α sushi subunit and linked to the Fc portion of IgG1 Fc. The novel antibody cytokine fusion protein specifically increases the activity of two critical aspects of the immune system—NK cells and cytotoxic (tumor cell killing) CD8 T-cells—and exerts its effects via enhanced IL-2 receptor binding to the β site resulting in generation of Killer T cells and not the immunosuppressive regulatory T-cell (T-reg) cells. This superagonist IL-15 activity is the first in class to activate and proliferate NK cells, CD8+ Killer T cells, and Memory T cells. We believe this fusion protein combined with our natural killer cell therapy platform and our DNA/RNA vector delivery platforms places ImmunityBio at the leading edge to successfully deliver a cancer vaccine for durable complete responses across multiple tumor types. Although such designations may not lead to a faster development process or regulatory review and may not increase the likelihood that a product candidate will receive approval, Anktiva has received </w:t>
      </w:r>
      <w:r>
        <w:rPr>
          <w:rFonts w:ascii="Arial" w:cs="Arial" w:eastAsia="Arial" w:hAnsi="Arial"/>
          <w:sz w:val="16"/>
          <w:szCs w:val="16"/>
          <w:i w:val="1"/>
          <w:iCs w:val="1"/>
          <w:color w:val="auto"/>
        </w:rPr>
        <w:t>Breakthrough Therapy</w:t>
      </w:r>
      <w:r>
        <w:rPr>
          <w:rFonts w:ascii="Arial" w:cs="Arial" w:eastAsia="Arial" w:hAnsi="Arial"/>
          <w:sz w:val="16"/>
          <w:szCs w:val="16"/>
          <w:color w:val="auto"/>
        </w:rPr>
        <w:t xml:space="preserve"> and </w:t>
      </w:r>
      <w:r>
        <w:rPr>
          <w:rFonts w:ascii="Arial" w:cs="Arial" w:eastAsia="Arial" w:hAnsi="Arial"/>
          <w:sz w:val="16"/>
          <w:szCs w:val="16"/>
          <w:i w:val="1"/>
          <w:iCs w:val="1"/>
          <w:color w:val="auto"/>
        </w:rPr>
        <w:t>Fast Track</w:t>
      </w:r>
      <w:r>
        <w:rPr>
          <w:rFonts w:ascii="Arial" w:cs="Arial" w:eastAsia="Arial" w:hAnsi="Arial"/>
          <w:sz w:val="16"/>
          <w:szCs w:val="16"/>
          <w:color w:val="auto"/>
        </w:rPr>
        <w:t xml:space="preserve"> designations by the FDA for the treatment of BCG-unresponsive NMIBC CIS with or without Ta or T1 disease as well as </w:t>
      </w:r>
      <w:r>
        <w:rPr>
          <w:rFonts w:ascii="Arial" w:cs="Arial" w:eastAsia="Arial" w:hAnsi="Arial"/>
          <w:sz w:val="16"/>
          <w:szCs w:val="16"/>
          <w:i w:val="1"/>
          <w:iCs w:val="1"/>
          <w:color w:val="auto"/>
        </w:rPr>
        <w:t>Fast Track</w:t>
      </w:r>
      <w:r>
        <w:rPr>
          <w:rFonts w:ascii="Arial" w:cs="Arial" w:eastAsia="Arial" w:hAnsi="Arial"/>
          <w:sz w:val="16"/>
          <w:szCs w:val="16"/>
          <w:color w:val="auto"/>
        </w:rPr>
        <w:t xml:space="preserve"> designation for BCG-unresponsive NMIBC papillary and BCG-naïve NMIBC CIS.</w:t>
      </w:r>
    </w:p>
    <w:p>
      <w:pPr>
        <w:spacing w:after="0" w:line="17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w:t>
      </w:r>
      <w:r>
        <w:rPr>
          <w:rFonts w:ascii="Arial" w:cs="Arial" w:eastAsia="Arial" w:hAnsi="Arial"/>
          <w:sz w:val="17"/>
          <w:szCs w:val="17"/>
          <w:color w:val="231F20"/>
        </w:rPr>
        <w:t>n</w:t>
      </w:r>
      <w:r>
        <w:rPr>
          <w:rFonts w:ascii="Arial" w:cs="Arial" w:eastAsia="Arial" w:hAnsi="Arial"/>
          <w:sz w:val="17"/>
          <w:szCs w:val="17"/>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that the FDA had accepted our BLA for review and set a target PDUFA action date of May 23, 2023. It is unclear when the FDA will approve our BLA, if at all.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that other N-803 indications with registration potential include BCG-unresponsive papillary bladder cancer, lung cancer, pancreatic cancer, and glioblastoma multiforme (GBM) in oncology and HIV in infectious diseases.</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34"/>
          <w:szCs w:val="34"/>
          <w:b w:val="1"/>
          <w:bCs w:val="1"/>
          <w:color w:val="auto"/>
        </w:rPr>
        <w:t>N-803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159385</wp:posOffset>
            </wp:positionV>
            <wp:extent cx="4286250" cy="4783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addition to N-803, we are developing bi-specific fusion proteins targeting CD20, PD-L1, IL-12, and TGF-ß to further enhance NK and T-cell activation directed to the infectious disease or tumor microenvironment, and to modulate the systemic and local immune response to accelerate immunogenic cell death. Prioritized product candidates in preclinical development include antibody cytokine fusion proteins N-820 (targeting CD20), N-809 (targeting PD-L1), N-812 (delivering IL-12 to necrotic tumor cells), and N-830 (delivering a TGF-ß Trap to necrotic tumor cells).</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DNA, RNA, and Recombinant Protein Vaccine Technologies</w:t>
      </w:r>
    </w:p>
    <w:p>
      <w:pPr>
        <w:spacing w:after="0" w:line="12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developed and acquired rights to multiple vaccine delivery technologies for infectious diseases to target key viruses, including SARS-CoV-2, and for oncology to deliver common tumor-associated antigens (TAAs), and neoepitopes (expressed only by cancer cells). These technologies can deliver DNA, self-amplifying RNA (saRNA), and subunit proteins to induce B- and T-cell memory due to the activation of both CD4+ and CD8+ T cells along with antibody (humoral) responses. In SARS-CoV-2, we believe the focus on targeting a highly mutable S-protein and the associated antigenic drift with limited memory T-cell response is leading to a potential for emergence of resistance to the current generation of vaccines. A booster vaccine targeting the N protein, which is highly conserved in the coronavirus genus and is one of the most abundant structural proteins in virus-infected cells, could provide maximal immune protection against current and future COVID-19 variants such as Delta and Omicron and their associated sub-lineage variants of concern. In oncology, we are exploring the delivery of N-803 in combination with hAd5 TAAs like E6/E7, CEA, MUC1, Brachyury, and PSA, which we believe could yield immunological memory. Our key vaccine delivery technologies include:</w:t>
      </w:r>
    </w:p>
    <w:p>
      <w:pPr>
        <w:spacing w:after="0" w:line="17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Self-amplifying RNA</w:t>
      </w:r>
    </w:p>
    <w:p>
      <w:pPr>
        <w:spacing w:after="0" w:line="121" w:lineRule="exact"/>
        <w:rPr>
          <w:rFonts w:ascii="Arial" w:cs="Arial" w:eastAsia="Arial" w:hAnsi="Arial"/>
          <w:sz w:val="18"/>
          <w:szCs w:val="18"/>
          <w:b w:val="1"/>
          <w:bCs w:val="1"/>
          <w:color w:val="auto"/>
        </w:rPr>
      </w:pPr>
    </w:p>
    <w:p>
      <w:pPr>
        <w:ind w:left="9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Synthetic RNA technology has quickly emerged for prophylactic and therapeutic vaccines in part because it allows for rapid, scalable, and cell-free manufacturing as evidenced by the adoption of SARS-CoV-2 RNA vaccines. We believe our saRNA technology (licensed from the Access to Advanced Health Institute (AAHI) (formerly known as the Infectious Disease Research Institute, or IDRI), both directly and, in the case of SARS-CoV-2, through our joint venture formed with Amyris, Inc. (Amyris) in December 2021) represents a significant improvement over existing RNA technologies. Our saRNA constructs include a nanostructured lipid carrier (NLC) formulation important for thermal stability and facilitating the substitution of genetic sequences and have demonstrated an ability to vaccinate with multivalent strains. The self-replicating capability allows for increased potency by maintaining auto-replicative activity derived from the RNA virus vector, while the self-amplifying capability may increase the duration and breadth of immunity. Preclinical studies in small animal and non-human primate (NHP) models have shown that the saRNA delivery vehicle results in potent humoral and cell-based immunogenicity. Phase 1 first-in-human trials of saRNA for COVID-19 began in 2022 and continues in the first quarter of 2023. Results to date demonstrated limited adverse events of the saRNA S construct, and the trial is currently evaluating the safety and immunogenicity of our saRNA N construct in a similar dose escalation manner. Once Phase 1 is complete, the results will be used to inform the Phase 2 design for optimal immunogenicity.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837565</wp:posOffset>
            </wp:positionV>
            <wp:extent cx="5966460" cy="4174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Second-generation adenovirus hAd5 vector</w:t>
      </w:r>
    </w:p>
    <w:p>
      <w:pPr>
        <w:spacing w:after="0" w:line="121" w:lineRule="exact"/>
        <w:rPr>
          <w:rFonts w:ascii="Arial" w:cs="Arial" w:eastAsia="Arial" w:hAnsi="Arial"/>
          <w:sz w:val="18"/>
          <w:szCs w:val="18"/>
          <w:b w:val="1"/>
          <w:bCs w:val="1"/>
          <w:color w:val="auto"/>
        </w:rPr>
      </w:pPr>
    </w:p>
    <w:p>
      <w:pPr>
        <w:ind w:left="9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Adenovirus is a well-established viral vector and can be utilized as a vaccine to stimulate the immune system. Our human adenovirus serotype 5 (hAd5) technology has unique deletions in the early 1, (E1), early 2 (E2b) and early 3 (E3) regions (hAd5 [E1-, E2b-, E3-]), which allows it to be effective in the presence of pre-existing adenovirus immunity and lowers the risk of generating de novo vector-directed immunity. We have developed several hAd5 product candidates, which have been studied in multiple clinical trials as potential vaccines for the treatment of infectious diseases and certain cancers. Importantly, these product candidates have shown an ability to overcome previous adenovirus immunity in preclinical models and in cancer patients.</w:t>
      </w:r>
    </w:p>
    <w:p>
      <w:pPr>
        <w:spacing w:after="0" w:line="177" w:lineRule="exact"/>
        <w:rPr>
          <w:rFonts w:ascii="Arial" w:cs="Arial" w:eastAsia="Arial" w:hAnsi="Arial"/>
          <w:sz w:val="18"/>
          <w:szCs w:val="18"/>
          <w:b w:val="1"/>
          <w:bCs w:val="1"/>
          <w:color w:val="auto"/>
        </w:rPr>
      </w:pPr>
    </w:p>
    <w:p>
      <w:pPr>
        <w:ind w:left="98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oncology, we are exploring the delivery of N-803 in combination with hAd5 TAAs like HPV E6/E7, CEA, MUC1, Brachyury, and PSA, which we believe could yield immunological memory.</w:t>
      </w:r>
    </w:p>
    <w:p>
      <w:pPr>
        <w:spacing w:after="0" w:line="166" w:lineRule="exact"/>
        <w:rPr>
          <w:rFonts w:ascii="Arial" w:cs="Arial" w:eastAsia="Arial" w:hAnsi="Arial"/>
          <w:sz w:val="18"/>
          <w:szCs w:val="18"/>
          <w:b w:val="1"/>
          <w:bCs w:val="1"/>
          <w:color w:val="auto"/>
        </w:rPr>
      </w:pPr>
    </w:p>
    <w:p>
      <w:pPr>
        <w:ind w:left="960" w:hanging="304"/>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Recombinant protein platforms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Our yeast vaccine platforms have been studied in both oncology and infectious diseases:</w:t>
      </w:r>
    </w:p>
    <w:p>
      <w:pPr>
        <w:spacing w:after="0" w:line="117" w:lineRule="exact"/>
        <w:rPr>
          <w:rFonts w:ascii="Arial" w:cs="Arial" w:eastAsia="Arial" w:hAnsi="Arial"/>
          <w:sz w:val="18"/>
          <w:szCs w:val="18"/>
          <w:b w:val="1"/>
          <w:bCs w:val="1"/>
          <w:color w:val="auto"/>
        </w:rPr>
      </w:pPr>
    </w:p>
    <w:p>
      <w:pPr>
        <w:ind w:left="1620" w:hanging="316"/>
        <w:spacing w:after="0"/>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our Tarmogen platform (licensed from our subsidiary GlobeImmune, Inc. (GlobeImmune)) has been administered to over</w:t>
      </w:r>
    </w:p>
    <w:p>
      <w:pPr>
        <w:spacing w:after="0" w:line="34" w:lineRule="exact"/>
        <w:rPr>
          <w:rFonts w:ascii="Arial" w:cs="Arial" w:eastAsia="Arial" w:hAnsi="Arial"/>
          <w:sz w:val="17"/>
          <w:szCs w:val="17"/>
          <w:color w:val="auto"/>
        </w:rPr>
      </w:pPr>
    </w:p>
    <w:p>
      <w:pPr>
        <w:ind w:left="1620"/>
        <w:spacing w:after="0" w:line="253" w:lineRule="auto"/>
        <w:rPr>
          <w:rFonts w:ascii="Arial" w:cs="Arial" w:eastAsia="Arial" w:hAnsi="Arial"/>
          <w:sz w:val="17"/>
          <w:szCs w:val="17"/>
          <w:color w:val="auto"/>
        </w:rPr>
      </w:pPr>
      <w:r>
        <w:rPr>
          <w:rFonts w:ascii="Arial" w:cs="Arial" w:eastAsia="Arial" w:hAnsi="Arial"/>
          <w:sz w:val="18"/>
          <w:szCs w:val="18"/>
          <w:color w:val="auto"/>
        </w:rPr>
        <w:t>400 patients with cancer or infectious diseases in FDA-regulated clinical trials. This platform technology consists of a heat-killed, recombinant S cerevisiae yeast-based vaccine engineered to express immunogens such as TAAs, pathogen antigens, and tumor-specific neoepitopes. Immunization with this platform elicits CD4+ and CD8+ T cell responses capable of eliminating tumor cells or pathogen-infected cells.</w:t>
      </w:r>
    </w:p>
    <w:p>
      <w:pPr>
        <w:sectPr>
          <w:pgSz w:w="11900" w:h="16838" w:orient="portrait"/>
          <w:cols w:equalWidth="0" w:num="1">
            <w:col w:w="11180"/>
          </w:cols>
          <w:pgMar w:left="320" w:top="449" w:right="3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100" w:hanging="316"/>
        <w:spacing w:after="0" w:line="279" w:lineRule="auto"/>
        <w:tabs>
          <w:tab w:leader="none" w:pos="161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our pichia platform was used to produce RBD antigens (licensed from Baylor College of Medicine (BCM) (which was developed at the Texas Children’s Hospital Center for Vaccine Development)), which, when combined with the 3M-052/Alum adjuvants and related technology (licensed from AAHI and 3M Company (3M) and affiliates), had been shown to provide protection against SARS-CoV-1, SARS-CoV-2 (and variants of concern), and animal coronaviruses in preclinical models.</w:t>
      </w:r>
    </w:p>
    <w:p>
      <w:pPr>
        <w:spacing w:after="0" w:line="275"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Toll-Like Receptor Activating Adjuvants</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Adjuvants are either synthetic or naturally occurring molecules that activate toll-like receptors (TLRs) thereby enhancing the humoral and cell-mediated immune response of vaccines. There are 10 human TLRs expressed either on the inside or outside of the immune cell and their function is to recognize foreign substances expressed by pathogens. Once activated, these TLRs stimulate danger signals to the immune cells initiating an immune response. We have licensed adjuvants and related technology from AAHI and 3M and its affiliates to incorporate with the vaccine delivery platforms described above and have access to multiple toll receptor activators, including TLR 4, TLR 7, and TLR 8. The synthetic imidazoquinolinone 3M-052 is structurally similar to resiquimod. The 3M-052/Alum adjuvant formulation is in Phase 1 trials in the U.S. with an HIV antigen and has been well-tolerated and immunogenic.</w:t>
      </w:r>
    </w:p>
    <w:p>
      <w:pPr>
        <w:spacing w:after="0" w:line="29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NK Cell Therapy</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ImmunityBio has one of the most comprehensive clinical-stage natural killer cell platforms, which has demonstrated the ability to induce cell death in cancers and virally-infected cells through a variety of concurrent mechanisms including innate killing, antibody-mediated killing, chimeric antigen receptor (CAR)-directed killing, and a combination of both antibody-mediated and CAR-directed killing.</w:t>
      </w:r>
    </w:p>
    <w:p>
      <w:pPr>
        <w:spacing w:after="0" w:line="18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Off-the-shelf natural killer (NK) cells</w:t>
      </w:r>
    </w:p>
    <w:p>
      <w:pPr>
        <w:spacing w:after="0" w:line="121" w:lineRule="exact"/>
        <w:rPr>
          <w:rFonts w:ascii="Arial" w:cs="Arial" w:eastAsia="Arial" w:hAnsi="Arial"/>
          <w:sz w:val="18"/>
          <w:szCs w:val="18"/>
          <w:b w:val="1"/>
          <w:bCs w:val="1"/>
          <w:color w:val="auto"/>
        </w:rPr>
      </w:pPr>
    </w:p>
    <w:p>
      <w:pPr>
        <w:ind w:left="9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Natural killer cells (NK cells) are a type of cytotoxic lymphocyte critical to the innate immune system. NK cells show spontaneous cytolytic activity against cells under stress such as tumor cells and virally-infected cells. After activation, NK cells also secrete several cytokines such as interferon-γ (IFN-γ), tumor necrosis factor-α (TNF-α), granulocyte macrophage colony-stimulating factor (GM-CSF), and chemokines that can modulate the function of other innate and adaptive immune cells. Cytotoxic cell lines (including our NK-92) have been established from patients with clonal NK-cell lymphoma. Those cells can be expanded in culture in the presence of cytokines (IL-2, IL-15). Our “off-the-shelf” NK cell platform has been molecularly engineered in a variety of ways to boost its killing capabilities against cancers and virally-infected cells. Unlike normal natural killer cells, our aNK cells do not express the key inhibitory receptors that diseased cells often exploit to turn off the killing function of NK cells and escape elimination. We have genetically engineered our aNK cell platform to overexpress high-affinity CD16 receptors that bind to antibodies. These antibody-targeted haNK cells are designed to directly bind to IgG1-type antibodies, such as avelumab, trastuzumab, cetuximab, and rituximab, with the intention of enhancing the cancer-killing efficacy of these antibodies by boosting the population of competent natural killer cells that can kill cancer cells through antibody dependent cellular cytotoxicity (ADCC).</w:t>
      </w:r>
    </w:p>
    <w:p>
      <w:pPr>
        <w:spacing w:after="0" w:line="171" w:lineRule="exact"/>
        <w:rPr>
          <w:rFonts w:ascii="Arial" w:cs="Arial" w:eastAsia="Arial" w:hAnsi="Arial"/>
          <w:sz w:val="18"/>
          <w:szCs w:val="18"/>
          <w:b w:val="1"/>
          <w:bCs w:val="1"/>
          <w:color w:val="auto"/>
        </w:rPr>
      </w:pPr>
    </w:p>
    <w:p>
      <w:pPr>
        <w:ind w:left="98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Our most advanced line of off-the-shelf product candidates is an innovative, bioengineered combination that incorporates all the features of our haNK platform together with a CAR (t-haNK). Product candidates under this platform have three modes of killing: innate, antibody-mediated, and CAR-directed killing. These product candidates also include one or more additional expression elements such as functional cytokines, chemokines and trafficking factors. These product candidates are intended to be combined with commercially available therapeutic antibodies to effectively target either two different epitopes of the same cancer-specific protein or two entirely different cancer specific proteins. Trials studying our t-haNK product candidates were initiated—PD-L1 t-haNK in a Phase 1 trial in triple negative breast cancer (TNBC), and a Phase 2 trial in pancreatic cancer—and CD19 t-haNK has been cleared to commence Phase 1 testing.</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20"/>
        <w:spacing w:after="0" w:line="275" w:lineRule="auto"/>
        <w:rPr>
          <w:sz w:val="20"/>
          <w:szCs w:val="20"/>
          <w:color w:val="auto"/>
        </w:rPr>
      </w:pPr>
      <w:r>
        <w:rPr>
          <w:rFonts w:ascii="Arial" w:cs="Arial" w:eastAsia="Arial" w:hAnsi="Arial"/>
          <w:sz w:val="17"/>
          <w:szCs w:val="17"/>
          <w:color w:val="auto"/>
        </w:rPr>
        <w:t>In collaboration with the National Cancer Institute (NCI), our PD-L1 t-haNK was reported to be a potent cell therapy agent against myeloid-derived suppressor cells (MDSC) and overcome T cell escape in multiple types of resistant tumors (Fabian et al 2020). Results of the QUILT 88 trial of patients with advanced pancreatic cancer reported at the American Society of Clinical Oncology (ASCO) meeting in June 2022 and updated at ASCO GI in January 2023 showed a median overall survival of 6.3 months (95% CI: 5.0, 7.2 months) in patients who had progressed after two prior lines of therapy, more than doubling historical survival.</w:t>
      </w:r>
    </w:p>
    <w:p>
      <w:pPr>
        <w:spacing w:after="0" w:line="176"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We believe we have a pipeline of other prominent CARs for t-haNK, including epidermal growth factor receptor (EGFR), which is advancing through clinical-enabling studies, which will enable us to potentially address an even broader range of cancers as part of a chemotherapy-free combination regimen.</w:t>
      </w:r>
    </w:p>
    <w:p>
      <w:pPr>
        <w:spacing w:after="0" w:line="180" w:lineRule="exact"/>
        <w:rPr>
          <w:sz w:val="20"/>
          <w:szCs w:val="20"/>
          <w:color w:val="auto"/>
        </w:rPr>
      </w:pPr>
    </w:p>
    <w:p>
      <w:pPr>
        <w:ind w:left="980" w:hanging="324"/>
        <w:spacing w:after="0"/>
        <w:tabs>
          <w:tab w:leader="none" w:pos="98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Autologous and allogenic memory-like cytokine-enhanced NK cells (M-ceNK)</w:t>
      </w:r>
    </w:p>
    <w:p>
      <w:pPr>
        <w:spacing w:after="0" w:line="121" w:lineRule="exact"/>
        <w:rPr>
          <w:rFonts w:ascii="Arial" w:cs="Arial" w:eastAsia="Arial" w:hAnsi="Arial"/>
          <w:sz w:val="18"/>
          <w:szCs w:val="18"/>
          <w:b w:val="1"/>
          <w:bCs w:val="1"/>
          <w:color w:val="auto"/>
        </w:rPr>
      </w:pPr>
    </w:p>
    <w:p>
      <w:pPr>
        <w:ind w:left="98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Memory-like cytokine-enhanced NK cells are a unique set of lymphocytes that differentiate after a brief pre-activation with interleukin-12 (IL-12), IL-15 and IL-18 and exhibit enhanced responses to cytokine re-stimulation that include enhanced IFN-γ production and cytotoxicity against leukemic cell lines. These cells have been isolated and characterized by their unique cell-surface marker profile and their highly desirable feature of immune-memory, marked by their pronounced anti-cancer activity for weeks to months in duration, which has made these cells a research focus for more than a decade. We have developed a unique ability to generate a portfolio of distinct M-ceNK cell products through the application of our proprietary technology and cytokines and our proprietary methods and overall expertise in scale manufacturing of NK cell-based products. A Phase 1 trial is open and actively enrolling patients in a first-in-human trial to study the M-ceNK platform in solid tumors (QUILT 3.076).</w:t>
      </w:r>
    </w:p>
    <w:p>
      <w:pPr>
        <w:spacing w:after="0" w:line="295"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Damage-Associated Molecular Patterns Inducers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DAMPs are released in response to cell stress and death, and elicit potent sterile inflammation. Recent evidence suggests that DAMPs may also have a key role in the development of cancer as well as in the host response to cytotoxic anti-tumor therapy. DAMPs may play a protective role by alerting the immune system to the existence of dying tumor cells, thereby triggering immunogenic tumor cell death. Albumin-bound immune modulators and tumor associated antigen regulators target delivery of the chemotherapy agent to the tumor microenvironment, activate tumor killing macrophages and/or enable a tumor suppressive microenvironment.</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Aldoxorubicin</w:t>
      </w:r>
    </w:p>
    <w:p>
      <w:pPr>
        <w:spacing w:after="0" w:line="121" w:lineRule="exact"/>
        <w:rPr>
          <w:rFonts w:ascii="Arial" w:cs="Arial" w:eastAsia="Arial" w:hAnsi="Arial"/>
          <w:sz w:val="18"/>
          <w:szCs w:val="18"/>
          <w:b w:val="1"/>
          <w:bCs w:val="1"/>
          <w:color w:val="auto"/>
        </w:rPr>
      </w:pPr>
    </w:p>
    <w:p>
      <w:pPr>
        <w:ind w:left="98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Aldoxorubicin is an albumin-associated anthracycline designed to target immune evasion in cancer. Aldoxorubicin has the same cytotoxic mechanism of action as doxorubicin, which is currently approved for use in 14 indications, including breast cancer, Hodgkin’s lymphoma and small-cell lung cancer (SCLC), but also has unique pharmacological properties resulting in lower cardiotoxicity as shown in Phase 2 and Phase 3 clinical trials for soft tissue sarcoma previously conducted by LadRx Corporation (LadRx, formerly CytRx Corporation). LadRx out-licensed global development, manufacturing, and commercialization rights for aldoxorubicin to us in 2017. The investigative therapeutic is currently in a Phase 2 trial in metastatic pancreatic cancer (QUILT 88) of DAMP inducers combined with N-803 and PD-L1 t-haNK to evaluate the safety and efficacy of the combination.</w:t>
      </w:r>
    </w:p>
    <w:p>
      <w:pPr>
        <w:spacing w:after="0" w:line="173" w:lineRule="exact"/>
        <w:rPr>
          <w:rFonts w:ascii="Arial" w:cs="Arial" w:eastAsia="Arial" w:hAnsi="Arial"/>
          <w:sz w:val="18"/>
          <w:szCs w:val="18"/>
          <w:b w:val="1"/>
          <w:bCs w:val="1"/>
          <w:color w:val="auto"/>
        </w:rPr>
      </w:pPr>
    </w:p>
    <w:p>
      <w:pPr>
        <w:ind w:left="980" w:hanging="32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Nanatinostat</w:t>
      </w:r>
    </w:p>
    <w:p>
      <w:pPr>
        <w:spacing w:after="0" w:line="121" w:lineRule="exact"/>
        <w:rPr>
          <w:rFonts w:ascii="Arial" w:cs="Arial" w:eastAsia="Arial" w:hAnsi="Arial"/>
          <w:sz w:val="18"/>
          <w:szCs w:val="18"/>
          <w:b w:val="1"/>
          <w:bCs w:val="1"/>
          <w:color w:val="auto"/>
        </w:rPr>
      </w:pPr>
    </w:p>
    <w:p>
      <w:pPr>
        <w:ind w:left="98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VRx-3996 (nanatinostat), an orally available histone deacetylase (HDAC) inhibitor, is being developed by Viracta. Nanatinostat is selective for specific isoforms of Class I HDACs, which is key to inducing viral genes that are epigenetically silenced in Epstein-Barr virus-associated malignancies. In preclinical studies, nanatinostat has been shown to reactivate silenced transgenes in tumor cells thereby turning them into preferential targets for NK cell killing, while also serving to broadly stimulate a patient’s immune system, offering the potential for improved clinical responses in cancer patients. The activity of HDAC inhibitors are believed to be based on the upregulation of natural killer group 2D (NKG2D) ligand expression on cancer cells, which serve as “eat-me” signals for NK cells and can drive NK proliferation, activation and cancer cell killing. We entered into an agreement with Viracta under which we were granted exclusive worldwide rights in patents and know-how related to nanatinostat for use in combination with our platform of NK cell therapies.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platforms include 9 first-in-human therapeutic agents that are currently being studied in 26 clinical trials—17 of which are in Phase 2 or</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 development—across 12 indications in liquid and solid tumors, including bladder, pancreatic and lung cancers. These are among the most frequent and lethal cancer types for which there are high failure rates for existing standards of care or, in some cases, no available effective treatment. We are constantly monitoring and deciding which trials to initiate or continue based upon the availability of our resources and the efficacy and market developments of our, and our competitors’, products and product candidates,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131445</wp:posOffset>
            </wp:positionV>
            <wp:extent cx="5966460" cy="3574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Non-Muscle Invasive Bladder Cancer</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the U.S., bladder cancer is the fourth most commonly-diagnosed solid malignancy in men and twelfth in women. The American Cancer Society estimates there will be 82,290 new cases and 16,710 deaths from bladder cancer in 2023. There is an urgent, unmet need to treat NMIBC and avoid radical cystectomy of the bladder in an attempt to control the disease. Although such designations may not lead to a faster development process or regulatory review and may not increase the likelihood that a product candidate will receive approval, Anktiva has received </w:t>
      </w:r>
      <w:r>
        <w:rPr>
          <w:rFonts w:ascii="Arial" w:cs="Arial" w:eastAsia="Arial" w:hAnsi="Arial"/>
          <w:sz w:val="16"/>
          <w:szCs w:val="16"/>
          <w:i w:val="1"/>
          <w:iCs w:val="1"/>
          <w:color w:val="auto"/>
        </w:rPr>
        <w:t>Breakthrough Therapy</w:t>
      </w:r>
      <w:r>
        <w:rPr>
          <w:rFonts w:ascii="Arial" w:cs="Arial" w:eastAsia="Arial" w:hAnsi="Arial"/>
          <w:sz w:val="16"/>
          <w:szCs w:val="16"/>
          <w:color w:val="auto"/>
        </w:rPr>
        <w:t xml:space="preserve"> and </w:t>
      </w:r>
      <w:r>
        <w:rPr>
          <w:rFonts w:ascii="Arial" w:cs="Arial" w:eastAsia="Arial" w:hAnsi="Arial"/>
          <w:sz w:val="16"/>
          <w:szCs w:val="16"/>
          <w:i w:val="1"/>
          <w:iCs w:val="1"/>
          <w:color w:val="auto"/>
        </w:rPr>
        <w:t>Fast Track</w:t>
      </w:r>
      <w:r>
        <w:rPr>
          <w:rFonts w:ascii="Arial" w:cs="Arial" w:eastAsia="Arial" w:hAnsi="Arial"/>
          <w:sz w:val="16"/>
          <w:szCs w:val="16"/>
          <w:color w:val="auto"/>
        </w:rPr>
        <w:t xml:space="preserve"> designations by the FDA for the treatment of BCG-unresponsive NMIBC CIS (Cohort A) with or without Ta or T1 disease as well as </w:t>
      </w:r>
      <w:r>
        <w:rPr>
          <w:rFonts w:ascii="Arial" w:cs="Arial" w:eastAsia="Arial" w:hAnsi="Arial"/>
          <w:sz w:val="16"/>
          <w:szCs w:val="16"/>
          <w:i w:val="1"/>
          <w:iCs w:val="1"/>
          <w:color w:val="auto"/>
        </w:rPr>
        <w:t>Fast Track</w:t>
      </w:r>
      <w:r>
        <w:rPr>
          <w:rFonts w:ascii="Arial" w:cs="Arial" w:eastAsia="Arial" w:hAnsi="Arial"/>
          <w:sz w:val="16"/>
          <w:szCs w:val="16"/>
          <w:color w:val="auto"/>
        </w:rPr>
        <w:t xml:space="preserve"> designation for BCG-unresponsive NMIBC papillary (Cohort B) and BCG-naïve NMIBC CIS. In our QUILT 3.032 trial, the company reported in November 2022, as published in </w:t>
      </w:r>
      <w:r>
        <w:rPr>
          <w:rFonts w:ascii="Arial" w:cs="Arial" w:eastAsia="Arial" w:hAnsi="Arial"/>
          <w:sz w:val="16"/>
          <w:szCs w:val="16"/>
          <w:i w:val="1"/>
          <w:iCs w:val="1"/>
          <w:color w:val="auto"/>
        </w:rPr>
        <w:t>NEJM Evidence</w:t>
      </w:r>
      <w:r>
        <w:rPr>
          <w:rFonts w:ascii="Arial" w:cs="Arial" w:eastAsia="Arial" w:hAnsi="Arial"/>
          <w:sz w:val="16"/>
          <w:szCs w:val="16"/>
          <w:color w:val="auto"/>
        </w:rPr>
        <w:t>, that the primary end points were met for both BCG-unresponsive NMIBC CIS with a complete response rate of 71%, and BCG-unresponsive NMIBC papillary with a 12-month disease-free rate of 55%. As presented at ASCO 2022, the combination of BCG plus Anktiva (as measured in BCG-unresponsive NMIBC patients, Cohorts A and B combined) was well-tolerated with 1% treatment-related serious adverse events, 0% immune-related serious adverse events, and 100% bladder cancer-specific overall survival at 24 months. Low-grade treatment-related adverse events include dysuria (22%), pollakiuria (20%), hematuria (17%), fatigue (16%), and urgency (12%), and all other treatment-related adverse events were seen at 7% or less. Seminal patents covering intravesical administration of BCG and Anktiva were issued providing term coverage until 2035.</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BCG-Unresponsive CIS (QUILT 3.032)</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our Phase 2/3 open-label multi-center trial of BCG-unresponsive high grade NMIBC patients, the patients are receiving BCG plus Anktiva weekly for six consecutive weeks during induction. The patients also receive additional treatment including three weekly maintenance instillations every three months for up to 12 months and then at month 18. Patients with no disease or low-grade Ta disease at months 24, 30, and 36 are eligible for continued BCG plus Anktiva (Cohort A) or Anktiva alone (Cohort C) treatment (3 weekly instillations), at the principal investigators’ discretion.</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primary endpoint of the BCG-unresponsive NMIBC CIS trial is a CR rate at any time equal to or greater than 30% and the lower bound of the 95% confidence interval must be greater than or equal to 20% for success. Complete response, or the disappearance of measurable disease in response to treatment, is evaluated at three months or six months following initial administration of BCG plus Anktiva (and every three months thereafter until 24 months). This endpoint would be achieved once at least 24 of the 80 patients in the trial achieve complete response.</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patients enrolled in Cohort A have been treated with the recommended number of full-strength doses of BCG on study during our trial. We have enrolled patients who have received a lower dosage of BCG therapy before enrollment in our trial as a result of BCG shortages. The mean and median number of prior BCG doses in Cohort A is 16.5 and 12.0, respectively, which are consistent with the FDA definition of BCG-unresponsive CIS. The FDA allowed our modification of the study design to allow enrollment of such patients, and definition of these patients may require further discussions with the FDA upon review. A published meta-analysis (Zeng 2015) of six relevant randomized controlled trials and two quasi-randomized controlled trials in NMIBC concluded that low-dose BCG instillation significantly reduces the incidence of overall side effects, especially severe and systemic symptoms in patients with NMIBC, while the oncological control efficacy of low-dose BCG is not inferior to standard-dose BCG. There can be no assurance that the FDA will agree with this conclusion.</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A data cutoff occurred in January 2022, which provided a median follow-up in Cohort A of approximately 24 months. Data as published in </w:t>
      </w:r>
      <w:r>
        <w:rPr>
          <w:rFonts w:ascii="Arial" w:cs="Arial" w:eastAsia="Arial" w:hAnsi="Arial"/>
          <w:sz w:val="18"/>
          <w:szCs w:val="18"/>
          <w:i w:val="1"/>
          <w:iCs w:val="1"/>
          <w:color w:val="auto"/>
        </w:rPr>
        <w:t>NEJM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Evidence </w:t>
      </w:r>
      <w:r>
        <w:rPr>
          <w:rFonts w:ascii="Arial" w:cs="Arial" w:eastAsia="Arial" w:hAnsi="Arial"/>
          <w:sz w:val="18"/>
          <w:szCs w:val="18"/>
          <w:color w:val="auto"/>
        </w:rPr>
        <w:t>in November 2022 showed a complete response in 58 of 82 patients with a 71% CR rate (95% CI: 59.6, 80.3) and a median duration of CR of</w:t>
      </w:r>
      <w:r>
        <w:rPr>
          <w:rFonts w:ascii="Arial" w:cs="Arial" w:eastAsia="Arial" w:hAnsi="Arial"/>
          <w:sz w:val="18"/>
          <w:szCs w:val="18"/>
          <w:i w:val="1"/>
          <w:iCs w:val="1"/>
          <w:color w:val="auto"/>
        </w:rPr>
        <w:t xml:space="preserve"> </w:t>
      </w:r>
      <w:r>
        <w:rPr>
          <w:rFonts w:ascii="Arial" w:cs="Arial" w:eastAsia="Arial" w:hAnsi="Arial"/>
          <w:sz w:val="18"/>
          <w:szCs w:val="18"/>
          <w:color w:val="auto"/>
        </w:rPr>
        <w:t>26.6 months (95% CI: 9.9, [upper bound not reached]). At 24 months in patients with complete response, the probability of avoiding cystectomy and disease-specific survival was 91.4% and 100%, respectively. Also at 24 months in all patients in Cohort A, the probability of avoiding cystectomy and of disease-specific survival was 84.1% and 100%, respectively.</w:t>
      </w:r>
    </w:p>
    <w:p>
      <w:pPr>
        <w:spacing w:after="0" w:line="18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May 2022, we announced the submission of a BLA to the FDA for our product candidate, Anktiva in combination with BCG for the treatment of patients with BCG-unresponsive NMIBC with CIS with or without Ta or T1 disease. In July 2022, we announced that the FDA had accepted our BLA for review and set a target PDUFA action date of May 23, 2023. It is unclear when the FDA will approve our BLA, if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BCG-Unresponsive Papillary (QUILT 3.032)</w:t>
      </w:r>
    </w:p>
    <w:p>
      <w:pPr>
        <w:spacing w:after="0" w:line="117"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In our Phase 2, open-label multi-center trial of BCG-unresponsive high grade NMIBC papillary patients (Cohort B), the patients are receiving BCG plus N-803 weekly for six consecutive weeks during induction. The patients also receive additional treatment including three weekly maintenance instillations every three months for up to 12 months and then every nine months for up to 24 months. The primary endpoint of the trial is a 12-month disease free rate greater than or equal to 30% and the lower bound of the 95% confidence interval must be greater than or equal to 20% for success. To meet the primary endpoint, 24 out of 80 patients must be disease free at 12 months.</w:t>
      </w:r>
    </w:p>
    <w:p>
      <w:pPr>
        <w:spacing w:after="0" w:line="17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A data cutoff occurred in January 2022, which provided a median follow-up in Cohort B of approximately 21 months. Data as published in </w:t>
      </w:r>
      <w:r>
        <w:rPr>
          <w:rFonts w:ascii="Arial" w:cs="Arial" w:eastAsia="Arial" w:hAnsi="Arial"/>
          <w:sz w:val="18"/>
          <w:szCs w:val="18"/>
          <w:i w:val="1"/>
          <w:iCs w:val="1"/>
          <w:color w:val="auto"/>
        </w:rPr>
        <w:t>NEJM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Evidence </w:t>
      </w:r>
      <w:r>
        <w:rPr>
          <w:rFonts w:ascii="Arial" w:cs="Arial" w:eastAsia="Arial" w:hAnsi="Arial"/>
          <w:sz w:val="18"/>
          <w:szCs w:val="18"/>
          <w:color w:val="auto"/>
        </w:rPr>
        <w:t>in November 2022 showed a 12-month disease-free survival rate of 55% (95% CI: 42.0, 66.8), with median disease-free survival of 19.3 months</w:t>
      </w:r>
      <w:r>
        <w:rPr>
          <w:rFonts w:ascii="Arial" w:cs="Arial" w:eastAsia="Arial" w:hAnsi="Arial"/>
          <w:sz w:val="18"/>
          <w:szCs w:val="18"/>
          <w:i w:val="1"/>
          <w:iCs w:val="1"/>
          <w:color w:val="auto"/>
        </w:rPr>
        <w:t xml:space="preserve"> </w:t>
      </w:r>
      <w:r>
        <w:rPr>
          <w:rFonts w:ascii="Arial" w:cs="Arial" w:eastAsia="Arial" w:hAnsi="Arial"/>
          <w:sz w:val="18"/>
          <w:szCs w:val="18"/>
          <w:color w:val="auto"/>
        </w:rPr>
        <w:t>(95% CI: 7.4, [upper bound not reached]). At the cutoff date 67 of 72 patients, 93.1%, had not progressed to radical cystectomy and the 24 month disease-free survival rate was 97.7%.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met with the FDA in December 2022, and the FDA advised us to conduct a randomized trial in localized BCG-unresponsive NMIBC papillary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BCG-Naïve (QUILT 2.005)</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As discussed above, N-803 has been awarded </w:t>
      </w:r>
      <w:r>
        <w:rPr>
          <w:rFonts w:ascii="Arial" w:cs="Arial" w:eastAsia="Arial" w:hAnsi="Arial"/>
          <w:sz w:val="18"/>
          <w:szCs w:val="18"/>
          <w:i w:val="1"/>
          <w:iCs w:val="1"/>
          <w:color w:val="auto"/>
        </w:rPr>
        <w:t>Fast Track</w:t>
      </w:r>
      <w:r>
        <w:rPr>
          <w:rFonts w:ascii="Arial" w:cs="Arial" w:eastAsia="Arial" w:hAnsi="Arial"/>
          <w:sz w:val="18"/>
          <w:szCs w:val="18"/>
          <w:color w:val="auto"/>
        </w:rPr>
        <w:t xml:space="preserve"> designation by the FDA for the treatment of BCG-naïve NMIBC CIS. We are currently enrolling patients in our Phase 2b blinded, randomized, two-cohort, open-label, multi-center trial of intravesical BCG plus Anktiva versus BCG alone, in BCG naïve patients with high-grade NMIBC CIS (Cohort A) and NMIBC papillary (Cohort B). Planned enrollment for Cohort A (CIS) and Cohort B (papillary) is 366 patients and 230 patients, respectively.</w:t>
      </w:r>
    </w:p>
    <w:p>
      <w:pPr>
        <w:spacing w:after="0" w:line="29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Lung Cancer</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According to the American Cancer Society, lung cancer is the second most common cancer in the U.S. In 2023, it is estimated that 238,340 new cases of lung cancer will be diagnosed in the U.S. and 127,070 deaths will be attributed to the disease. Non-small cell lung cancer (NSCLC) accounts for about 80% to 85% of all lung cancers diagnoses and there are very few successful treatment options for these patients once the cancer spreads beyond the lungs. The development of checkpoint inhibitors in NSCLC has been revolutionary, doubling the median overall survival in some settings; however, patient response may be short lived, due to late response and/or progression after achieving an initial response. As with bladder cancer, N-803 enhances the proliferation and activation of NK and T cells critical for targeting and killing lung cancer cells. There is therefore a strong rationale to evaluate N-803 in addition to an anti-PD-1 or anti-PD-L1 checkpoint inhibitor for patients with NSCLC who have relapsed after achieving an initial response to PD-1 or PD-L1 checkpoint inhibitor therapy.</w:t>
      </w:r>
    </w:p>
    <w:p>
      <w:pPr>
        <w:spacing w:after="0" w:line="192"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color w:val="auto"/>
        </w:rPr>
        <w:t>Analysis of pooled data from a Phase 1/2 trial conducted from January 2016 to June 2017 in 23 patients, and a subsequent investigator-initiated Phase 2 trial conducted by the Medical University of South Carolina, yielded confirmation of activity of the combination of checkpoint inhibitors and N-803 in relapsed NSCLC. In 15 patients with PD-L1 greater than 50%, the overall response rate was 38% and the median overall survival rate was</w:t>
      </w:r>
    </w:p>
    <w:p>
      <w:pPr>
        <w:spacing w:after="0" w:line="2"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17.1 months. These preliminary findings were favorable relative to the historical response rate seen in this patient population in the first-line setting with checkpoint inhibitor therapy.</w:t>
      </w:r>
    </w:p>
    <w:p>
      <w:pPr>
        <w:spacing w:after="0" w:line="18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the basis of these findings, we initiated a single-arm Phase 2b multi-cohort basket trial (QUILT 3.055) of N-803 and checkpoint inhibitor combinations in patients who have previously received treatment with PD-1/PD-L1 immune checkpoint inhibitors per an FDA-approved indication. Patients enrolled in this trial were eligible if actively progressing on checkpoint inhibitor therapy. Upon enrollment, patients continued on the same checkpoint inhibitor but with the addition of N-803. Despite progressing on checkpoint inhibitor therapy upon entry into the trial, the majority of patients reverted to stable disease and demonstrated durability of stable disease, some extending as long as nine months. Data presented at the ASCO Annual Meeting in 2021 showed that despite the patients’ prior progression on checkpoint inhibitor therapy alone, upon entry into the trial the majority of patients experienced clinical benefit either as stable disease (49%) or a partial response (9%).</w:t>
      </w:r>
    </w:p>
    <w:p>
      <w:pPr>
        <w:spacing w:after="0" w:line="17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Among 140 patients enrolled in QUILT 3.055, the common N-803 attributed grade 1 and 2 adverse events included: injection site reaction (71%), chills (34%), fatigue (27%), pyrexia (24%), flu-like illness (13%), and decreased appetite (10%). A total of 18 grade 3 and 4 adverse events attributed to N-803 have been reported among 16 patients (12%) in the trial as of February 2021. All reported grade 3 and 4 adverse events occurred at a frequency of 5% or less; two patients reported increased alanine amino transferase, increased aspartate amino transferase or increased blood alkaline phosphatase, anemia, injection-site reaction or injection-site pain. All other occurrences of grade 3 or 4 adverse events that the clinical trial site investigators reported as suspected as being due to N-803 include: decreased lymphocyte count; weight loss; influenza-like illness; injection site pruritus; cellulitis; injection-site cellulitis; sepsis; deep vein thrombosis; hypovolemic shock; colitis; diarrhea; delirium; respiratory failure; and maculopapular rash. Although further studies are warranted, based on this relatively well-tolerated adverse event profile, coupled with NK and CD8+ T cell stimulatory effects, we believe that N-803 has the potential to become a standard in combination with other immunotherapies for multiple indications.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Non-small Cell Lung Cancer (Lung-Map)</w:t>
      </w:r>
    </w:p>
    <w:p>
      <w:pPr>
        <w:spacing w:after="0" w:line="11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October 2021, we announced that N-803 had been chosen by Lung Cancer Master Protocol (Lung-MAP), a public-private partnership—which includes the NCI, the National Clinical Trials Network (NCTN) Cooperative Groups (SWOG, ECOG-ACRIN, Alliance, and NRG), Friends of Cancer Research, and the Foundation for the National Institutes of Health (FNIH)—to study N-803 in the Lung-MAP trial.</w:t>
      </w:r>
    </w:p>
    <w:p>
      <w:pPr>
        <w:spacing w:after="0" w:line="160" w:lineRule="exact"/>
        <w:rPr>
          <w:sz w:val="20"/>
          <w:szCs w:val="20"/>
          <w:color w:val="auto"/>
        </w:rPr>
      </w:pPr>
    </w:p>
    <w:p>
      <w:pPr>
        <w:ind w:right="940" w:firstLine="648"/>
        <w:spacing w:after="0" w:line="229" w:lineRule="auto"/>
        <w:rPr>
          <w:sz w:val="20"/>
          <w:szCs w:val="20"/>
          <w:color w:val="auto"/>
        </w:rPr>
      </w:pPr>
      <w:r>
        <w:rPr>
          <w:rFonts w:ascii="Arial" w:cs="Arial" w:eastAsia="Arial" w:hAnsi="Arial"/>
          <w:sz w:val="18"/>
          <w:szCs w:val="18"/>
          <w:color w:val="auto"/>
        </w:rPr>
        <w:t>The trial design is a randomized comparison of N-803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compared to standard of care chemotherapy options in two separate cohorts:</w:t>
      </w:r>
    </w:p>
    <w:p>
      <w:pPr>
        <w:spacing w:after="0" w:line="149" w:lineRule="exact"/>
        <w:rPr>
          <w:sz w:val="20"/>
          <w:szCs w:val="20"/>
          <w:color w:val="auto"/>
        </w:rPr>
      </w:pPr>
    </w:p>
    <w:p>
      <w:pPr>
        <w:ind w:left="980" w:right="40" w:hanging="324"/>
        <w:spacing w:after="0" w:line="277" w:lineRule="auto"/>
        <w:tabs>
          <w:tab w:leader="none" w:pos="975" w:val="left"/>
        </w:tabs>
        <w:numPr>
          <w:ilvl w:val="0"/>
          <w:numId w:val="1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Primary Resistance (Cohort 1). </w:t>
      </w:r>
      <w:r>
        <w:rPr>
          <w:rFonts w:ascii="Arial" w:cs="Arial" w:eastAsia="Arial" w:hAnsi="Arial"/>
          <w:sz w:val="18"/>
          <w:szCs w:val="18"/>
          <w:color w:val="auto"/>
        </w:rPr>
        <w:t>Disease progression during or after anti-PD-1 or anti-PD-L1 therapy that occurred less than or equal to (≤) 84</w:t>
      </w:r>
      <w:r>
        <w:rPr>
          <w:rFonts w:ascii="Arial" w:cs="Arial" w:eastAsia="Arial" w:hAnsi="Arial"/>
          <w:sz w:val="18"/>
          <w:szCs w:val="18"/>
          <w:i w:val="1"/>
          <w:iCs w:val="1"/>
          <w:color w:val="auto"/>
        </w:rPr>
        <w:t xml:space="preserve"> </w:t>
      </w:r>
      <w:r>
        <w:rPr>
          <w:rFonts w:ascii="Arial" w:cs="Arial" w:eastAsia="Arial" w:hAnsi="Arial"/>
          <w:sz w:val="18"/>
          <w:szCs w:val="18"/>
          <w:color w:val="auto"/>
        </w:rPr>
        <w:t>days following initiation (Cycle 1 Day 1) of anti-PD-1 or PD-L1 therapy (combination or monotherapy).</w:t>
      </w:r>
    </w:p>
    <w:p>
      <w:pPr>
        <w:spacing w:after="0" w:line="116" w:lineRule="exact"/>
        <w:rPr>
          <w:rFonts w:ascii="Arial" w:cs="Arial" w:eastAsia="Arial" w:hAnsi="Arial"/>
          <w:sz w:val="18"/>
          <w:szCs w:val="18"/>
          <w:b w:val="1"/>
          <w:bCs w:val="1"/>
          <w:color w:val="auto"/>
        </w:rPr>
      </w:pPr>
    </w:p>
    <w:p>
      <w:pPr>
        <w:ind w:left="980" w:right="320" w:hanging="324"/>
        <w:spacing w:after="0" w:line="277" w:lineRule="auto"/>
        <w:tabs>
          <w:tab w:leader="none" w:pos="975" w:val="left"/>
        </w:tabs>
        <w:numPr>
          <w:ilvl w:val="0"/>
          <w:numId w:val="1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Acquired Resistance (Cohort 2). </w:t>
      </w:r>
      <w:r>
        <w:rPr>
          <w:rFonts w:ascii="Arial" w:cs="Arial" w:eastAsia="Arial" w:hAnsi="Arial"/>
          <w:sz w:val="18"/>
          <w:szCs w:val="18"/>
          <w:color w:val="auto"/>
        </w:rPr>
        <w:t>Disease progression during or after anti-PD-1 or anti-PD-L1 therapy that occurred more than (&gt;) 84 days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initiation (Cycle 1 Day 1) of anti-PD-1 or PD-L1 therapy (combination or monotherapy).</w:t>
      </w:r>
    </w:p>
    <w:p>
      <w:pPr>
        <w:spacing w:after="0" w:line="11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trial will include up to 478 second-line patients with tumors that are not targetable with a drug, which accounts for the majority of NSCLC cases. In April 2022, we announced that the first participants had been enrolled in the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Non-small Cell Lung Cancer (QUILT 2.023)</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the basis of earlier trials in NSCLC, and our belief that N-803 enhances the proliferation and activation of NK and T cells, we enrolled patients in a randomized Phase 3 trial to evaluate N-803 plus checkpoint inhibitor combinations versus other checkpoint inhibitor combinations in the first-line setting for NSCLC in the cohorts described below:</w:t>
      </w:r>
    </w:p>
    <w:p>
      <w:pPr>
        <w:spacing w:after="0" w:line="130" w:lineRule="exact"/>
        <w:rPr>
          <w:sz w:val="20"/>
          <w:szCs w:val="20"/>
          <w:color w:val="auto"/>
        </w:rPr>
      </w:pPr>
    </w:p>
    <w:p>
      <w:pPr>
        <w:ind w:left="980" w:right="460" w:hanging="324"/>
        <w:spacing w:after="0" w:line="277" w:lineRule="auto"/>
        <w:tabs>
          <w:tab w:leader="none" w:pos="97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Immunotherapy for either squamous or non-squamous NSCLC with PD-L1 TPS &gt;1% (Cohort A). </w:t>
      </w:r>
      <w:r>
        <w:rPr>
          <w:rFonts w:ascii="Arial" w:cs="Arial" w:eastAsia="Arial" w:hAnsi="Arial"/>
          <w:sz w:val="18"/>
          <w:szCs w:val="18"/>
          <w:color w:val="auto"/>
        </w:rPr>
        <w:t>Combination of N-803 with Keytruda</w:t>
      </w:r>
      <w:r>
        <w:rPr>
          <w:rFonts w:ascii="Arial" w:cs="Arial" w:eastAsia="Arial" w:hAnsi="Arial"/>
          <w:sz w:val="18"/>
          <w:szCs w:val="18"/>
          <w:i w:val="1"/>
          <w:iCs w:val="1"/>
          <w:color w:val="auto"/>
        </w:rPr>
        <w:t xml:space="preserve"> </w:t>
      </w:r>
      <w:r>
        <w:rPr>
          <w:rFonts w:ascii="Arial" w:cs="Arial" w:eastAsia="Arial" w:hAnsi="Arial"/>
          <w:sz w:val="18"/>
          <w:szCs w:val="18"/>
          <w:color w:val="auto"/>
        </w:rPr>
        <w:t>versus Keytruda as the standard of care control arm in this randomized trial.</w:t>
      </w:r>
    </w:p>
    <w:p>
      <w:pPr>
        <w:spacing w:after="0" w:line="110" w:lineRule="exact"/>
        <w:rPr>
          <w:rFonts w:ascii="Arial" w:cs="Arial" w:eastAsia="Arial" w:hAnsi="Arial"/>
          <w:sz w:val="18"/>
          <w:szCs w:val="18"/>
          <w:b w:val="1"/>
          <w:bCs w:val="1"/>
          <w:i w:val="1"/>
          <w:iCs w:val="1"/>
          <w:color w:val="auto"/>
        </w:rPr>
      </w:pPr>
    </w:p>
    <w:p>
      <w:pPr>
        <w:ind w:left="980" w:right="780" w:hanging="324"/>
        <w:spacing w:after="0" w:line="243" w:lineRule="auto"/>
        <w:tabs>
          <w:tab w:leader="none" w:pos="975" w:val="left"/>
        </w:tabs>
        <w:numPr>
          <w:ilvl w:val="0"/>
          <w:numId w:val="2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Chemoimmunotherapy for squamous NSCLC (Cohort B). </w:t>
      </w:r>
      <w:r>
        <w:rPr>
          <w:rFonts w:ascii="Arial" w:cs="Arial" w:eastAsia="Arial" w:hAnsi="Arial"/>
          <w:sz w:val="17"/>
          <w:szCs w:val="17"/>
          <w:color w:val="auto"/>
        </w:rPr>
        <w:t>Combination of N-803 with Carboplatin, Abraxane</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Keytruda versus</w:t>
      </w:r>
      <w:r>
        <w:rPr>
          <w:rFonts w:ascii="Arial" w:cs="Arial" w:eastAsia="Arial" w:hAnsi="Arial"/>
          <w:sz w:val="17"/>
          <w:szCs w:val="17"/>
          <w:i w:val="1"/>
          <w:iCs w:val="1"/>
          <w:color w:val="auto"/>
        </w:rPr>
        <w:t xml:space="preserve"> </w:t>
      </w:r>
      <w:r>
        <w:rPr>
          <w:rFonts w:ascii="Arial" w:cs="Arial" w:eastAsia="Arial" w:hAnsi="Arial"/>
          <w:sz w:val="17"/>
          <w:szCs w:val="17"/>
          <w:color w:val="auto"/>
        </w:rPr>
        <w:t>Carboplatin, Abraxane / paclitaxel and Keytruda as the standard of care control arm in this randomized trial.</w:t>
      </w:r>
    </w:p>
    <w:p>
      <w:pPr>
        <w:spacing w:after="0" w:line="145" w:lineRule="exact"/>
        <w:rPr>
          <w:rFonts w:ascii="Arial" w:cs="Arial" w:eastAsia="Arial" w:hAnsi="Arial"/>
          <w:sz w:val="17"/>
          <w:szCs w:val="17"/>
          <w:b w:val="1"/>
          <w:bCs w:val="1"/>
          <w:color w:val="auto"/>
        </w:rPr>
      </w:pPr>
    </w:p>
    <w:p>
      <w:pPr>
        <w:ind w:left="980" w:right="80" w:hanging="324"/>
        <w:spacing w:after="0" w:line="308" w:lineRule="auto"/>
        <w:tabs>
          <w:tab w:leader="none" w:pos="975" w:val="left"/>
        </w:tabs>
        <w:numPr>
          <w:ilvl w:val="0"/>
          <w:numId w:val="2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Chemoimmunotherapy for non-squamous NSCLC (Cohort C). </w:t>
      </w:r>
      <w:r>
        <w:rPr>
          <w:rFonts w:ascii="Arial" w:cs="Arial" w:eastAsia="Arial" w:hAnsi="Arial"/>
          <w:sz w:val="17"/>
          <w:szCs w:val="17"/>
          <w:color w:val="auto"/>
        </w:rPr>
        <w:t>Combination of N-803 with Cisplatin / Carboplatin, Keytruda and Pemetrexed</w:t>
      </w:r>
      <w:r>
        <w:rPr>
          <w:rFonts w:ascii="Arial" w:cs="Arial" w:eastAsia="Arial" w:hAnsi="Arial"/>
          <w:sz w:val="17"/>
          <w:szCs w:val="17"/>
          <w:i w:val="1"/>
          <w:iCs w:val="1"/>
          <w:color w:val="auto"/>
        </w:rPr>
        <w:t xml:space="preserve"> </w:t>
      </w:r>
      <w:r>
        <w:rPr>
          <w:rFonts w:ascii="Arial" w:cs="Arial" w:eastAsia="Arial" w:hAnsi="Arial"/>
          <w:sz w:val="17"/>
          <w:szCs w:val="17"/>
          <w:color w:val="auto"/>
        </w:rPr>
        <w:t>versus Cisplatin / Carboplatin, Keytruda and Pemetrexed as the standard of care control arm in this randomized trial.</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trial is currently ongoing.</w:t>
      </w:r>
    </w:p>
    <w:p>
      <w:pPr>
        <w:spacing w:after="0" w:line="3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According to ASCO, in the U.S. pancreatic cancer is the fourth leading cause of cancer-related death in both men and women and has one of the highest mortality rates of all major cancers, taking nearly 50,000 lives every year, with a five-year survival rate for late-stage cases of only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Pancreatic Cancer (QUILT 88)</w:t>
      </w:r>
    </w:p>
    <w:p>
      <w:pPr>
        <w:spacing w:after="0" w:line="117"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Exploratory Phase 1b/2 trials in patients with second-line or greater metastatic pancreatic cancer in which N-803 and aldoxorubicin were combined with off-the-shelf NK (haNK) cells, other agents, and stereotactic body radiotherapy (SBRT) showed encouraging results in patients with advanced disease. The primary endpoints of the Phase 1b and 2 portions of the trials were safety and objective response rate, respectively. In aggregate, 82% of patients (14/17) with advanced pancreatic cancer achieved disease control following combination therapy including N-803 and aldoxorubicin. There were no N-803-related grade 3 or 4 adverse events reported.</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the basis of these exploratory trials, together with the preclinical findings that PD-L1 t-haNK is as active as haNK + anti-PD-L1 mAbs, we initiated a first- through third-line pancreatic cancer clinical trial that uses PD-L1 t-haNK as described below.</w:t>
      </w:r>
    </w:p>
    <w:p>
      <w:pPr>
        <w:spacing w:after="0" w:line="116" w:lineRule="exact"/>
        <w:rPr>
          <w:sz w:val="20"/>
          <w:szCs w:val="20"/>
          <w:color w:val="auto"/>
        </w:rPr>
      </w:pPr>
    </w:p>
    <w:p>
      <w:pPr>
        <w:ind w:left="980" w:right="80" w:hanging="324"/>
        <w:spacing w:after="0" w:line="279" w:lineRule="auto"/>
        <w:tabs>
          <w:tab w:leader="none" w:pos="97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First-line advanced pancreatic cancer (Cohort A)</w:t>
      </w:r>
      <w:r>
        <w:rPr>
          <w:rFonts w:ascii="Arial" w:cs="Arial" w:eastAsia="Arial" w:hAnsi="Arial"/>
          <w:sz w:val="18"/>
          <w:szCs w:val="18"/>
          <w:color w:val="auto"/>
        </w:rPr>
        <w:t>. Combination of N-803 with aldoxorubicin and low-dose chemotherapy plus SBRT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PD-L1 t-haNK versus gemcitabine/Abraxane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standard of care control arm in this randomized trial.</w:t>
      </w:r>
    </w:p>
    <w:p>
      <w:pPr>
        <w:spacing w:after="0" w:line="45" w:lineRule="exact"/>
        <w:rPr>
          <w:rFonts w:ascii="Arial" w:cs="Arial" w:eastAsia="Arial" w:hAnsi="Arial"/>
          <w:sz w:val="18"/>
          <w:szCs w:val="18"/>
          <w:b w:val="1"/>
          <w:bCs w:val="1"/>
          <w:color w:val="auto"/>
        </w:rPr>
      </w:pPr>
    </w:p>
    <w:p>
      <w:pPr>
        <w:ind w:left="980" w:right="320" w:hanging="324"/>
        <w:spacing w:after="0" w:line="279" w:lineRule="auto"/>
        <w:tabs>
          <w:tab w:leader="none" w:pos="97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Second-line advanced pancreatic cancer (Cohort B)</w:t>
      </w:r>
      <w:r>
        <w:rPr>
          <w:rFonts w:ascii="Arial" w:cs="Arial" w:eastAsia="Arial" w:hAnsi="Arial"/>
          <w:sz w:val="18"/>
          <w:szCs w:val="18"/>
          <w:color w:val="auto"/>
        </w:rPr>
        <w:t>. Combination of N-803 with aldoxorubicin and low-dose chemotherapy plus SBRT +</w:t>
      </w:r>
      <w:r>
        <w:rPr>
          <w:rFonts w:ascii="Arial" w:cs="Arial" w:eastAsia="Arial" w:hAnsi="Arial"/>
          <w:sz w:val="18"/>
          <w:szCs w:val="18"/>
          <w:i w:val="1"/>
          <w:iCs w:val="1"/>
          <w:color w:val="auto"/>
        </w:rPr>
        <w:t xml:space="preserve"> </w:t>
      </w:r>
      <w:r>
        <w:rPr>
          <w:rFonts w:ascii="Arial" w:cs="Arial" w:eastAsia="Arial" w:hAnsi="Arial"/>
          <w:sz w:val="18"/>
          <w:szCs w:val="18"/>
          <w:color w:val="auto"/>
        </w:rPr>
        <w:t>PD-L1 t-haNK versus 5FU/Onivyde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standard of care control arm in this randomized trial.</w:t>
      </w:r>
    </w:p>
    <w:p>
      <w:pPr>
        <w:spacing w:after="0" w:line="45" w:lineRule="exact"/>
        <w:rPr>
          <w:rFonts w:ascii="Arial" w:cs="Arial" w:eastAsia="Arial" w:hAnsi="Arial"/>
          <w:sz w:val="18"/>
          <w:szCs w:val="18"/>
          <w:b w:val="1"/>
          <w:bCs w:val="1"/>
          <w:color w:val="auto"/>
        </w:rPr>
      </w:pPr>
    </w:p>
    <w:p>
      <w:pPr>
        <w:ind w:left="980" w:right="200" w:hanging="324"/>
        <w:spacing w:after="0" w:line="277" w:lineRule="auto"/>
        <w:tabs>
          <w:tab w:leader="none" w:pos="97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Third-line and beyond (Cohort C)</w:t>
      </w:r>
      <w:r>
        <w:rPr>
          <w:rFonts w:ascii="Arial" w:cs="Arial" w:eastAsia="Arial" w:hAnsi="Arial"/>
          <w:sz w:val="18"/>
          <w:szCs w:val="18"/>
          <w:color w:val="auto"/>
        </w:rPr>
        <w:t>. Combination of N-803 with aldoxorubicin and low-dose chemotherapy plus SBRT + PD-L1 t-haNK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arm cohort of this trial with a primary endpoint of overall survival.</w:t>
      </w:r>
    </w:p>
    <w:p>
      <w:pPr>
        <w:spacing w:after="0" w:line="11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On October 13, 2021, we announced that the trial’s Cohort C was fully enrolled. Based on the strength of earlier data and the significant unmet medical need, we submitted an amendment to the FDA to increase enrollment in Cohort C. As of January 2023 as reported at ASCO GI, the median overall survival in this highly advanced group of patients (who failed two to six prior lines of treatment) is 5.8 months (95% CI: 4.9, 6.4 months) exceeding the approximately two- to three-month historical median overall survival. Of the 83 patients, 41 (49.4%) had progressed after two prior lines of therapy. Median overall survival in this group was 6.3 months (95% CI: 5.0, 7.2 months), more than doubling the historical overall survival (survival of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three months as reported by Manax et al ASCO GI 2019). In Cohort C, grade 3 or greater treatment-related adverse events included anemia (32%), neutropenia (25%), thrombocytopenia (13%) and fatigue (7%) while all other grade 3 or greater treatment-related adverse events occurred at a frequency of less than 5%.</w:t>
      </w:r>
    </w:p>
    <w:p>
      <w:pPr>
        <w:spacing w:after="0" w:line="19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met with the FDA in December 2022 to obtain guidance toward a registration pathway in metastatic pancreatic cancer with combination immunotherapy and NK cell therapy, and the FDA advised us to conduct a randomized trial in late-stage metastatic pancreatic cancer.</w:t>
      </w:r>
    </w:p>
    <w:p>
      <w:pPr>
        <w:spacing w:after="0" w:line="22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Glioblastoma Multiforme</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According to the American Association of Neurological Surgeons, GBM is the most common malignant brain tumor accounting for approximately 48% of all primary brain tumors with a low survival rate of approximately 40% in the first year after diagnosis and only 17% in the second year. In preclinical settings, we evaluated the preclinical activity of N-803 in a murine GL261-luc glioblastoma model. We showed that N-803, as a single-agent treatment as well as in combination with an anti-PD-1 antibody or stereotactic radiosurgery, exhibits a robust antitumor immune response resulting in prolonged survival including complete remission in tumor bearing mice. N-803-treated mice had decreased tumor volume and increased median survival compared to control. In addition, N-803 treatment resulted in long-term immune memory against glioblastoma tumor rechallenge.</w:t>
      </w:r>
    </w:p>
    <w:p>
      <w:pPr>
        <w:spacing w:after="0" w:line="16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 new randomized, multi-center, Phase 3 trial is currently being developed to evaluate the safety and efficacy of the combinations of N-803, PD-L1 t-haNK and bevacizumab in patients with recurrent or progressive GBM. A pilot phase will evaluate the safety of this combination prior to the randomized Phase 3 portion versus bevacizumab monotherapy as the current standard of care.</w:t>
      </w:r>
    </w:p>
    <w:p>
      <w:pPr>
        <w:spacing w:after="0" w:line="130" w:lineRule="exact"/>
        <w:rPr>
          <w:sz w:val="20"/>
          <w:szCs w:val="20"/>
          <w:color w:val="auto"/>
        </w:rPr>
      </w:pPr>
    </w:p>
    <w:p>
      <w:pPr>
        <w:ind w:left="980" w:right="40" w:hanging="324"/>
        <w:spacing w:after="0" w:line="263" w:lineRule="auto"/>
        <w:tabs>
          <w:tab w:leader="none" w:pos="975"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Pilot (Part A). </w:t>
      </w:r>
      <w:r>
        <w:rPr>
          <w:rFonts w:ascii="Arial" w:cs="Arial" w:eastAsia="Arial" w:hAnsi="Arial"/>
          <w:sz w:val="18"/>
          <w:szCs w:val="18"/>
          <w:color w:val="auto"/>
        </w:rPr>
        <w:t>Enrollment will initiate with a single-arm study of 10 patients to receive N-803, PD-L1 t-haNK, and bevacizumab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Continued development of the experimental arm in Part B will be based on the overall risk/benefit of the combined treatment regimen observed in Part A.</w:t>
      </w:r>
    </w:p>
    <w:p>
      <w:pPr>
        <w:spacing w:after="0" w:line="129"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Randomized Comparison of Combination Therapy versus Bevacizumab Monotherapy (Part B). </w:t>
      </w:r>
      <w:r>
        <w:rPr>
          <w:rFonts w:ascii="Arial" w:cs="Arial" w:eastAsia="Arial" w:hAnsi="Arial"/>
          <w:sz w:val="18"/>
          <w:szCs w:val="18"/>
          <w:color w:val="auto"/>
        </w:rPr>
        <w:t>Part B will enroll 336 patients to be randomly</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(1:1) to the experimental arm or to the control arm.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Human Papillomavirus-Associated Tumors</w:t>
      </w:r>
    </w:p>
    <w:p>
      <w:pPr>
        <w:spacing w:after="0" w:line="12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According to the Centers for Disease Control and Prevention, every year about 19,400 women and 12,100 men experience cancers caused by the human papillomavirus (HPV), which is the most common sexually transmitted infection in the U.S. According to ASCO, head and neck cancers account for nearly 4% of all cancers in the U.S. It is estimated that more than 66,470 men and women in the U.S. will be diagnosed with head and neck cancers in 2023, and 15,050 will die from the disease.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HPV Associated Cancer in Lower Genitourinary, Cervical, and Head &amp; Neck</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Backed by data from preclinical animal models, we are exploring IBRX-042 that leverages our hAd5-based vaccine platform to target tumors caused by HPV infection (which includes most types of lower genitourinary (GU), cervical, and some types of head/neck cancers). Our second-generation hAd5 vector includes enhancements with the E1, E2b, E3 regions of the hAd5 deleted (E1-, E2b-, E3-), decreasing the risk for vector-directed immune responses that may reduce efficacy, while maintaining high target antigen production. The platform has previously been used to generate vaccines against TAAs such as CEA, MUC1 and Brachyury. In IBRX-042, hAd5 encodes HPV-16 E6 and E7 tumor-associated proteins (oncotarget antigens). E6 and E7 play a role in early infection and, importantly, transformation of cells into rapidly-dividing tumor cells. Specifically, E6 promotes degradation of p53—a factor that typically prevents excess cell division—indirectly activates telomerase, and disrupts the function of the cellular phosphatase tumor suppressor PTPN13. E7 inactivates pRb (which plays a role similar to the p53) and activates Mi2b and is also implicated in transformation. Together, these oncogenic alterations drive rapid cellular proliferation, suppress or downregulate key tumor suppressor proteins, and lead to cellular immortality. In addition, E6 and E7 expression is required to maintain a malignant transformed phenotype. IBRX-042 has demonstrated the ability to induce immune responses against HPV16 antigens that induced significant anti-tumor effects in vivo in HPV+ mouse models. To support clinical studies, we have successfully completed the GMP production of GMP IBRX-042.</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planning a Phase 1/2 open-label trial to evaluate the safety and efficacy of subcutaneous IBRX-042 vaccination combined with N-803 (to enhance immune responses) in combination with standard of care in patients with HPV-associated tumors.</w:t>
      </w:r>
    </w:p>
    <w:p>
      <w:pPr>
        <w:spacing w:after="0" w:line="27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Solid Tumors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Autologous M-ceNK in Locally Advanced or Metastatic Solid Tumors (QUILT 3.076)</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 initial study conducted by the NCI showed that N-803-enhanced NK cell anti-tumor activity against all variants of small-cell lung cancer (Fousek 2022). Based on this data and other preclinical analysis, we initiated a two-part, open-label Phase 1 trial to evaluate safety and preliminary efficacy of cryopreserved M-ceNK cells, in combination with N-803 for subcutaneous administration, in patients with locally advanced or metastatic solid tumors. The trial will compare the quantity and quality of the M-ceNK cells collected and manufactured from newly diagnosed patients who have not received prior treatment or who have received prior first-line treatment (prior to the M-ceNK cells collected and manufactured) to the quantity and quality of the M-ceNK cells collected and manufactured from patients who have progressive disease and who have received at least two prior treatments for their cancer. The trial consists of two cohorts and there will be up to 80 participants total with up to 30 enrolled in Cohort 1 and up to 50 enrolled in Cohort 2.</w:t>
      </w:r>
    </w:p>
    <w:p>
      <w:pPr>
        <w:spacing w:after="0" w:line="112" w:lineRule="exact"/>
        <w:rPr>
          <w:sz w:val="20"/>
          <w:szCs w:val="20"/>
          <w:color w:val="auto"/>
        </w:rPr>
      </w:pPr>
    </w:p>
    <w:p>
      <w:pPr>
        <w:ind w:left="980" w:right="180" w:hanging="324"/>
        <w:spacing w:after="0" w:line="296"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Newly diagnosed or no more than one line of treatment (Cohort 1)</w:t>
      </w:r>
      <w:r>
        <w:rPr>
          <w:rFonts w:ascii="Arial" w:cs="Arial" w:eastAsia="Arial" w:hAnsi="Arial"/>
          <w:sz w:val="16"/>
          <w:szCs w:val="16"/>
          <w:color w:val="auto"/>
        </w:rPr>
        <w:t>. Includes patients with newly diagnosed high-risk solid tumors who have</w:t>
      </w:r>
      <w:r>
        <w:rPr>
          <w:rFonts w:ascii="Arial" w:cs="Arial" w:eastAsia="Arial" w:hAnsi="Arial"/>
          <w:sz w:val="16"/>
          <w:szCs w:val="16"/>
          <w:i w:val="1"/>
          <w:iCs w:val="1"/>
          <w:color w:val="auto"/>
        </w:rPr>
        <w:t xml:space="preserve"> </w:t>
      </w:r>
      <w:r>
        <w:rPr>
          <w:rFonts w:ascii="Arial" w:cs="Arial" w:eastAsia="Arial" w:hAnsi="Arial"/>
          <w:sz w:val="16"/>
          <w:szCs w:val="16"/>
          <w:color w:val="auto"/>
        </w:rPr>
        <w:t>not received prior treatment for high-risk tumors or who have received prior first-line treatment. Patients in Cohort 1 will participate in apheresis collection of lymphocytes (Part A) and will not receive any investigational therapy unless they subsequently enroll in Cohort 2 (Part B) if they have progressive disease after ≥ 2 prior therapies or if they have progressive disease within 12 months of receiving neoadjuvant or adjuvant chemotherapy. They must also meet the inclusion criteria to participate in the treatment phase (Part B).</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40" w:hanging="324"/>
        <w:spacing w:after="0" w:line="277" w:lineRule="auto"/>
        <w:tabs>
          <w:tab w:leader="none" w:pos="975" w:val="left"/>
        </w:tabs>
        <w:numPr>
          <w:ilvl w:val="1"/>
          <w:numId w:val="28"/>
        </w:numPr>
        <w:rPr>
          <w:rFonts w:ascii="Arial" w:cs="Arial" w:eastAsia="Arial" w:hAnsi="Arial"/>
          <w:sz w:val="18"/>
          <w:szCs w:val="18"/>
          <w:b w:val="1"/>
          <w:bCs w:val="1"/>
          <w:color w:val="auto"/>
        </w:rPr>
      </w:pPr>
      <w:r>
        <w:rPr>
          <w:rFonts w:ascii="Arial" w:cs="Arial" w:eastAsia="Arial" w:hAnsi="Arial"/>
          <w:sz w:val="18"/>
          <w:szCs w:val="18"/>
          <w:i w:val="1"/>
          <w:iCs w:val="1"/>
          <w:color w:val="auto"/>
        </w:rPr>
        <w:t>Progressive disease with at least two prior lines of treatment (Cohort 2)</w:t>
      </w:r>
      <w:r>
        <w:rPr>
          <w:rFonts w:ascii="Arial" w:cs="Arial" w:eastAsia="Arial" w:hAnsi="Arial"/>
          <w:sz w:val="18"/>
          <w:szCs w:val="18"/>
          <w:color w:val="auto"/>
        </w:rPr>
        <w:t>. Includes patients with r/r solid tumors who have progressive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after receiving at least two prior therapies.</w:t>
      </w:r>
    </w:p>
    <w:p>
      <w:pPr>
        <w:spacing w:after="0" w:line="116" w:lineRule="exact"/>
        <w:rPr>
          <w:rFonts w:ascii="Arial" w:cs="Arial" w:eastAsia="Arial" w:hAnsi="Arial"/>
          <w:sz w:val="18"/>
          <w:szCs w:val="18"/>
          <w:b w:val="1"/>
          <w:bCs w:val="1"/>
          <w:color w:val="auto"/>
        </w:rPr>
      </w:pPr>
    </w:p>
    <w:p>
      <w:pPr>
        <w:ind w:left="1300" w:right="160" w:hanging="320"/>
        <w:spacing w:after="0" w:line="277" w:lineRule="auto"/>
        <w:tabs>
          <w:tab w:leader="none" w:pos="1296" w:val="left"/>
        </w:tabs>
        <w:numPr>
          <w:ilvl w:val="2"/>
          <w:numId w:val="28"/>
        </w:numPr>
        <w:rPr>
          <w:rFonts w:ascii="Arial" w:cs="Arial" w:eastAsia="Arial" w:hAnsi="Arial"/>
          <w:sz w:val="18"/>
          <w:szCs w:val="18"/>
          <w:b w:val="1"/>
          <w:bCs w:val="1"/>
          <w:color w:val="auto"/>
        </w:rPr>
      </w:pPr>
      <w:r>
        <w:rPr>
          <w:rFonts w:ascii="Arial" w:cs="Arial" w:eastAsia="Arial" w:hAnsi="Arial"/>
          <w:sz w:val="18"/>
          <w:szCs w:val="18"/>
          <w:i w:val="1"/>
          <w:iCs w:val="1"/>
          <w:color w:val="auto"/>
        </w:rPr>
        <w:t>Apheresis collection (Part A)</w:t>
      </w:r>
      <w:r>
        <w:rPr>
          <w:rFonts w:ascii="Arial" w:cs="Arial" w:eastAsia="Arial" w:hAnsi="Arial"/>
          <w:sz w:val="18"/>
          <w:szCs w:val="18"/>
          <w:color w:val="auto"/>
        </w:rPr>
        <w:t>. Patients in Cohort 2 will undergo an apheresis collection of lymphocytes prior to receiving four weeks of</w:t>
      </w:r>
      <w:r>
        <w:rPr>
          <w:rFonts w:ascii="Arial" w:cs="Arial" w:eastAsia="Arial" w:hAnsi="Arial"/>
          <w:sz w:val="18"/>
          <w:szCs w:val="18"/>
          <w:i w:val="1"/>
          <w:iCs w:val="1"/>
          <w:color w:val="auto"/>
        </w:rPr>
        <w:t xml:space="preserve"> </w:t>
      </w:r>
      <w:r>
        <w:rPr>
          <w:rFonts w:ascii="Arial" w:cs="Arial" w:eastAsia="Arial" w:hAnsi="Arial"/>
          <w:sz w:val="18"/>
          <w:szCs w:val="18"/>
          <w:color w:val="auto"/>
        </w:rPr>
        <w:t>disease-specific therapy per their oncologists’ recommendations.</w:t>
      </w:r>
    </w:p>
    <w:p>
      <w:pPr>
        <w:spacing w:after="0" w:line="116" w:lineRule="exact"/>
        <w:rPr>
          <w:rFonts w:ascii="Arial" w:cs="Arial" w:eastAsia="Arial" w:hAnsi="Arial"/>
          <w:sz w:val="18"/>
          <w:szCs w:val="18"/>
          <w:b w:val="1"/>
          <w:bCs w:val="1"/>
          <w:color w:val="auto"/>
        </w:rPr>
      </w:pPr>
    </w:p>
    <w:p>
      <w:pPr>
        <w:ind w:left="1300" w:hanging="320"/>
        <w:spacing w:after="0" w:line="286" w:lineRule="auto"/>
        <w:tabs>
          <w:tab w:leader="none" w:pos="1296" w:val="left"/>
        </w:tabs>
        <w:numPr>
          <w:ilvl w:val="2"/>
          <w:numId w:val="28"/>
        </w:numPr>
        <w:rPr>
          <w:rFonts w:ascii="Arial" w:cs="Arial" w:eastAsia="Arial" w:hAnsi="Arial"/>
          <w:sz w:val="17"/>
          <w:szCs w:val="17"/>
          <w:b w:val="1"/>
          <w:bCs w:val="1"/>
          <w:color w:val="auto"/>
        </w:rPr>
      </w:pPr>
      <w:r>
        <w:rPr>
          <w:rFonts w:ascii="Arial" w:cs="Arial" w:eastAsia="Arial" w:hAnsi="Arial"/>
          <w:sz w:val="17"/>
          <w:szCs w:val="17"/>
          <w:i w:val="1"/>
          <w:iCs w:val="1"/>
          <w:color w:val="auto"/>
        </w:rPr>
        <w:t>Treatment with M-ceNK and N-803 (Part B)</w:t>
      </w:r>
      <w:r>
        <w:rPr>
          <w:rFonts w:ascii="Arial" w:cs="Arial" w:eastAsia="Arial" w:hAnsi="Arial"/>
          <w:sz w:val="17"/>
          <w:szCs w:val="17"/>
          <w:color w:val="auto"/>
        </w:rPr>
        <w:t>. If an adequate number of M-ceNK cells can be manufactured from the autologous apheresis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and the patients are eligible to participate in the treatment phase (Part B), M-ceNK will be infused in combination with subcutaneous N-803 on monthly repeatable cycles, subject to adequate doses of M-ceNK being available.</w:t>
      </w:r>
    </w:p>
    <w:p>
      <w:pPr>
        <w:spacing w:after="0" w:line="269" w:lineRule="exact"/>
        <w:rPr>
          <w:rFonts w:ascii="Arial" w:cs="Arial" w:eastAsia="Arial" w:hAnsi="Arial"/>
          <w:sz w:val="17"/>
          <w:szCs w:val="17"/>
          <w:b w:val="1"/>
          <w:bCs w:val="1"/>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Non-Hodgkin Lymphoma</w:t>
      </w:r>
    </w:p>
    <w:p>
      <w:pPr>
        <w:spacing w:after="0" w:line="121"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 xml:space="preserve">According to the American Cancer Society, in 2023 it is estimated that 80,550 people will be diagnosed with non-Hodgkin lymphoma (NHL) in the U.S. and 20,180 deaths will be attributed to the disease. A Phase 1 trial evaluating N-803 in combination with rituximab, an anti-CD20 mAb therapy, in patients with indolent non-Hodgkin lymphoma (iNHL), who had relapsed or were refractory after two lines of therapy, was published in the American Association for Cancer Research journal, </w:t>
      </w:r>
      <w:r>
        <w:rPr>
          <w:rFonts w:ascii="Arial" w:cs="Arial" w:eastAsia="Arial" w:hAnsi="Arial"/>
          <w:sz w:val="17"/>
          <w:szCs w:val="17"/>
          <w:i w:val="1"/>
          <w:iCs w:val="1"/>
          <w:color w:val="auto"/>
        </w:rPr>
        <w:t>Clinical Cancer Research</w:t>
      </w:r>
      <w:r>
        <w:rPr>
          <w:rFonts w:ascii="Arial" w:cs="Arial" w:eastAsia="Arial" w:hAnsi="Arial"/>
          <w:sz w:val="17"/>
          <w:szCs w:val="17"/>
          <w:color w:val="auto"/>
        </w:rPr>
        <w:t>, in 2021. The combination regimen of N-803 and Rituxan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well tolerated with a single reported grade 4 adverse event and no reported grade 5 adverse events. For patients with anti-CD20 mAb sensitive disease, the overall response rate in the SQ cohort was 78% (7 of 9) with 7 of 7 (100%) responses in the SQ cohorts were complete remissions (CRs).</w:t>
      </w:r>
    </w:p>
    <w:p>
      <w:pPr>
        <w:spacing w:after="0" w:line="189" w:lineRule="exact"/>
        <w:rPr>
          <w:sz w:val="20"/>
          <w:szCs w:val="20"/>
          <w:color w:val="auto"/>
        </w:rPr>
      </w:pPr>
    </w:p>
    <w:p>
      <w:pPr>
        <w:ind w:right="40" w:firstLine="648"/>
        <w:spacing w:after="0" w:line="217" w:lineRule="exact"/>
        <w:rPr>
          <w:sz w:val="20"/>
          <w:szCs w:val="20"/>
          <w:color w:val="auto"/>
        </w:rPr>
      </w:pPr>
      <w:r>
        <w:rPr>
          <w:rFonts w:ascii="Arial" w:cs="Arial" w:eastAsia="Arial" w:hAnsi="Arial"/>
          <w:sz w:val="18"/>
          <w:szCs w:val="18"/>
          <w:color w:val="auto"/>
        </w:rPr>
        <w:t>Most B-cell malignancies express high levels of CD19, including the majority of NHLs, such as diffuse large B Cell lymphoma (DLBCL), follicular lymphoma (FL), and mantle cell lymphoma. In addition, many leukemias express high levels of CD19, including B-cell precursor acute lymphoblastic leukemia, chronic lymphocytic leukemia (CLL), and hairy cell leukemia. As such, two CD19</w:t>
      </w:r>
      <w:r>
        <w:rPr>
          <w:rFonts w:ascii="MS PGothic" w:cs="MS PGothic" w:eastAsia="MS PGothic" w:hAnsi="MS PGothic"/>
          <w:sz w:val="18"/>
          <w:szCs w:val="18"/>
          <w:color w:val="auto"/>
        </w:rPr>
        <w:t>‑</w:t>
      </w:r>
      <w:r>
        <w:rPr>
          <w:rFonts w:ascii="Arial" w:cs="Arial" w:eastAsia="Arial" w:hAnsi="Arial"/>
          <w:sz w:val="18"/>
          <w:szCs w:val="18"/>
          <w:color w:val="auto"/>
        </w:rPr>
        <w:t>directed CAR-T cell therapeutics are FDA-approved for use in a variety of indications including NHL and ALL. Like T cells, NK cells can be genetically modified to express CARs that recognize tumor</w:t>
      </w:r>
      <w:r>
        <w:rPr>
          <w:rFonts w:ascii="MS PGothic" w:cs="MS PGothic" w:eastAsia="MS PGothic" w:hAnsi="MS PGothic"/>
          <w:sz w:val="18"/>
          <w:szCs w:val="18"/>
          <w:color w:val="auto"/>
        </w:rPr>
        <w:t>‑</w:t>
      </w:r>
      <w:r>
        <w:rPr>
          <w:rFonts w:ascii="Arial" w:cs="Arial" w:eastAsia="Arial" w:hAnsi="Arial"/>
          <w:sz w:val="18"/>
          <w:szCs w:val="18"/>
          <w:color w:val="auto"/>
        </w:rPr>
        <w:t>associated cell-surface antigens and mediate specific recognition and lysis of cancer cells. A number of aNK cell lines that express CARs have been developed and importantly, aNK cells engineered with CARs targeting CD19 and CD20 have shown to be effective against in vitro/in vivo models of lymphoblastic leukemia and lymphoma (Boissel 2013, Muller 2008, Romanski 2016). Derived from aNK, the haNK cell line is engineered to express the high-affinity variant of the Fcγ receptor (FcγRIIIa/CD16a 158V) as well as endoplasmic reticulum-retained IL-2, and has demonstrated enhanced ADCC-mediated antitumor activity (Jochems 2016). The CD19 t-haNK cell line combines the engineered enhancements of haNK cells with the expression of a CAR targeting CD19, and thus has potential to demonstrate robust ADCC antitumor activity against cancerous B cells and provide clinical benefit to patients with r/r NHL.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Relapsed/Refractory Non-Hodgkin Lymphoma (QUILT 3.092)</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currently developing an open-label, Phase 1, first-in-human, open-label trial to study the safety of CD19 t-haNK as a single agent and the safety and preliminary efficacy of CD19 t-haNK in combination rituximab only (Cohort A) and in combination with N-803 and rituximab (Cohort B) in patients with r/r NHL.</w:t>
      </w:r>
    </w:p>
    <w:p>
      <w:pPr>
        <w:spacing w:after="0" w:line="28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Oncology Indications</w:t>
      </w:r>
    </w:p>
    <w:p>
      <w:pPr>
        <w:spacing w:after="0" w:line="12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to the trials listed above, we are exploring or pursuing several other both company-sponsored and investigator-initiated studies of our product candidates including in colon cancer (N-803, hAd5 CEA), prostate cancer (N-803, hAd5 PSA), Lynch Syndrome (N-803, hAd5 CEA, hAd5 MUC1, hAd5 Brachyury), and head and neck cancer (N-803, hAd5 CEA, hAd5 MUC1, hAd5 Brachyury) among others.</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837565</wp:posOffset>
            </wp:positionV>
            <wp:extent cx="5966460" cy="184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SARS-CoV-2</w:t>
      </w:r>
    </w:p>
    <w:p>
      <w:pPr>
        <w:spacing w:after="0" w:line="12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Since the inception of the pandemic, we have believed that a highly mutable S-only focused, antibody-based vaccine approach that could require boosters approximately every six months, would prove insufficient to overcome viral evolution. We have believed T cell response is critical to clearing the virus and long-term immunity and so our focus is on vaccine candidates that also target the more highly conserved N protein. With mass adoption of first-generation S-only vaccines, our data from our prior NHP Challenge Study and early trials have formed the basis of our design of a universal T cell boost vaccine candidate and the associated set of trials currently underway in South Africa.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THEMBA saRNA Vaccine Boost—South Africa (COVID 4.015)</w:t>
      </w:r>
    </w:p>
    <w:p>
      <w:pPr>
        <w:spacing w:after="0" w:line="11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The THEMBA trials are the first studies of our joint venture saRNA technology with next-generation NLCs. In South Africa in 2022, we initiated a Phase 1/2 trial assessing the safety, reactogenicity, and immunogenicity of saRNA-based vaccines against SARS-CoV-2 as boost vaccines in participants that have been previously vaccinated against or previously infected with COVID-19. We are testing both an saRNA S and saRNA N construct. The Phase 1 portion of the trial is ongoing in the first quarter of 2023. The Phase 1 trial, for up to 60 previously vaccinated/infected participants, will be enrolled as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 separate cohorts to receive a single vaccine boost consisting of different doses of either saRNA encoding the Spike protein (AAHI-SC2 vaccine) or saRNA encoding the nucleocapsid protein (AAHI-SC3 vaccine) delivered by NLC. We expect the Phase 2 trial, of up to 120 previously vaccinated/infected additional participants, to be enrolled with a randomized 1:1:1:1 design to receive Janssen, Moderna or Pfizer-BioNTech vaccines (control arm), the AAHI-SC2 vaccine (experimental arm 1), or the AHHI-SC3 (experimental arms 2 and 3).</w:t>
      </w:r>
    </w:p>
    <w:p>
      <w:pPr>
        <w:spacing w:after="0" w:line="29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HIV</w:t>
      </w:r>
    </w:p>
    <w:p>
      <w:pPr>
        <w:spacing w:after="0" w:line="1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HIV affects tens of millions of people globally and currently has no known cure. One current strategy for curing HIV is known as the “kick and kill” approach. The “kick” is to induce HIV out of its latent resting state in T cells and the “kill” is to remove or kill the infected cells via an immune response or immunotherapy. We believe N-803 is a molecule capable of both “kick and kill” in this strategy because of its ability to activate viral transcription in CD4+ T cells (“kick”) while strongly activating CD8+ effector memory cells and NK cells important for recognizing and killing HIV infected cells (“kill”), as well as directing these cells to sites of viral reservoirs.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HIV Cure Study</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June 2021, we announced the opening of a study sponsored by the AIDS Clinical Trials Group (ACTG) and the NIAID (the “HIV Cure Study”) that will evaluate whether N-803 alone or together with broadly neutralizing antibodies can control HIV following interruption of antiretroviral therapy (ART). The Phase 1 open-label, randomized trial will enroll 46 people living with HIV whose virus has been suppressed by ART for approximately two years, including at least 30% cisgender women or transgender men.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Thai Red Cross and the U.S. Military HIV Research Program</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April 2021, we announced the launch of a Phase 2 trial sponsored by the Thai Red Cross and the U.S. Military HIV Research Program. The trial is enrolling 15 patients and is designed to investigate the safety, tolerability and immunostimulatory effects of administering N-803 during acute HIV infection. N-803 will be administered subcutaneously at weeks zero, three and six (for a total of three doses) and will be initiated together with antiretroviral therapy in order to determine if the immunostimulatory effects of N-803 will reduce the amount of HIV present during acute infection. The trial duration for individual participants will be approximately 12 weeks. It is hypothesized that N-803 initiated with anti-retroviral therapy during acute HIV infection will not result in complications or additional toxicities compared with anti-retroviral therapy alone, and may result in a reduced viral load in these patients by inhibiting early establishment of HIV reservoirs in infected individuals.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NIAID University of Minnesota Trial</w:t>
      </w:r>
    </w:p>
    <w:p>
      <w:pPr>
        <w:spacing w:after="0" w:line="117"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A Phase 1b, non-randomized, open-label clinical trial sponsored by the University of Minnesota in collaboration with the National Institute of Allergy and Infectious Diseases (NIAID) investigated the effect of N-803 on B cell follicles in antiretroviral treated HIV disease. This trial included</w:t>
      </w:r>
    </w:p>
    <w:p>
      <w:pPr>
        <w:ind w:right="220"/>
        <w:spacing w:after="0" w:line="277" w:lineRule="auto"/>
        <w:rPr>
          <w:sz w:val="20"/>
          <w:szCs w:val="20"/>
          <w:color w:val="auto"/>
        </w:rPr>
      </w:pPr>
      <w:r>
        <w:rPr>
          <w:rFonts w:ascii="Arial" w:cs="Arial" w:eastAsia="Arial" w:hAnsi="Arial"/>
          <w:sz w:val="17"/>
          <w:szCs w:val="17"/>
          <w:color w:val="auto"/>
        </w:rPr>
        <w:t>10 HIV-infected adults on effective antiretroviral therapy who received N-803 to intensively investigate the immunological effects of treatment. The hypothesis is that in HIV-infected subjects treated with N-803, CD8+ T cells will migrate to and increase in number in B cell follicles that will result in a reduction in the frequency of cells with an inducible HIV provirus. The trial is in data analysis mode with all subjects having completed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-292100</wp:posOffset>
            </wp:positionV>
            <wp:extent cx="2540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to the studies and trials listed above, we are exploring an additional HIV trial with our Thai and U.S. Military collaborators using N-803 plus broadly neutralizing antibodies (bNAbs) and HIV vaccines.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Large-Scale GMP Biologic Manufacturing Capabilities</w:t>
      </w:r>
    </w:p>
    <w:p>
      <w:pPr>
        <w:spacing w:after="0" w:line="12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ImmunityBio has adopted a strategic position to be vertically integrated and develop its products according to the FDA’s GMP standards for large-scale manufacturing, even during Phase 2 clinical trial development. Biological upstream and downstream manufacturing capabilities, with its attendant know-how and regulatory compliance for approval, have long lead times. We have adopted an approach for preparedness to provide our vaccine, immunotherapy and cell therapy products at a global scale. As such, we have established our own plants and have access to facilities on a global basis.</w:t>
      </w:r>
    </w:p>
    <w:p>
      <w:pPr>
        <w:spacing w:after="0" w:line="15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ability to create an efficient manufacturing process and supply chain will be important in enabling us to develop novel therapies. Our strategy is to anticipate the needs of our early-stage research and development initiatives for preclinical and eventual clinical product candidates with a focus on rapid capability to produce at scale fusion proteins, hAd5, saRNA, subunit protein, toll receptor activator, and NK cell products. In addition, our pipeline for development of synthetic small molecules and immunomodulatory peptides uses innovative technology to derive new therapies. We believe members of our management team, many of whom have experience in both nanoparticle commercialization and large-scale injectable drug production, are capable of constructing the processes and commissioning the facilities necessary to meet our development and commercialization goals. For well-known processes, we currently work, and plan to continue working, with established contract manufacturing organizations (CMOs) to produce drug substance and drug products. In addition, we plan to further enhance our in-house manufacturing capabilities for drug substances, drug products, and labeling and packaging.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Manufacturing Model</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manufacturing capabilities include advanced technology facilities to produce and test various drug substances and drug products. Our experienced operations and quality team focuses on internal manufacturing and testing with a constant endeavor to create robust, high quality, efficient and consistent supply that meets target product profiles. Our Phase 1 manufacturing process is designed to seamlessly scale-up through all phases of clinical development to commercial manufacturing to drive successful commercialization.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cGMP Production</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our N-803 product candidate, we have contracted with a multi-national biologics manufacturer with multiple cGMP-compliant facilities in the U.S., Europe and Asia for our current clinical trials and future commercial sales, if approved. The facilities have robust process development and validation and quality oversight with high-capacity production suites operating multiple 2,000-20,000L production bioreactors.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GMP Antibody and Fusion Protein Production</w:t>
      </w:r>
    </w:p>
    <w:p>
      <w:pPr>
        <w:spacing w:after="0" w:line="11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are establishing a cGMP-compliant multi-platform facility in California, which includes a large space for the production of antibodies and fusion proteins (including N-803) to treat cancers and infectious diseases. This facility will include fully integrated biologic upstream and downstream production suites and a quality assurance/quality control release laboratory for high-capacity antibody and fusion protein production.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GMP saRNA, Adenovirus, and Yeast Production</w:t>
      </w:r>
    </w:p>
    <w:p>
      <w:pPr>
        <w:spacing w:after="0" w:line="11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have established other cGMP-compliant facilities for saRNA, adenovirus, and yeast production in multiple sites in California and a site in Colorado for oncology and infectious diseases. One of our sites in California is dedicated to adenovirus product candidates for the production of vaccine candidates to treat infectious diseases and oncology TAAs. These facilities generally have fully-integrated biologic upstream and downstream production suites and quality assurance/quality control release laboratories for high capacity, continuous, or personalized just-in-time vaccine production.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GMP NK Cell Therapy Production</w:t>
      </w:r>
    </w:p>
    <w:p>
      <w:pPr>
        <w:spacing w:after="0" w:line="117" w:lineRule="exact"/>
        <w:rPr>
          <w:sz w:val="20"/>
          <w:szCs w:val="20"/>
          <w:color w:val="auto"/>
        </w:rPr>
      </w:pPr>
    </w:p>
    <w:p>
      <w:pPr>
        <w:jc w:val="both"/>
        <w:ind w:right="160" w:firstLine="648"/>
        <w:spacing w:after="0" w:line="230" w:lineRule="exact"/>
        <w:rPr>
          <w:sz w:val="20"/>
          <w:szCs w:val="20"/>
          <w:color w:val="auto"/>
        </w:rPr>
      </w:pPr>
      <w:r>
        <w:rPr>
          <w:rFonts w:ascii="Arial" w:cs="Arial" w:eastAsia="Arial" w:hAnsi="Arial"/>
          <w:sz w:val="18"/>
          <w:szCs w:val="18"/>
          <w:color w:val="auto"/>
        </w:rPr>
        <w:t>We have established other cGMP-compliant facilities for NK cell therapy product production in multiple sites in California for oncology. One of our sites in California is dedicated to our off-the-shelf product candidates (including PD-L1 t</w:t>
      </w:r>
      <w:r>
        <w:rPr>
          <w:rFonts w:ascii="MS PGothic" w:cs="MS PGothic" w:eastAsia="MS PGothic" w:hAnsi="MS PGothic"/>
          <w:sz w:val="19"/>
          <w:szCs w:val="19"/>
          <w:color w:val="auto"/>
        </w:rPr>
        <w:t>‑</w:t>
      </w:r>
      <w:r>
        <w:rPr>
          <w:rFonts w:ascii="Arial" w:cs="Arial" w:eastAsia="Arial" w:hAnsi="Arial"/>
          <w:sz w:val="18"/>
          <w:szCs w:val="18"/>
          <w:color w:val="auto"/>
        </w:rPr>
        <w:t>haNK), while another is primarily focused on our M-ceNK product candidates, including a training lab for our second-generation offerings.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cGMP ISO Class 5 Manufacturing Facility</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14, 2022, we acquired a leasehold interest in approximately 409,000 rentable square feet of cGMP ISO Class 5 pharmaceutical manufacturing space in western New York (the Dunkirk Facility). In September 2022, we initiated a workforce reduction at the Dunkirk Facility as a result of upcoming construction at the project, which we believe may take approximately 12 to 18 months. We believe this facility will provide us with a state-of-the-art biotech production center that will substantially expand and diversify our existing manufacturing capacity in the U.S. and the ability to scale production across all of our key platforms.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of Platform Product Candidates</w:t>
      </w:r>
    </w:p>
    <w:p>
      <w:pPr>
        <w:spacing w:after="0" w:line="117"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ImmunityBio’s diverse product candidate portfolio and pipeline requires a broad knowledge of various manufacturing and quality assurance methods. We have invested heavily in the processes, systems and technology to build an extensive range of manufacturing programs spanning various levels of development from IND-enablement through BLA preparation of our first commercial product.</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our plan to selectively use CMOs for certain of our assets at various stages, coupled with internal development, will give us assurance that any products will have backup manufacturing options.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 We believe that the key competitive factors affecting the success of any of our product candidates will include safety profile, efficacy, convenience, cost, market access, level of promotional activity devoted to them, competitive intensity, and intellectual property protection.</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focused our efforts on oncological and infectious disease indications that are difficult to treat and with large unmet needs, and we believe our platform will be broadly applicable across multiple tumor types and infections. Based on the breadth and depth of our platforms, we believe our competitors will range from large pharmaceutical companies to emerging novel biotechnology 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71" w:lineRule="exact"/>
        <w:rPr>
          <w:sz w:val="20"/>
          <w:szCs w:val="20"/>
          <w:color w:val="auto"/>
        </w:rPr>
      </w:pPr>
    </w:p>
    <w:p>
      <w:pPr>
        <w:ind w:left="980" w:right="20" w:hanging="324"/>
        <w:spacing w:after="0" w:line="286" w:lineRule="auto"/>
        <w:tabs>
          <w:tab w:leader="none" w:pos="975" w:val="left"/>
        </w:tabs>
        <w:numPr>
          <w:ilvl w:val="0"/>
          <w:numId w:val="3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Antibody Cytokine Fusion and Recombinant Proteins. </w:t>
      </w:r>
      <w:r>
        <w:rPr>
          <w:rFonts w:ascii="Arial" w:cs="Arial" w:eastAsia="Arial" w:hAnsi="Arial"/>
          <w:sz w:val="16"/>
          <w:szCs w:val="16"/>
          <w:color w:val="auto"/>
        </w:rPr>
        <w:t>This platform primarily competes with large pharmaceutical companies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checkpoint inhibitors. However, the potential exists for some of these large pharmaceutical companies to seek collaboration for combination of N-803 with their marketed checkpoint inhibitor. This platform will also compete with immunotherapy fusion protein companies developing similar approaches, including Nektar Therapeutics, Neoleukin Therapeutics, Inc., Novartis International AG (Novartis), F. Hoffmann-</w:t>
      </w:r>
    </w:p>
    <w:p>
      <w:pPr>
        <w:spacing w:after="0" w:line="1" w:lineRule="exact"/>
        <w:rPr>
          <w:rFonts w:ascii="Arial" w:cs="Arial" w:eastAsia="Arial" w:hAnsi="Arial"/>
          <w:sz w:val="16"/>
          <w:szCs w:val="16"/>
          <w:b w:val="1"/>
          <w:bCs w:val="1"/>
          <w:color w:val="auto"/>
        </w:rPr>
      </w:pPr>
    </w:p>
    <w:p>
      <w:pPr>
        <w:ind w:left="980" w:right="6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La Roche AG (Roche), Xencor, Inc., Sanofi, S.A. (Sanofi), and in the context of NMIBC, Ferring Pharmaceuticals, Merck &amp; Co., Inc. (Merck), and CG Oncology Inc.</w:t>
      </w:r>
    </w:p>
    <w:p>
      <w:pPr>
        <w:spacing w:after="0" w:line="131" w:lineRule="exact"/>
        <w:rPr>
          <w:rFonts w:ascii="Arial" w:cs="Arial" w:eastAsia="Arial" w:hAnsi="Arial"/>
          <w:sz w:val="16"/>
          <w:szCs w:val="16"/>
          <w:b w:val="1"/>
          <w:bCs w:val="1"/>
          <w:color w:val="auto"/>
        </w:rPr>
      </w:pPr>
    </w:p>
    <w:p>
      <w:pPr>
        <w:ind w:left="980" w:right="200" w:hanging="324"/>
        <w:spacing w:after="0" w:line="293" w:lineRule="auto"/>
        <w:tabs>
          <w:tab w:leader="none" w:pos="975" w:val="left"/>
        </w:tabs>
        <w:numPr>
          <w:ilvl w:val="0"/>
          <w:numId w:val="32"/>
        </w:numPr>
        <w:rPr>
          <w:rFonts w:ascii="Arial" w:cs="Arial" w:eastAsia="Arial" w:hAnsi="Arial"/>
          <w:sz w:val="16"/>
          <w:szCs w:val="16"/>
          <w:b w:val="1"/>
          <w:bCs w:val="1"/>
          <w:color w:val="auto"/>
        </w:rPr>
      </w:pPr>
      <w:r>
        <w:rPr>
          <w:rFonts w:ascii="Arial" w:cs="Arial" w:eastAsia="Arial" w:hAnsi="Arial"/>
          <w:sz w:val="16"/>
          <w:szCs w:val="16"/>
          <w:i w:val="1"/>
          <w:iCs w:val="1"/>
          <w:color w:val="auto"/>
        </w:rPr>
        <w:t>DNA, RNA, and Recombinant Protein Vaccine Technologies</w:t>
      </w:r>
      <w:r>
        <w:rPr>
          <w:rFonts w:ascii="Arial" w:cs="Arial" w:eastAsia="Arial" w:hAnsi="Arial"/>
          <w:sz w:val="16"/>
          <w:szCs w:val="16"/>
          <w:color w:val="auto"/>
        </w:rPr>
        <w:t>. This platform and the associated product candidates will likely compete with</w:t>
      </w:r>
      <w:r>
        <w:rPr>
          <w:rFonts w:ascii="Arial" w:cs="Arial" w:eastAsia="Arial" w:hAnsi="Arial"/>
          <w:sz w:val="16"/>
          <w:szCs w:val="16"/>
          <w:i w:val="1"/>
          <w:iCs w:val="1"/>
          <w:color w:val="auto"/>
        </w:rPr>
        <w:t xml:space="preserve"> </w:t>
      </w:r>
      <w:r>
        <w:rPr>
          <w:rFonts w:ascii="Arial" w:cs="Arial" w:eastAsia="Arial" w:hAnsi="Arial"/>
          <w:sz w:val="16"/>
          <w:szCs w:val="16"/>
          <w:color w:val="auto"/>
        </w:rPr>
        <w:t>other cancer vaccines. Other potential cancer vaccine competitors include Achilles Therapeutics, Roche, BioNTech SE (BioNTech), Merck, Genocea Biosciences, Inc., Geneos Therapeutics, Inc., Hangzhou Neoantigen Therapeutics, Inc., and Gritstone Bio, Inc. There is currently one approved dendritic cell-based cancer vaccine, which is marketed by Dendron Pharmaceuticals, LLC for the treatment of metastatic castration-resistant prostate cancer. Competitor companies focused on dendritic cell-based approaches include Argos Therapeutics, Inc., Merck, Inovio Pharmaceuticals, Inc., Precigen Corporation, Inc., Medigene AG, and Northwest Biotherapeutics, Inc. (Northwest).</w:t>
      </w:r>
    </w:p>
    <w:p>
      <w:pPr>
        <w:spacing w:after="0" w:line="110" w:lineRule="exact"/>
        <w:rPr>
          <w:rFonts w:ascii="Arial" w:cs="Arial" w:eastAsia="Arial" w:hAnsi="Arial"/>
          <w:sz w:val="16"/>
          <w:szCs w:val="16"/>
          <w:b w:val="1"/>
          <w:bCs w:val="1"/>
          <w:color w:val="auto"/>
        </w:rPr>
      </w:pPr>
    </w:p>
    <w:p>
      <w:pPr>
        <w:ind w:left="980" w:right="400" w:hanging="324"/>
        <w:spacing w:after="0" w:line="308" w:lineRule="auto"/>
        <w:tabs>
          <w:tab w:leader="none" w:pos="975" w:val="left"/>
        </w:tabs>
        <w:numPr>
          <w:ilvl w:val="0"/>
          <w:numId w:val="32"/>
        </w:numPr>
        <w:rPr>
          <w:rFonts w:ascii="Arial" w:cs="Arial" w:eastAsia="Arial" w:hAnsi="Arial"/>
          <w:sz w:val="17"/>
          <w:szCs w:val="17"/>
          <w:b w:val="1"/>
          <w:bCs w:val="1"/>
          <w:color w:val="auto"/>
        </w:rPr>
      </w:pPr>
      <w:r>
        <w:rPr>
          <w:rFonts w:ascii="Arial" w:cs="Arial" w:eastAsia="Arial" w:hAnsi="Arial"/>
          <w:sz w:val="17"/>
          <w:szCs w:val="17"/>
          <w:i w:val="1"/>
          <w:iCs w:val="1"/>
          <w:color w:val="auto"/>
        </w:rPr>
        <w:t>Toll-Like Receptor Activators</w:t>
      </w:r>
      <w:r>
        <w:rPr>
          <w:rFonts w:ascii="Arial" w:cs="Arial" w:eastAsia="Arial" w:hAnsi="Arial"/>
          <w:sz w:val="17"/>
          <w:szCs w:val="17"/>
          <w:color w:val="auto"/>
        </w:rPr>
        <w:t>. This platform competes with companies offering other TLR agonist-based approaches, including Dynavax</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Corporation, Panacela Labs LLC, Primmune Therapeutics, Inc., and Statera BioPharma, Inc.</w:t>
      </w:r>
    </w:p>
    <w:p>
      <w:pPr>
        <w:spacing w:after="0" w:line="92" w:lineRule="exact"/>
        <w:rPr>
          <w:rFonts w:ascii="Arial" w:cs="Arial" w:eastAsia="Arial" w:hAnsi="Arial"/>
          <w:sz w:val="17"/>
          <w:szCs w:val="17"/>
          <w:b w:val="1"/>
          <w:bCs w:val="1"/>
          <w:color w:val="auto"/>
        </w:rPr>
      </w:pPr>
    </w:p>
    <w:p>
      <w:pPr>
        <w:ind w:left="980" w:right="100" w:hanging="324"/>
        <w:spacing w:after="0" w:line="218" w:lineRule="exact"/>
        <w:tabs>
          <w:tab w:leader="none" w:pos="975" w:val="left"/>
        </w:tabs>
        <w:numPr>
          <w:ilvl w:val="0"/>
          <w:numId w:val="3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NK Cell Therapy. </w:t>
      </w:r>
      <w:r>
        <w:rPr>
          <w:rFonts w:ascii="Arial" w:cs="Arial" w:eastAsia="Arial" w:hAnsi="Arial"/>
          <w:sz w:val="16"/>
          <w:szCs w:val="16"/>
          <w:color w:val="auto"/>
        </w:rPr>
        <w:t>This platform’s product candidates (haNK, taNK, t</w:t>
      </w:r>
      <w:r>
        <w:rPr>
          <w:rFonts w:ascii="MS PGothic" w:cs="MS PGothic" w:eastAsia="MS PGothic" w:hAnsi="MS PGothic"/>
          <w:sz w:val="16"/>
          <w:szCs w:val="16"/>
          <w:color w:val="auto"/>
        </w:rPr>
        <w:t>‑</w:t>
      </w:r>
      <w:r>
        <w:rPr>
          <w:rFonts w:ascii="Arial" w:cs="Arial" w:eastAsia="Arial" w:hAnsi="Arial"/>
          <w:sz w:val="16"/>
          <w:szCs w:val="16"/>
          <w:color w:val="auto"/>
        </w:rPr>
        <w:t>haNK and M-ceNK) face competition from several companies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NK cell-based approaches, including Catamaran Bio Inc., Celularity, Inc. (Celularity), Century Therapeutics, Inc., Fate Therapeutics, Inc., Gamida Cell, Ltd., INmune Bio Inc., Nkarta Therapeutics, Inc., NKGen Biotech, Inc., Artiva Biotherapeutics Inc./Merck, Sanofi, Shoreline Biosciences, Inc., and Takeda Pharmaceutical Company Limited (Takeda). In addition, our NK cell product candidates compete with other cell and molecule-based immunotherapy approaches using or targeting natural killer cells, NKT cells, T cells, macrophages, and dendritic cells. There are currently six approved T cell-based treatments marketed by Novartis, Gilead Sciences, Inc. (Gilead)/Kite Pharma</w:t>
      </w:r>
    </w:p>
    <w:p>
      <w:pPr>
        <w:spacing w:after="0" w:line="4" w:lineRule="exact"/>
        <w:rPr>
          <w:rFonts w:ascii="Arial" w:cs="Arial" w:eastAsia="Arial" w:hAnsi="Arial"/>
          <w:sz w:val="16"/>
          <w:szCs w:val="16"/>
          <w:b w:val="1"/>
          <w:bCs w:val="1"/>
          <w:color w:val="auto"/>
        </w:rPr>
      </w:pPr>
    </w:p>
    <w:p>
      <w:pPr>
        <w:ind w:left="980" w:right="80"/>
        <w:spacing w:after="0" w:line="216" w:lineRule="exact"/>
        <w:rPr>
          <w:rFonts w:ascii="Arial" w:cs="Arial" w:eastAsia="Arial" w:hAnsi="Arial"/>
          <w:sz w:val="16"/>
          <w:szCs w:val="16"/>
          <w:b w:val="1"/>
          <w:bCs w:val="1"/>
          <w:color w:val="auto"/>
        </w:rPr>
      </w:pPr>
      <w:r>
        <w:rPr>
          <w:rFonts w:ascii="Arial" w:cs="Arial" w:eastAsia="Arial" w:hAnsi="Arial"/>
          <w:sz w:val="18"/>
          <w:szCs w:val="18"/>
          <w:color w:val="auto"/>
        </w:rPr>
        <w:t>(two marketed products), Bristol-Myers Squibb Company (BMS) (two marketed products), and Janssen Pharmaceuticals, Inc. (Janssen)/Johnson &amp; Johnson. Additional companies focused on CAR</w:t>
      </w:r>
      <w:r>
        <w:rPr>
          <w:rFonts w:ascii="MS PGothic" w:cs="MS PGothic" w:eastAsia="MS PGothic" w:hAnsi="MS PGothic"/>
          <w:sz w:val="18"/>
          <w:szCs w:val="18"/>
          <w:color w:val="auto"/>
        </w:rPr>
        <w:t>‑</w:t>
      </w:r>
      <w:r>
        <w:rPr>
          <w:rFonts w:ascii="Arial" w:cs="Arial" w:eastAsia="Arial" w:hAnsi="Arial"/>
          <w:sz w:val="18"/>
          <w:szCs w:val="18"/>
          <w:color w:val="auto"/>
        </w:rPr>
        <w:t>T-related treatment approaches include Allogene Therapeutics, Inc., BMS, Novartis, Pfizer, Inc. (Pfizer), Cellectis SA, Poseida Therapeutics, Inc., Janssen, Celularity, Takeda, and Gilead. Competitor companies focused on other T cell-based approaches include Adaptimmune Ltd., Adicet Bio, Inc., Autolus Therapeutics, plc, GlaxoSmithKline plc. (GSK), Precision Biosciences, Inc., Beam Therapeutics Inc., BioNTech, Sensei Biotherapeutics, Inc., Senti Biosciences, Inc., and TCR² Therapeutics Inc.</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920" w:hanging="324"/>
        <w:spacing w:after="0" w:line="289" w:lineRule="auto"/>
        <w:tabs>
          <w:tab w:leader="none" w:pos="975"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DAMP Inducers</w:t>
      </w:r>
      <w:r>
        <w:rPr>
          <w:rFonts w:ascii="Arial" w:cs="Arial" w:eastAsia="Arial" w:hAnsi="Arial"/>
          <w:sz w:val="16"/>
          <w:szCs w:val="16"/>
          <w:color w:val="auto"/>
        </w:rPr>
        <w:t>. This platform competes with companies offering various chemotherapeutic agents, including Abraxane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(BMS),</w:t>
      </w:r>
      <w:r>
        <w:rPr>
          <w:rFonts w:ascii="Arial" w:cs="Arial" w:eastAsia="Arial" w:hAnsi="Arial"/>
          <w:sz w:val="16"/>
          <w:szCs w:val="16"/>
          <w:i w:val="1"/>
          <w:iCs w:val="1"/>
          <w:color w:val="auto"/>
        </w:rPr>
        <w:t xml:space="preserve"> </w:t>
      </w:r>
      <w:r>
        <w:rPr>
          <w:rFonts w:ascii="Arial" w:cs="Arial" w:eastAsia="Arial" w:hAnsi="Arial"/>
          <w:sz w:val="16"/>
          <w:szCs w:val="16"/>
          <w:color w:val="auto"/>
        </w:rPr>
        <w:t>doxorubicin and paclitaxel/Taxol, as well as an antibody drug conjugate produced by Immunomedics, Inc. (acquired by Gilead).</w:t>
      </w:r>
    </w:p>
    <w:p>
      <w:pPr>
        <w:spacing w:after="0" w:line="155"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Other potential immunotherapy competitors in oncology include Affimed GmbH, AgenTus Therapeutics, Inc., Appia Bio, Inc., Codiak Biosciences, Compass Therapeutics, Inc., Glycostem Therapeutics BV, Kuur Therapeutics Limited, GammaDelta Therapeutics Ltd. (Takeda), Lyell Immunopharma, Inc., and GT Biopharma,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Currently, our infectious disease product candidates are primarily focused on SARS-CoV-2 and HIV. Competitor companies focused on COVID-19 vaccines (adenovirus, mRNA, and other approaches) include AstraZeneca, Johnson &amp; Johnson/Janssen, Merck, Moderna Therapeutics, Inc., Novavax, Inc., and Pfizer/BioNTech. In addition, a very large number of companies, government agencies and academic centers around the world are developing or have developed COVID-19 vaccines and therapeutics. In the HIV space, we have product candidates that use N-803 that will likely compete with companies who have approved therapeutics for HIV, including Abbott Laboratories Inc., BMS, Gilead, and GSK.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filing patent applications in the U.S. and in jurisdictions outside of the U.S.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cancer therapeutics and immunotherapy. We expect to rely on data exclusivity, market exclusivity, patent term adjustment and patent term extensions when available, as well as on regulatory protection afforded through orphan drug designations. Our commercial success will depend in part on our ability to obtain and maintain patent and other proprietary protection for our product candidates, technology, inventions, and improvements; to preserve the confidentiality of our trade secrets; to maintain our licenses to use intellectual property owned by third parties; to defend and enforce our proprietary rights, including our patents; and to operate without infringing, misappropriating or otherwise violating the valid and enforceable patents and other proprietary rights of third parties.</w:t>
      </w:r>
    </w:p>
    <w:p>
      <w:pPr>
        <w:spacing w:after="0" w:line="18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have developed, acquired, and in-licensed patents and patent applications across platforms as previously described for: (1) activated NK and T cells; (2) memory T cell activation; and (3) activated tumoricidal macrophages. With respect to activated NK and T cells, we have developed N-803, an N72D variant IL-15 complexed to a dimeric IL-15Ra/Fc fusion protein; with respect to memory T cell activation, we have developed adenoviral and yeast immunotherapies expressing tumor antigens such as CEA, MUC1, and Brachyury, and in-licensed saRNA technologies; and with respect to activated tumoricidal macrophages, we have in-licensed intellectual property licensed to aldoxorubicin, a tumor-targeted doxorubicin conjugate, from LadRx.</w:t>
      </w:r>
    </w:p>
    <w:p>
      <w:pPr>
        <w:spacing w:after="0" w:line="16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own patents and patent applications related to the development and commercialization of N-803. As of December 31, 2022, our owned patent portfolio directed to N-803, methods of use of N-803, and combinations with additional therapeutics consists of approximately 19 issued U.S. patents and</w:t>
      </w:r>
    </w:p>
    <w:p>
      <w:pPr>
        <w:ind w:right="60"/>
        <w:spacing w:after="0" w:line="253" w:lineRule="auto"/>
        <w:rPr>
          <w:sz w:val="20"/>
          <w:szCs w:val="20"/>
          <w:color w:val="auto"/>
        </w:rPr>
      </w:pPr>
      <w:r>
        <w:rPr>
          <w:rFonts w:ascii="Arial" w:cs="Arial" w:eastAsia="Arial" w:hAnsi="Arial"/>
          <w:sz w:val="18"/>
          <w:szCs w:val="18"/>
          <w:color w:val="auto"/>
        </w:rPr>
        <w:t>8 pending U.S. patent applications, as well as approximately 77 patents issued in jurisdictions outside of the U.S., including Europe, China, Japan, Canada, and Australia. Excluding any patent term adjustment and patent term extension, the issued U.S. patents directed to N-803, methods of use of N-803 and combinations with additional therapeutics are expected to expire from 2028 to 2039. Excluding any applicable extensions, the issued foreign patents are expected to expire from 2028 to 2038. If patents issue from our pending U.S. patent applications, excluding any patent term adjustment and patent term extension, such patents will be expected to expire from 2031 to 2039.</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example, these patents and patent applications include claims directed to:</w:t>
      </w:r>
    </w:p>
    <w:p>
      <w:pPr>
        <w:spacing w:after="0" w:line="17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N-803 compositions of matter;</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uses of N-803 in methods of treating cancers;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uses of N-803 in treating HIV;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combination treatments using N-803 and additional therapeutics.</w:t>
      </w:r>
    </w:p>
    <w:p>
      <w:pPr>
        <w:spacing w:after="0" w:line="17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own and in-license patents and patent applications related to the development and commercialization of cell-based therapies. As of December 31, 2022, our owned patent portfolio directed to NK, haNK, and t-haNK cell lines, methods of use of these cells, and combinations with additional therapeutics consists of approximately 15 issued U.S. patents and 24 pending U.S. patent applications, as well as approximately 32 patents issued in jurisdictions outside of the U.S., including Europe, China, Japan, and Australia. As of December 31, 2022, our in-licensed patent portfolio directed to NK, haNK, and t-haNK lines, methods of use of these cells, and combinations with additional therapeutics consists of approximately 4 issued U.S. patents, as well as approximately 41 patents issued in jurisdictions outside of the U.S., including Europe, Canada, and Australia. Excluding any patent term adjustment and patent term extension, the issued U.S. patents directed to these cell therapies, methods of use, and combinations with additional therapeutics are expected to expire from 2025 to 2040. Excluding any applicable extensions, the issued foreign patents are expected to expire from 2025 to 2040. If patents issue from our pending U.S. patent applications, excluding any patent term adjustment and patent term extension, such patents will be expected to expire from 2034 to 2040. For example, these patents and patent applications include claims directed to:</w:t>
      </w:r>
    </w:p>
    <w:p>
      <w:pPr>
        <w:spacing w:after="0" w:line="11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NK cells;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haNK cells;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EGFR t-haNK cells;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CD19 t-haNK cells;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HER2 t-haNK cells;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PD-L1 t-haNK cells.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patents and patent applications related to development and commercialization of our preclinical assets N-820 and N-809. As of December 31, 2022, our owned patent portfolio directed to N-820 and N-809 and methods of use of N-820 and N-809 consists of approximately 7 issued U.S. patents and 1 pending U.S. patent application, as well as approximately 48 patents issued in jurisdictions outside of the U.S. Excluding any patent term adjustment and patent term extension, the issued U.S. patents directed to N-820 and N-809 are expected to expire from 2028 to 2039. If a patent issues from our pending U.S. patent application, excluding any patent term adjustment and patent term extension, this patent will be expected to expire in 2028. For example, these patents and patent applications include claims directed to fusions of checkpoint inhibitor and TAA antibodies and binding molecules with IL-15/IL-15Ra/Fc fusion proteins complexes.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exclusively in-license patents and patent applications from LadRx related to the development and commercialization of aldoxorubicin.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our licensed patent portfolio directed to aldoxorubicin and methods of use of aldoxorubicin consists of approximately 3 issued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patents, as well as approximately 22 patents issued in jurisdictions outside of the U.S., including Europe, Japan, Korea, and Australia. Excluding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term adjustment and patent term extension, the issued U.S. patents directed to aldoxorubicin are expected to expire from 2033 to 2034. Excluding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applicable extensions, the issued foreign patents are expected to expire from 2033 to 2034. For example, these patents and this patent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 claims directed to:</w:t>
      </w:r>
    </w:p>
    <w:p>
      <w:pPr>
        <w:spacing w:after="0" w:line="15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Aldoxorubicin formulations;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Aldoxorubicin formulations for use in treating cancer.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firstLine="648"/>
        <w:spacing w:after="0" w:line="287" w:lineRule="auto"/>
        <w:rPr>
          <w:sz w:val="20"/>
          <w:szCs w:val="20"/>
          <w:color w:val="auto"/>
        </w:rPr>
      </w:pPr>
      <w:r>
        <w:rPr>
          <w:rFonts w:ascii="Arial" w:cs="Arial" w:eastAsia="Arial" w:hAnsi="Arial"/>
          <w:sz w:val="16"/>
          <w:szCs w:val="16"/>
          <w:color w:val="auto"/>
        </w:rPr>
        <w:t>We exclusively own, and co-own with and in-license from the U.S. Department of Health and Human Services (HHS), patents and patent applications related to the development and commercialization of adenovirus-based cancer and viral immunotherapies. As of December 31, 2022, our patent portfolio directed to adenovirus and methods of use of adenovirus in treating or preventing cancer and viral diseases consists of approximately</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27 issued U.S. patents and approximately 6 pending U.S. patent applications, as well as approximately 70 patents issued in jurisdictions outside of the U.S. Excluding any patent term adjustment and patent term extension, the issued U.S. patents directed to adenovirus-based cancer and viral immunotherapies are expected to expire from 2024 to 2038. If patents issue from our pending U.S. patent applications, excluding any patent term adjustment and patent term extension, such patents will be expected to expire from 2030 to 2037. For example, these patents and patent applications include claims directed to:</w:t>
      </w:r>
    </w:p>
    <w:p>
      <w:pPr>
        <w:spacing w:after="0" w:line="10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Adenovirus vectors and virus particles comprising TAAs;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uses of adenovirus vectors and virus particles in methods of treating cancers.</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own, co-own with HHS and in-license from HHS and the University of Colorado, patents and patent applications related to the development and commercialization of yeast-based cancer and viral immunotherapies. As of December 31, 2022, our patent portfolio directed to yeast-based cancer and viral immunotherapies and methods of use of yeast-based cancer and viral immunotherapies in treating or preventing cancer and viral diseases consists of approximately 24 issued U.S. patents and approximately 4 pending U.S. patent applications, as well as approximately 214 patents issued in jurisdictions outside of the U.S. Excluding any patent term adjustment and patent term extension, the issued U.S. patents directed to yeast-based cancer and viral immunotherapies are expected to expire from 2023 to 2036. If any patents issue from our pending U.S. patent applications, excluding any patent term adjustment and patent term extension, such patents will be expected to expire from 2032 to 2039. For example, these patents and patent applications include claims directed to:</w:t>
      </w:r>
    </w:p>
    <w:p>
      <w:pPr>
        <w:spacing w:after="0" w:line="138"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yeast and yeast vehicles expressing TAAs and neoepitopes;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uses of yeast and yeast vehicles expressing TAAs and neoepitopes in methods of treating cancers.</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own 5 U.S. non-provisional patent applications and 2 patent cooperation treaty (PCT) applications directed to therapeutics for COVID-19. Some of these patent applications are directed to the use of our adenovirus and yeast technologies for a COVID-19 vaccine. If any patents issue from our pending U.S. patent applications, excluding any patent term adjustment and patent term extension, such patents will be expected to expire in 2040 and 2042.</w:t>
      </w:r>
    </w:p>
    <w:p>
      <w:pPr>
        <w:spacing w:after="0" w:line="18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in-license patents and patent applications from AAHI related to the development and commercialization of adjuvant formulations and saRNA based vaccines. As of December 31, 2022, our licensed patent portfolio directed to adjuvant formulations and saRNA vaccine platforms consists of approximately 4 issued U.S. patents and approximately 4 pending U.S. patent applications, as well as 1 issued patent in jurisdictions outside of the U.S. Excluding any patent term adjustment and patent term extension, the issued U.S. patents directed to adjuvant formulations and saRNA-based vaccines are expected to expire from 2027 to 2038. If any patents issue from our pending U.S. patent applications, excluding any patent term adjustment and patent term extension, such patents will be expected to expire from 2034 to 2038. The validity of one of our in-licensed issued European patents (EP Patent</w:t>
      </w:r>
    </w:p>
    <w:p>
      <w:pPr>
        <w:spacing w:after="0" w:line="4"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No. 2068918) is being challenged in an opposition proceeding. This patent is directed to vaccine compositions comprising certain lipid adjuvants. We believe AAHI has meritorious defenses against the opposition.</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own patents and patent applications related to the development and commercialization of GMP-in-a-Box. As of December 31, 2022, our patent portfolio directed to GMP-in-a-Box consists of approximately 7 issued U.S. patents and approximately 2 pending U.S. patent applications as well as approximately 62 patents issued in jurisdictions outside of the U.S. Excluding any patent term adjustment and patent term extension, the issued U.S. patents directed to GMP-in-a-Box are expected to expire in 2030 and 2037. If patents issue from our pending patent applications, excluding any patent term adjustment and patent term extension, such patents will be expected to expire in 2035 and 2039. For example, these patents and patent applications include claims directed to methods, bioreactors, and apparatuses for monitoring and culturing cells.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The term of individual patents extend for varying periods of time, depending upon the date of filing of the patent application, the date of patent issuance, and the legal term of patents in the countries in which they are obtained. Generally, patents issued for applications filed in the U.S. are effective for 20 years from the earliest effective filing date of a non-provisional patent application. The patent term may be adjusted to compensate for delayed patent issuance, when such delays are caused by the United States Patent and Trademark Office (USPTO) or successful appeals against USPTO actions. There is no statutory limit on this patent term adjustment, which is generally the length of any such delays caused by the USPTO. In addition, in certain instances, a patent term can be extended to recapture a portion of the term effectively lost as a result of the FDA regulatory review period. The restoration period cannot be longer than five years, the total patent term, including the restoration period, must not exceed 14 years following FDA approval, only one patent applicable to an approved drug may be extended and only those claims covering the approved drug, a method for using it, or a method for manufacturing it may be extended. While we plan to seek such patent term adjustments and extensions where applicable, there is no guarantee that the USPTO and/or FDA will agree with our assessment of whether such adjustments or extensions should be granted, and if granted, the length of such adjustments or extensions. The duration of patents outside of the U.S. varies in accordance with provisions of applicable local law, but typically is also</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 years from the earliest effective filing date. However, the actual protection afforded by a patent varies on a product-by-product and country-to-country basis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immunotherapy has emerged in the U.S. The patent situation outside of the U.S. is even more uncertain. Changes in either the patent laws or their interpretation in the U.S.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owned intellectual property, we cannot be sure that patents will be granted with respect to any current pending patent applications or with respect to any patent applications filed in the future, nor can we be sure that any existing patents or any patents that may be granted in the future will be commercially useful in protecting our product candidates and the methods used to manufacture those product candidates. Moreover, even our issued patents do not guarantee us the right to practice our technology in relation to the commercialization of our product candidates. The area of patent and other intellectual property rights in biotechnology is an evolving one with many risks and uncertainties, and third parties may have blocking patents that could be used to prevent us from commercializing our product candidates and practicing our technology. Our issued patents and those that may issue in the future may be challenged, invalidated, or circumvented, which could limit our ability to stop competitors from marketing related products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product candidates. Moreover, because of the extensive time required for development, testing and regulatory review of a potential product candidate, it is possible that, before any particular product candidate can be commercialized, any related patent may expire or remain in force for only a short period following commercialization, thereby reducing any advantage of the patent.</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registered trademark portfolio currently contains approximately 16 registered trademarks in the U.S., approximately 119 registered trademarks in foreign jurisdictions, approximately 29 pending trademark applications in the U.S., and approximately 52 pending trademark applications in foreign jurisdictions. We may also rely, in some circumstances, on trade secrets to protect our technology. However, trade secrets are difficult to protect. We seek to protect our trade secrets and other proprietary information,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or advisors use intellectual property owned by others in their work for us, disputes may arise as to the rights in related or resulting know-how and inventions. For risks related to our proprietary technology, inventions, improvements and products, see Part I, Item 1A., “</w:t>
      </w:r>
      <w:r>
        <w:rPr>
          <w:rFonts w:ascii="Arial" w:cs="Arial" w:eastAsia="Arial" w:hAnsi="Arial"/>
          <w:sz w:val="17"/>
          <w:szCs w:val="17"/>
          <w:i w:val="1"/>
          <w:iCs w:val="1"/>
          <w:color w:val="auto"/>
        </w:rPr>
        <w:t>Risk Factors—Risks Related to Intellectual Property</w:t>
      </w:r>
      <w:r>
        <w:rPr>
          <w:rFonts w:ascii="Arial" w:cs="Arial" w:eastAsia="Arial" w:hAnsi="Arial"/>
          <w:sz w:val="17"/>
          <w:szCs w:val="17"/>
          <w:color w:val="auto"/>
        </w:rPr>
        <w:t>” and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of this Annual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anticipate that strategic collaborations will continue to be an integral part of our operations, providing opportunities to leverage our partners’ expertise and capabilities to gain access to new technologies and further expand the potential of our technologies and product candidates across relevant platforms. We believe we are well positioned to become a leader in immunotherapy due to our broad and vertically-integrated platforms and through complementary strategic partnerships. Agreements shown below have been arranged in alphabetical order.</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following description of certain of our collaboration and license agreements is not a comprehensive listing of all such agreements to which we are a party, and the inclusion of a description of any collaboration or license agreement is not an indication that we consider such agreement(s) to be material to our business and operations as a whole, which is a dynamic and evolving analysis and may change over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Amyris Joint Venture</w:t>
      </w:r>
    </w:p>
    <w:p>
      <w:pPr>
        <w:spacing w:after="0" w:line="11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December 2021, Immunity Bio and Amyris entered into a 50:50 joint venture arrangement and formed a new limited liability company to conduct the business of the joint venture. The purpose of the joint venture is to accelerate commercialization of a next-generation COVID-19 vaccine utilizing an RNA vaccine platform license. As part of the limited liability agreement, Amyris agreed to contribute, in part, rights to its license agreement with AAHI for an RNA platform for the field of COVID-19, and ImmunityBio agreed to contribute, in part, priority access to its manufacturing capacity for the joint venture product.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Cancer Institute</w:t>
      </w:r>
    </w:p>
    <w:p>
      <w:pPr>
        <w:spacing w:after="0" w:line="11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and its subsidiaries began their relationship with HHS, as represented by the NCI of the National Institutes of Health (NIH) in 2015. Pursuant to the Cooperative Research and Development Agreement (CRADA), the NCI provides scientific staff and other support necessary to conduct research and related activities as described in the CRADA. During the term of the initial and amended CRADAs, we collaborated with the NCI on the preclinical and clinical development of an adenovirus technology expressing TAAs for cancer immunotherapy, the preclinical and clinical development of our proprietary yeast-based Tarmogens expressing TAAs, and the proprietary adenovirus technology expressing TAAS for cancer immunotherapy.</w:t>
      </w:r>
    </w:p>
    <w:p>
      <w:pPr>
        <w:spacing w:after="0" w:line="16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2021, the CRADA was amended and the research plan was modified to include the preclinical and clinical development of ImmunityBio’s proprietary adenovirus platform expressing TAAs; proprietary yeast platform expressing TAAs; proprietary agent N-803 and derivatives, agent N-809 and derivatives, and/or TxM product candidates; proprietary recombinant NK cells and mAbs; proprietary RNA vaccines and adjuvants; and other proprietary agents owned or controlled by ImmunityBio for cancer immunotherapy. The term of the CRADA was extended through May 2026. Under this agreement, we agreed to pay NCI funding totaling $1.3 million per year, payable in semi-annual installments each year through 2025.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Innovative Properties Company (3M IPC) and AAHI License Agreement</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licensed rights to 3M-052, a synthetic TLR7/8 agonist, 3M-052 formulations and related technology from 3M IPC and its affiliates and AAHI. In November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low- and middle-income countries (LMIC), and (2) oncology applications, when used in combination with our proprietary technology and/or IL-15 agonists. In consideration for the license, we agreed to make certain periodic license payments, including $2.25 million each year through June 2025.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 We may terminate this license for any reason after providing 3M and AAHI sixty (60) days written notice.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AAHI License Agreements</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May 2021, we entered into two license agreements with the AAHI pursuant to which we received a license to certain patents and know-how relating to AAHI’s (i) adjuvant formulations for the treatment, prevention and/or diagnosis of SARS-CoV-2 (the AAHI Adjuvant Formulation License Agreement) and (ii) RNA vaccine platform as further described below (the AAHI RNA License Agreement). Under both agreements, we were obligated to pay one-time, non-creditable, non-refundable upfront cash payments totaling $2.0 million. In addition, under the AAHI Adjuvant Formulation License Agreement we owe milestone payments to a total of up to $2.5 million based on the achievement of certain development and regulatory milestones for the first licensed product and royalties on annual net sales of licensed products on a country-by-country and product-by-product basis of a low-single digit percentage, subject to certain royalty-reduction provisions.</w:t>
      </w:r>
    </w:p>
    <w:p>
      <w:pPr>
        <w:spacing w:after="0" w:line="177"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September 2021, we amended and restated the AAHI RNA License Agreement, pursuant to which AAHI granted us an exclusive, worldwide, sublicensable license to AAHI’s rights to an RNA vaccine platform for the development and commercialization of certain therapeutic, diagnostic or prophylactic products for the prevention, treatment or diagnosis of any indication, other than those subject to pre-existing third-party license grants, including, without limitation, SARS-CoV-2. Pursuant to the terms of the amended and restated AAHI RNA License Agreement, we made an additional one-time, non-creditable, non-refundable, upfront payment to AAHI of $1.5 million. We are also required to pay license maintenance fees to AAHI as follows: $3.0 million paid in 2022 and $5.5 million annually from 2023 through 2030. The company may terminate the restated agreement without cause by paying AAHI a $10.0 million one-time early termination fee. In addition, the milestone payments to AAHI based on the achievement of certain development and regulatory milestones for the first licensed product were amended to a total of up to $4.0 million. We are required to pay royalties on annual net sales of licensed products on a country-by-country and product-by-product basis of a low- to mid-single digit percentage.</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connection with the license agreements, in May 2021 we also entered into a sponsored research agreement (SRA) with AAHI pursuant to which we will fund continued research of at least $2.0 million per year, payable in four equal quarterly installments each year until May 2024, or such year of earlier termination.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GlobeImmune, Inc.</w:t>
      </w:r>
    </w:p>
    <w:p>
      <w:pPr>
        <w:spacing w:after="0" w:line="11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2020, we entered into an exclusive licensing agreement with GlobeImmune, a consolidated entity of the company, pursuant to which we obtained worldwide, exclusive licenses under certain patents, know-how, and other intellectual property to use, research, develop and commercialize products with GlobeImmune’s COVID-19 vaccine program, other Tarmogen-based programs, and neoepitopes programs in exchange for a license fee for the first two years of the agreement totaling $1.2 million, up to $345.0 million in milestone payments related to the successful completion of clinical and regulatory milestones and up to $240.0 million in total milestone payments based on licensed product net sales milestones, and a royalty on net sales of licensed products, on a product-by-product basis ranging in percentage from the mid-single digits to the mid-teens. We may terminate this agreement, in whole or on a licensed-product-by-licensed-product and/or country-by-country basis, at any time upon sixty (60) days written notice to GlobeImmune.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LadRx Corporation</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2017, we entered into an exclusive license agreement with LadRx pursuant to which we obtained a royalty-bearing, exclusive, worldwide license, with the right to sublicense, LadRx’s applicable intellectual property to research, develop and commercialize aldoxorubicin for all indications. Under the terms of the license agreement, LadRx is entitled to receive milestone payments of up to $345.7 million related to regulatory approvals and commercial milestones for aldoxorubicin. In addition, LadRx will receive increasing low double-digit percentage royalties on net sales of aldoxorubicin for the treatment of soft tissue sarcomas and mid-to-high single-digit percentage royalties on net sales of aldoxorubicin for all other indications. We may terminate the agreement in its entirety at any time upon twelve (12) months written notice to LadRx. Upon termination of the agreement, any licenses granted to us under the agreement are terminated, and we must cease the development, manufacture, and commercialization of aldoxorubicin.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Sanford Health</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2017, and as amended in November 2021, we entered into a license agreement with Sanford pursuant to which we obtained a worldwide, exclusive license under Sanford’s applicable patent and know-how rights to use, make, have made, sell, offer to sell, export and import products for all uses and applications of polynucleotides encoding mutant E16 antigen (mutant HPV16 E6 antigen + mutant HPV16 E7 antigen) and the encoded mutant E16 antigen, in exchange for consideration that includes the amount equal to the patent prosecution costs incurred by Sanford for the prosecution of the licensed patent rights, milestone payments payable upon the achievement of certain contractual and regulatory milestones of up to $2.0 million, a low single-digit percentage royalty on net sales of the resulting licensed products, and a low to high-teen percentage share of non-royalty sublicensing revenue. Our obligation to pay royalties continues, on a licensed product-by-licensed product and country-by-country basis, until the date on which such licensed product is no longer covered by a valid claim of a patent licensed pursuant to the agreement in such country. We must use commercially reasonable efforts to develop and commercialize the licensed products. Sanford is responsible for the prosecution and maintenance of the patents licensed pursuant to the agreement. We are required to use commercially reasonable efforts to develop and make available the licensed products, which include achieving certain regulatory objectives within certain specific time periods. We have the first right to enforce the patents licensed pursuant to the agreement, subject to Sanford’s ability to exercise such right if we fail to do so. We may terminate this agreement at any time upon 60 days’ written notice to Sanford. Sanford may terminate the agreement in the event of an uncured material breach by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Shenzhen Beike Biotechnology Co. Ltd.</w:t>
      </w:r>
    </w:p>
    <w:p>
      <w:pPr>
        <w:spacing w:after="0" w:line="11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2014, Altor entered into a license, development and commercialization agreement with Beike, which agreement was amended and restated in 2017, pursuant to which Altor granted to Beike an exclusive license under certain of its intellectual property rights in order to use, research, develop and commercialize products based on N-803 in China for human therapeutic uses, in exchange for consideration that includes up to $195.5 million in total milestone payments based on the successful completion of regulatory and sales milestones for each resulting product, and a royalty on net sales of licensed products, on a product-by-product basis ranging in percentage from the mid-single digits to the mid-teens. Beike’s obligation to pay royalties continues, on a licensed product-by-licensed product basis, until the later of (i) the date on which such licensed product is no longer covered by a valid claim of a patent licensed pursuant to the agreement in China and (ii) ten years after the first commercial sale of such licensed product in China. Altor has the sole right to prosecute and maintain the patents licensed pursuant to the agreement. Altor has the first right to enforce the patents licensed pursuant to the agreement, subject to Beike’s ability to exercise such right if Altor fails to do so. Altor and Beike each have the right to terminate the agreement in the event of a material breach by the other party.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Sorrento Therapeutics, Inc.</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2015, our subsidiary NantCell, Inc. and Sorrento established NANTibody as a stand-alone biotechnology company with $100.0 million in initial joint funding. We own 60% of the equity interests and Sorrento owns 40% of the equity interests in NANTibody, which focuses on accelerating the development of multiple therapeutic product candidates that are being developed as standalone treatments as well as in combination with other therapies as part of an immune-oncology treatment regimen.</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2015, NantCell entered into an exclusive license agreement with Sorrento pursuant to which we obtained an exclusive license under certain patent rights and antibody materials, including antibody sequences and complementary DNA (cDNA) and clones and a non-exclusive license under certain know-how, in each case to use, research and develop certain antibodies and anti-body drug conjugates (ADCs) including for neoepitopes, which are epitopes resulting from mutations specific to an individual’s cancer cells, and to commercialize the resulting licensed products, in exchange for consideration that included an upfront cash payment of $10 million, equity consideration with a valuation of $100 million, and mid-single digit percentage royalties on net sales of the resulting licensed products. Our obligation to pay royalties was,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In addition, the agreement provided us with the right to negotiate an exclusive license from Sorrento for two CAR-T/NK cell products to be mutually determined on terms substantially similar to the terms of the license agreement. NantCell was to use commercially reasonable efforts to develop and commercialize the licensed products. Subject, as applicable, to the licenses granted by Sorrento to us, each party was to own all inventions and other developments it creates or develops in the course of activities conducted pursuant to the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2015, NANTibody entered into an exclusive license agreement with Sorrento pursuant to which NANTibody obtained a royalty-free exclusive license under certain patent rights and materials, including antibody sequences and cDNA, and clones and a non-exclusive license under certain know-how, in each case related to up to 75 immuno-oncology antibodies, immune-check point antibodies, bi-specific antibodies and/or ADCs from Sorrento’s G-MAB library to be mutually identified by the parties (21 of which were already identified at the time of signing the agreement), to use, research, develop and commercialize the resulting licensed products.</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2019, we filed cross-claims against Sorrento in the Superior Court of California, Los Angeles County, alleging that Sorrento had breached the exclusive license agreement with us; these claims were pursued in arbitration. Sorrento filed counterclaims against the company and NANTibody in the arbitration.</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On December 2, 2022, the arbitrator issued a final award finding that Sorrento had breached the two exclusive license agreements with NantCell and NANTibody. In addition, the arbitrator determined that our license agreement remains in full force and effect with respect to ImmunityBio’s PD-L1 NK-cell. The arbitrator ruled that Sorrento, NantCell, and NANTibody have no further rights or obligations under either license agreement with respect to other targets. Sorrento has no further obligation to contribute materials or know how with respect to the PD-LI antibody, and NantCell and NANTibody are not required to return any materials or know-how received from Sorrento. For more information,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Contingencies—Sorrento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Therapeutics, Inc. Litigation, </w:t>
      </w:r>
      <w:r>
        <w:rPr>
          <w:rFonts w:ascii="Arial" w:cs="Arial" w:eastAsia="Arial" w:hAnsi="Arial"/>
          <w:sz w:val="18"/>
          <w:szCs w:val="18"/>
          <w:color w:val="auto"/>
        </w:rPr>
        <w:t>of the “Notes to Consolidated Financial Statements” that appears in Part II, Item 8. “Financial Statements and Supplementary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Data” of this Annual Report.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Viracta Therapeutics, Inc.</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2017, we entered into an agreement with Viracta under which we were granted exclusive worldwide rights to Viracta’s Phase 2 drug candidate, nanatinostat, for use in combination with our platform of NK cell therapies. In consideration for the license, we are obligated to pay Viracta mid-single digit percentage royalties on net sales of licensed products for therapeutic use and milestone payments ranging from $10.0 million to $25.0 million up to an aggregate maximum of $100.0 million for various regulatory approvals and cumulative net sales levels. We may terminate the agreement, at our sole discretion, in whole or on a product-by-product and/or country-by-country basis, at any time upon 90 days’ prior written notice. In addition, either party may terminate the agreement in the event of a material breach or for bankruptcy of the other party.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the U.S., the FDA regulates biopharmaceuticals under the Food, Drug and Cosmetic Act (FDCA) and the Public Health Service Act (PHSA). Biopharmaceuticals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our product candidates.</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process required by the FDA before biopharmaceutical product candidates may be marketed in the U.S. generally involves the following:</w:t>
      </w:r>
    </w:p>
    <w:p>
      <w:pPr>
        <w:spacing w:after="0" w:line="19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completion of preclinical laboratory tests and animal studies performed in accordance with the FDA’s GLP requirements;</w:t>
      </w:r>
    </w:p>
    <w:p>
      <w:pPr>
        <w:spacing w:after="0" w:line="171"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approval by an independent IRB or ethics committee for each clinical site before the clinical trial is begun;</w:t>
      </w:r>
    </w:p>
    <w:p>
      <w:pPr>
        <w:spacing w:after="0" w:line="171" w:lineRule="exact"/>
        <w:rPr>
          <w:rFonts w:ascii="Arial" w:cs="Arial" w:eastAsia="Arial" w:hAnsi="Arial"/>
          <w:sz w:val="18"/>
          <w:szCs w:val="18"/>
          <w:b w:val="1"/>
          <w:bCs w:val="1"/>
          <w:color w:val="auto"/>
        </w:rPr>
      </w:pPr>
    </w:p>
    <w:p>
      <w:pPr>
        <w:ind w:left="980" w:right="100" w:hanging="324"/>
        <w:spacing w:after="0" w:line="277" w:lineRule="auto"/>
        <w:tabs>
          <w:tab w:leader="none" w:pos="97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preparation of and submission to the FDA of a BLA or NDA, after completion of all required clinical trials;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 determination by the FDA within 60 days of its receipt of a BLA/NDA to file the application for review;</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satisfactory completion of an FDA Advisory Committee review, if applicable;</w:t>
      </w:r>
    </w:p>
    <w:p>
      <w:pPr>
        <w:spacing w:after="0" w:line="171" w:lineRule="exact"/>
        <w:rPr>
          <w:rFonts w:ascii="Arial" w:cs="Arial" w:eastAsia="Arial" w:hAnsi="Arial"/>
          <w:sz w:val="18"/>
          <w:szCs w:val="18"/>
          <w:b w:val="1"/>
          <w:bCs w:val="1"/>
          <w:color w:val="auto"/>
        </w:rPr>
      </w:pPr>
    </w:p>
    <w:p>
      <w:pPr>
        <w:ind w:left="980" w:right="280" w:hanging="324"/>
        <w:spacing w:after="0" w:line="259" w:lineRule="auto"/>
        <w:tabs>
          <w:tab w:leader="none" w:pos="97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product candidates’ continued safety, quality, purity and potency or efficacy, and of selected clinical investigational sites to assess compliance with GCP requirements;</w:t>
      </w:r>
    </w:p>
    <w:p>
      <w:pPr>
        <w:spacing w:after="0" w:line="132" w:lineRule="exact"/>
        <w:rPr>
          <w:rFonts w:ascii="Arial" w:cs="Arial" w:eastAsia="Arial" w:hAnsi="Arial"/>
          <w:sz w:val="18"/>
          <w:szCs w:val="18"/>
          <w:b w:val="1"/>
          <w:bCs w:val="1"/>
          <w:color w:val="auto"/>
        </w:rPr>
      </w:pPr>
    </w:p>
    <w:p>
      <w:pPr>
        <w:ind w:left="980" w:right="240" w:hanging="324"/>
        <w:spacing w:after="0" w:line="277" w:lineRule="auto"/>
        <w:tabs>
          <w:tab w:leader="none" w:pos="97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FDA review and approval of the BLA or NDA to permit commercial marketing of the product for particular indications for use in the U.S.; and</w:t>
      </w:r>
    </w:p>
    <w:p>
      <w:pPr>
        <w:spacing w:after="0" w:line="116"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testing and approval process requires substantial time, effort and financial resources, and we cannot be certain that any approvals for our product candidates will be granted on a timely basis, if at all. Prior to beginning the first clinical trial with a product candidate, we must submit an IND to the FDA. An IND is a request for authorization from the FDA to administer an IND product to humans. The central focus of an IND submission is on the general investigational plan and the protocol(s) for clinical trials.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When a clinical trial using genetically engineered cells is conducted at, or sponsored by, institutions receiving NIH funding for wild-type DNA research,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wild-type DNA, and many companies and other institutions not otherwise subject to the NIH Guidelines voluntarily follow them. The NIH is responsible for convening the Recombinant DNA Advisory Committee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protocol. RAC proceedings and reports are posted to the OBA web site and may be accessed by the public.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BLA or NDA approval, human clinical trials are typically conducted in three sequential phases that may overlap.</w:t>
      </w:r>
    </w:p>
    <w:p>
      <w:pPr>
        <w:spacing w:after="0" w:line="171" w:lineRule="exact"/>
        <w:rPr>
          <w:sz w:val="20"/>
          <w:szCs w:val="20"/>
          <w:color w:val="auto"/>
        </w:rPr>
      </w:pPr>
    </w:p>
    <w:p>
      <w:pPr>
        <w:ind w:left="980" w:right="80" w:hanging="324"/>
        <w:spacing w:after="0" w:line="277" w:lineRule="auto"/>
        <w:tabs>
          <w:tab w:leader="none" w:pos="975" w:val="left"/>
        </w:tabs>
        <w:numPr>
          <w:ilvl w:val="0"/>
          <w:numId w:val="4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investigational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the initial human testing is often conducted in patients.</w:t>
      </w:r>
    </w:p>
    <w:p>
      <w:pPr>
        <w:spacing w:after="0" w:line="116" w:lineRule="exact"/>
        <w:rPr>
          <w:rFonts w:ascii="Arial" w:cs="Arial" w:eastAsia="Arial" w:hAnsi="Arial"/>
          <w:sz w:val="18"/>
          <w:szCs w:val="18"/>
          <w:b w:val="1"/>
          <w:bCs w:val="1"/>
          <w:color w:val="auto"/>
        </w:rPr>
      </w:pPr>
    </w:p>
    <w:p>
      <w:pPr>
        <w:ind w:left="980" w:right="100" w:hanging="324"/>
        <w:spacing w:after="0" w:line="263" w:lineRule="auto"/>
        <w:tabs>
          <w:tab w:leader="none" w:pos="975" w:val="left"/>
        </w:tabs>
        <w:numPr>
          <w:ilvl w:val="0"/>
          <w:numId w:val="4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investigational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or potency of the product for specific targeted diseases and to determine dosage tolerance, optimal dosage and dosing schedule.</w:t>
      </w:r>
    </w:p>
    <w:p>
      <w:pPr>
        <w:spacing w:after="0" w:line="129" w:lineRule="exact"/>
        <w:rPr>
          <w:rFonts w:ascii="Arial" w:cs="Arial" w:eastAsia="Arial" w:hAnsi="Arial"/>
          <w:sz w:val="18"/>
          <w:szCs w:val="18"/>
          <w:b w:val="1"/>
          <w:bCs w:val="1"/>
          <w:color w:val="auto"/>
        </w:rPr>
      </w:pPr>
    </w:p>
    <w:p>
      <w:pPr>
        <w:ind w:left="980" w:right="60" w:hanging="324"/>
        <w:spacing w:after="0" w:line="263" w:lineRule="auto"/>
        <w:tabs>
          <w:tab w:leader="none" w:pos="975" w:val="left"/>
        </w:tabs>
        <w:numPr>
          <w:ilvl w:val="0"/>
          <w:numId w:val="4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or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29"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4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Companies may voluntarily pursue additional clinical trials after a product is approved to gain more information about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approved indication.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some cases, the FDA may require an additional trial after a product is approved, and these so-called Phase 4 trials may be a condition to approval of the BLA or NDA.</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To help reduce the risk of the introduction of adventitious agents with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may be required to develop and implement additional clinical trial policies and procedures designed to help protect subjects from the COVID-19 virus. Since March 2020, the FDA has issued various COVID-19 related guidance for sponsors and manufacturers, including guidance on, on conducting clinical trials during the pandemic, and Good Manufacturing Practice considerations for responding to COVID-19 infection in employees in drug and biological products manufacturing, among others. The extent to which the COVID-19 pandemic impacts our business, preclinical studies and clinical trials will depend on future developments, which are highly uncertain and cannot be predicted with confidence.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BLA/NDA Submission and Review by the FDA</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for a biologic product candidate or an NDA for a small molecule product candidate requesting approval to market the product for one or more indications. Unless agreed to in advance with the FDA, the BLA/NDA must include all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 product or from a number of alternative sources, including studies initiated by investigators. The submission of a BLA/NDA requires payment of a substantial user fee to the FDA, and the sponsor of an approved BLA/NDA is subject to annual product and establishment user fees. These fees typically increase annually. A waiver of user fees may be obtained under certain limited circumstances.</w:t>
      </w:r>
    </w:p>
    <w:p>
      <w:pPr>
        <w:spacing w:after="0" w:line="181"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Within 60 days following submission of the application, the FDA reviews a BLA/NDA to determine if it is substantially complete before the agency accepts it for filing. The FDA may refuse to file any BLA or NDA that it deems incomplete or not properly reviewable at the time of submission and may request additional information. In this event, the BLA/NDA must be resubmitted with the additional information. Once a BLA/NDA has been filed,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 clarification. The FDA reviews a BLA/NDA to determine, among other things, whether a product is safe and effective, or safe, pure and potent for the proposed indication(s) and the facility in which it is manufactured, processed, packed or held meets standards designed to assure the product’s continued safety, purity and potency or efficacy. The FDA may convene an advisory committee to provide clinical insight on application review questions. Before approving a BLA/NDA, the FDA will typically inspect the facility or facilities where the product is manufactured. The FDA will not approve an application unless it determines that the manufacturing processes and facilities comply with cGMP requirements and are adequate to assure consistent production of the product within required specifications. If applicable, FDA regulations also require tissue establishments to register and list their human cells, tissues, and cellular and tissue-based products with the FDA and to evaluate donors through screening and testing. Additionally, before approving a BLA/NDA,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testing and approval process require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 candidates. After the FDA evaluates a BLA/NDA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BLA/NDA if applicable regulatory criteria are not satisfied, require additional testing or information and/or require post-marketing testing and surveillance to monitor safety or efficacy of a product.</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BLA/NDA with a REMS plan to mitigate risks, which could include medication guides, physician communication plans, or other restrictions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 candidates under development.</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A sponsor may seek approval of its product candidate under programs designed to accelerate the FDA’s review and approval of new drugs and biological products that meet certain criteria. Specifically, new drugs and biological products are eligible for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designation if they are intended to treat a serious or life-threatening condition and demonstrate the potential to address unmet medical needs for the condition. For a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product, the FDA may consider sections of the BLA/NDA for review on a rolling basis before the complete application is submitted if relevant criteria are met. A </w:t>
      </w:r>
      <w:r>
        <w:rPr>
          <w:rFonts w:ascii="Arial" w:cs="Arial" w:eastAsia="Arial" w:hAnsi="Arial"/>
          <w:sz w:val="17"/>
          <w:szCs w:val="17"/>
          <w:i w:val="1"/>
          <w:iCs w:val="1"/>
          <w:color w:val="auto"/>
        </w:rPr>
        <w:t>Fast</w:t>
      </w:r>
      <w:r>
        <w:rPr>
          <w:rFonts w:ascii="Arial" w:cs="Arial" w:eastAsia="Arial" w:hAnsi="Arial"/>
          <w:sz w:val="17"/>
          <w:szCs w:val="17"/>
          <w:color w:val="auto"/>
        </w:rPr>
        <w:t xml:space="preserve"> </w:t>
      </w:r>
      <w:r>
        <w:rPr>
          <w:rFonts w:ascii="Arial" w:cs="Arial" w:eastAsia="Arial" w:hAnsi="Arial"/>
          <w:sz w:val="17"/>
          <w:szCs w:val="17"/>
          <w:i w:val="1"/>
          <w:iCs w:val="1"/>
          <w:color w:val="auto"/>
        </w:rPr>
        <w:t>Track-</w:t>
      </w:r>
      <w:r>
        <w:rPr>
          <w:rFonts w:ascii="Arial" w:cs="Arial" w:eastAsia="Arial" w:hAnsi="Arial"/>
          <w:sz w:val="17"/>
          <w:szCs w:val="17"/>
          <w:color w:val="auto"/>
        </w:rPr>
        <w:t>designated product candidate may also qualify for priority review. Priority review is granted when there is evidence that the proposed product would</w:t>
      </w:r>
      <w:r>
        <w:rPr>
          <w:rFonts w:ascii="Arial" w:cs="Arial" w:eastAsia="Arial" w:hAnsi="Arial"/>
          <w:sz w:val="17"/>
          <w:szCs w:val="17"/>
          <w:i w:val="1"/>
          <w:iCs w:val="1"/>
          <w:color w:val="auto"/>
        </w:rPr>
        <w:t xml:space="preserve"> </w:t>
      </w:r>
      <w:r>
        <w:rPr>
          <w:rFonts w:ascii="Arial" w:cs="Arial" w:eastAsia="Arial" w:hAnsi="Arial"/>
          <w:sz w:val="17"/>
          <w:szCs w:val="17"/>
          <w:color w:val="auto"/>
        </w:rPr>
        <w:t>be a significant improvement in the safety or effectiveness of the treatment, diagnosis, or prevention of a serious condition. If criteria are not met for priority review, the application is subject to the standard FDA review period. Priority review designation does not change the scientific/medical standard for approval or the quality of evidence necessary to support approval.</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the accelerated approval program, the FDA may approve a BLA/NDA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product’s clinical benefit in relationship to the surrogate endpoint or ultimate outcome in relationship to the clinical benefit.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In addition, the Food and Drug Administration Safety and Innovation Act of 2012 (FDASIA) established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designation. A sponsor may seek FDA designation of its product candidate as a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at the time of, or any time after, the submission of an IND, but ideally before an end-of-Phase 2 meeting with the FDA. If the FDA designates a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or more efficient clinical trials that require less time to complete and may minimize the number of patients exposed to a potentially less efficacious treatment.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designation also allows the sponsor to file sections of the BLA/NDA for review on a rolling basis. We may seek designation as a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for some or all of our product candidates.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i w:val="1"/>
          <w:iCs w:val="1"/>
          <w:color w:val="auto"/>
        </w:rPr>
        <w:t xml:space="preserve">Breakthrough Therapy </w:t>
      </w:r>
      <w:r>
        <w:rPr>
          <w:rFonts w:ascii="Arial" w:cs="Arial" w:eastAsia="Arial" w:hAnsi="Arial"/>
          <w:sz w:val="18"/>
          <w:szCs w:val="18"/>
          <w:color w:val="auto"/>
        </w:rPr>
        <w:t>and/or</w:t>
      </w:r>
      <w:r>
        <w:rPr>
          <w:rFonts w:ascii="Arial" w:cs="Arial" w:eastAsia="Arial" w:hAnsi="Arial"/>
          <w:sz w:val="18"/>
          <w:szCs w:val="18"/>
          <w:i w:val="1"/>
          <w:iCs w:val="1"/>
          <w:color w:val="auto"/>
        </w:rPr>
        <w:t xml:space="preserve"> Fast Track </w:t>
      </w:r>
      <w:r>
        <w:rPr>
          <w:rFonts w:ascii="Arial" w:cs="Arial" w:eastAsia="Arial" w:hAnsi="Arial"/>
          <w:sz w:val="18"/>
          <w:szCs w:val="18"/>
          <w:color w:val="auto"/>
        </w:rPr>
        <w:t>designations and priority review do not change the standards for approval. The receipt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may not lead to a faster development process or regulatory review and may not increase the likelihood that a product candidate will receive approval.</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certain drugs and biological products, for a new active ingredient, new indication, new dosage form, new dosing regimen or new route of administration. Under PREA, original NDAs/BLAs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117" w:lineRule="exact"/>
        <w:rPr>
          <w:sz w:val="20"/>
          <w:szCs w:val="20"/>
          <w:color w:val="auto"/>
        </w:rPr>
      </w:pPr>
    </w:p>
    <w:p>
      <w:pPr>
        <w:ind w:firstLine="567"/>
        <w:spacing w:after="0" w:line="275"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or biologic in the U.S. will be recovered from sales in the U.S. for that drug or biologic. Orphan drug designation must be requested before submitting a BLA or NDA. After the FDA grants orphan drug designation, the generic identity of the therapeutic agent and its potential orphan use are disclosed publicly by the FDA.</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or NDA, to market the same biologic or drug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Emergency Use Authorization</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Operation Warp Speed (OWS) aimed to deliver 300 million doses of a safe, effective vaccine for COVID-19 by January 2021, and was part of a broader government strategy to accelerate the development, manufacturing, and distribution of COVID-19 vaccines, therapeutics, and diagnostics. OWS was a partnership among components of HHS, including the Centers for Disease Control and Prevention, the FDA, the NIH, and the Biomedical Advanced Research and Development Authority (BARDA) and the Department of Defense; engaged with private firms and other federal agencies; and coordinated existing HHS-wide efforts, including the NIH’s Accelerating COVID-19 Therapeutic Interventions and Vaccines partnership, NIH’s Rapid Acceleration of Diagnostics initiative, and work by BARDA. A COVID-19 vaccine product may be approved initially under an emergency use authorization (EUA) followed by a full BLA approval when more data are available and submitted to FDA for approval.</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February 4, 2020, the Secretary of HHS determined that the COVID-19 pandemic is a public health emergency that has a significant potential to affect national security or the health and security of U.S. citizens. On the basis of such determination, on March 27, 2020, the Secretary of HHS declared that circumstances exist justifying the authorization of emergency use of drugs and biologics during the COVID-19 outbreak, pursuant to Section 564 of the FDCA, which permits the FDA Commissioner to allow unapproved medical products or unapproved uses of approved medical products to be used in the COVID-19 public health emergency. FDA has created the Coronavirus Treatment Acceleration Program, a new program designed to expedite the development of potential COVID-19 therapies by using every tool at the agency’s disposal to determine if the therapies are safe and effective for their intended uses. In issuing an emergency use authorization, FDA will consider the totality of scientific evidence available to FDA regarding safety, efficacy and known and potential risks of such products and availability of alternatives to the emergency use products, among others. Emergency Use Authorizations issued by FDA will specify the scope authorization and conditions of authorization, including limitations on distribution and conditions related to product advertising and promotion. Once granted, an EUA is effective will be effective until the declaration that circumstances exist justifying the authorization of the emergency use of drugs and biologics for prevention and treatment of COVID-19 is terminated under Section 564(b)(2) of the FDCA or the EUA is revoked under Section 564(g) of the FDCA, after which the product must be approved by FDA under a traditional pathway in order to remain on the market or to continue commercialization of the product.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Biopharmaceutical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any third-party manufacturers that we may decide to use.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 or NDA.</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U.S., once a drug is approved, its manufacture is subject to comprehensive and continuing regulation by the FDA. FDA regulations require that drugs be manufactured in specific facilities per the BLA or NDA approval and in accordance with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BLA or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Future FDA and state inspections may identify compliance issues at our facilities or at the facilities of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w:t>
      </w:r>
    </w:p>
    <w:p>
      <w:pPr>
        <w:spacing w:after="0" w:line="15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FDA may also require post-approval testing, sometimes referred to as Phase 4 testing, risk minimization action plans, and post-marketing surveillance to monitor the effects of an approved drug or place conditions on an approval that could restrict the distribution or use of the drug.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23"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82" w:lineRule="exact"/>
        <w:rPr>
          <w:rFonts w:ascii="Arial" w:cs="Arial" w:eastAsia="Arial" w:hAnsi="Arial"/>
          <w:sz w:val="17"/>
          <w:szCs w:val="17"/>
          <w:b w:val="1"/>
          <w:bCs w:val="1"/>
          <w:color w:val="auto"/>
        </w:rPr>
      </w:pPr>
    </w:p>
    <w:p>
      <w:pPr>
        <w:ind w:left="980" w:hanging="32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fines, warning letters or holds on post-approval clinical trials;</w:t>
      </w:r>
    </w:p>
    <w:p>
      <w:pPr>
        <w:spacing w:after="0" w:line="171"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product seizure or detention, or refusal to permit the import or export of products; or</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or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and exclusion from participation in governmental health programs, like Medicare and Medicaid.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(PDMA), a part of the FDCA. The Drug Supply Chain Security Act (DSCSA), enacted in 2013, aims to build an electronic system to identify and trace certain prescription drugs distributed in the U.S. The DSCSA mandates phased-in and resource-intensive obligations for pharmaceutical manufacturers, wholesale distributors, and dispensers.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Clearance and Approval Requirements for Medical Devices</w:t>
      </w:r>
    </w:p>
    <w:p>
      <w:pPr>
        <w:spacing w:after="0" w:line="11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Each medical device we seek to commercially distribute in the U.S. will require either a prior 510(k) clearance, unless it is exempt (PMA) from the FDA. Generally, if a new device has a predicate that is already on the market under a 510(k) clearance, the FDA will allow that new device to be marketed under a 510(k) clearance; otherwise, a PMA is required. Medical devices are classified into one of three classes: Class 1, Class 2 or Class 3, depending on the degree of risk associated with each medical device and the extent of control needed to provide reasonable assurance of safety and effectiveness. Class 1 devices are deemed to be low risk and are subject to the general controls of the FDCA, such as provisions that relate to: adulteration; misbranding; registration and listing; notification, including repair, replacement, or refund; records and reports; and good manufacturing practices. Most Class 1 devices are classified as exempt from pre-market notification under section 510(k) of the FDCA, and therefore may be commercially distributed without obtaining 510(k) clearance from the FDA. Class 2 devices are subject to both general controls and special controls to provide reasonable assurance of safety and effectiveness. Special controls include performance standards, post market surveillance, patient registries and guidance documents. A manufacturer may be required to submit to the FDA a pre-market notification requesting permission to commercially distribute some Class 2 devices. Devices deemed by the FDA to pose the greatest risk, such as life-sustaining, life-supporting or implantable devices, or devices deemed not substantially equivalent to a previously cleared 510(k) device, are placed in Class 3. A Class 3 device cannot be marketed in the U.S. unless the FDA approves the device after submission of a PMA. However, there are some Class 3 devices for which FDA has not yet called for a PMA. For these devices, the manufacturer must submit a pre-market notification and obtain 510(k) clearance in orders to commercially distribute these devices. The FDA can also impose sales, marketing or other restrictions on devices in order to assure that they are used in a safe and effective manner.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510(k) Clearance Pathway</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When a 510(k) clearance is required, we must submit a pre-market notification to the FDA demonstrating that our proposed device is substantially equivalent to a predicate device, which is a previously cleared and legally marketed 510(k) device or a device that was in commercial distribution before May 28, 1976. By regulation, a pre-market notification must be submitted to the FDA at least 90 days before we intend to distribute a device. As a practical matter, clearance often takes significantly longer. To demonstrate substantial equivalence, the manufacturer must show that the proposed device has the same intended use as the predicate device, and it either has the same technological characteristics, or different technological characteristics and the information in the pre-market notification demonstrates that the device is equally safe and effective and does not raise different questions of safety and effectiveness. The FDA may require further information, including clinical data, to make a determination regarding substantial equivalence. If the FDA determines that the device, or its intended use, is not substantially equivalent to a previously cleared device or use, the FDA will place the device into Class 3.</w:t>
      </w:r>
    </w:p>
    <w:p>
      <w:pPr>
        <w:spacing w:after="0" w:line="19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are three types of 510(k)s: traditional; special; and abbreviated. Special 510(k)s are for devices that are modified and the modification needs a new 510(k) but does not affect the intended use or alter the fundamental scientific technology of the device. Abbreviated 510(k)s are for devices that conform to a recognized standard. The special and abbreviated 510(k)s are intended to streamline review, and the FDA intends to process special 510(k)s within 30 days of receipt.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 Novo Classification</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Medical device types that the FDA has not previously classified as Class 1, 2 or 3 are automatically classified into Class 3 regardless of the level of risk they pose. The Food and Drug Administration Modernization Act of 1997 established a new route to market for low to moderate risk medical devices that are automatically placed into Class 3 due to the absence of a predicate device, called the Request for Evaluation of Automatic Class 3 Designation (or the De Novo Classification Process).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procedure allows a manufacturer whose novel device is automatically classified into Class 3 to request down-classification of its medical device into Class 1 or Class 2 on the basis that the device presents low or moderate risk, rather than requiring the submission and approval of a PMA application. Prior to the enactment of the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2,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Pre-market Approval Pathway</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PMA application must be submitted to the FDA for Class 3 devices for which the FDA has required a PMA. The PMA application process is much more demanding than the 510(k) pre-market notification process. A PMA application must be supported by extensive data, including but not limited to technical, preclinical, clinical trials, manufacturing and labeling to demonstrate to the FDA’s satisfaction reasonable evidence of safety and effectiveness of the device.</w:t>
      </w:r>
    </w:p>
    <w:p>
      <w:pPr>
        <w:spacing w:after="0" w:line="18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After a PMA application is submitted, the FDA has 45 days to determine whether the application is sufficiently complete to permit a substantive review and thus whether the FDA will file the application for review. The FDA has 180 days to review a filed PMA application, although the review of an application generally occurs over a significantly longer period of time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Although the FDA is not bound by the advisory panel decision, the panel’s recommendations are important to the FDA’s overall decision making process. In addition, the FDA may conduct a preapproval inspection of the manufacturing facility to ensure compliance with the Quality System Regulation (QSR). The agency also may inspect one or more clinical sites to assure compliance with FDA’s regulations.</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Upon completion of the PMA review, the FDA may: (i) approve the PMA application which authorizes commercial marketing with specific prescribing information for one or more indications, which can be more limited than those originally sought; (ii) issue an approvable letter which indicates the FDA’s belief that the PMA application is approvable and states what additional information the FDA requires or the post-approval commitments that must be agreed to prior to approval; (iii)issue a not approvable letter which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Clinical trials are almost always required to support PMA and are sometimes required for 510(k) clearance. In the U.S., for significant risk devices, these trials require submission of an application for an Investigational Device Exemption (IDE) to the FDA. The IDE application must be supported by appropriate data, such as animal and laboratory testing results, showing it is safe to test the device in humans and that the testing protocol is scientifically sound. The IDE must be approved in advance by the FDA for a specific number of patients at specified trial sites. During the trial, the sponsor must comply with the FDA’s IDE requirements for investigator selection, trial monitoring, reporting and recordkeeping. The investigators must obtain patient informed consent, rigorously follow the investigational plan and trial protocol, control the disposition of investigational devices and comply with all reporting and recordkeeping requirements. Clinical trials for significant risk devices may not begin until the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IDE application is approved by the FDA and the appropriate IRBs at the clinical trial sites.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 sites. The FDA or the IRB at each site at which a clinical trial is being performed may withdraw approval of a clinical trial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spacing w:after="0" w:line="17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Sponsors of clinical trials of devices are required to register with clinical trials.gov, a public database of clinical trial information. Information related to the device, patient population, phase of investigation, study sites and investigators and other aspects of the clinical trial is made public as part of the registration.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Ongoing Medical Device Regulation by the FDA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Even after a device receives clearance or approval and is placed on the market, numerous regulatory requirements apply. These include:</w:t>
      </w:r>
    </w:p>
    <w:p>
      <w:pPr>
        <w:spacing w:after="0" w:line="183"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establishment registration and device listing;</w:t>
      </w:r>
    </w:p>
    <w:p>
      <w:pPr>
        <w:spacing w:after="0" w:line="171" w:lineRule="exact"/>
        <w:rPr>
          <w:rFonts w:ascii="Arial" w:cs="Arial" w:eastAsia="Arial" w:hAnsi="Arial"/>
          <w:sz w:val="18"/>
          <w:szCs w:val="18"/>
          <w:b w:val="1"/>
          <w:bCs w:val="1"/>
          <w:color w:val="auto"/>
        </w:rPr>
      </w:pPr>
    </w:p>
    <w:p>
      <w:pPr>
        <w:ind w:left="980" w:right="200" w:hanging="324"/>
        <w:spacing w:after="0" w:line="277" w:lineRule="auto"/>
        <w:tabs>
          <w:tab w:leader="none" w:pos="97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QSR, which requires manufacturers, including third-party manufacturers, to follow stringent design, testing, control, documentation and other quality assurance procedures during all aspects of the manufacturing process;</w:t>
      </w:r>
    </w:p>
    <w:p>
      <w:pPr>
        <w:spacing w:after="0" w:line="116" w:lineRule="exact"/>
        <w:rPr>
          <w:rFonts w:ascii="Arial" w:cs="Arial" w:eastAsia="Arial" w:hAnsi="Arial"/>
          <w:sz w:val="18"/>
          <w:szCs w:val="18"/>
          <w:b w:val="1"/>
          <w:bCs w:val="1"/>
          <w:color w:val="auto"/>
        </w:rPr>
      </w:pPr>
    </w:p>
    <w:p>
      <w:pPr>
        <w:ind w:left="980" w:right="600" w:hanging="324"/>
        <w:spacing w:after="0" w:line="277" w:lineRule="auto"/>
        <w:tabs>
          <w:tab w:leader="none" w:pos="97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labeling regulations and the FDA prohibitions against the promotion of products for uncleared, unapproved or off-label uses and other requirements related to promotional activities;</w:t>
      </w:r>
    </w:p>
    <w:p>
      <w:pPr>
        <w:spacing w:after="0" w:line="116" w:lineRule="exact"/>
        <w:rPr>
          <w:rFonts w:ascii="Arial" w:cs="Arial" w:eastAsia="Arial" w:hAnsi="Arial"/>
          <w:sz w:val="18"/>
          <w:szCs w:val="18"/>
          <w:b w:val="1"/>
          <w:bCs w:val="1"/>
          <w:color w:val="auto"/>
        </w:rPr>
      </w:pPr>
    </w:p>
    <w:p>
      <w:pPr>
        <w:ind w:left="980" w:right="200" w:hanging="324"/>
        <w:spacing w:after="0" w:line="263" w:lineRule="auto"/>
        <w:tabs>
          <w:tab w:leader="none" w:pos="97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129" w:lineRule="exact"/>
        <w:rPr>
          <w:rFonts w:ascii="Arial" w:cs="Arial" w:eastAsia="Arial" w:hAnsi="Arial"/>
          <w:sz w:val="18"/>
          <w:szCs w:val="18"/>
          <w:b w:val="1"/>
          <w:bCs w:val="1"/>
          <w:color w:val="auto"/>
        </w:rPr>
      </w:pPr>
    </w:p>
    <w:p>
      <w:pPr>
        <w:ind w:left="980" w:right="120" w:hanging="324"/>
        <w:spacing w:after="0" w:line="308" w:lineRule="auto"/>
        <w:tabs>
          <w:tab w:leader="none" w:pos="975"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corrections and removal reporting regulations, which require that manufactures report to the FDA field corrections or removals if undertaken to reduce a risk to health posed by a device or to remedy a violation of the FDCA that may present a risk to health; and</w:t>
      </w:r>
    </w:p>
    <w:p>
      <w:pPr>
        <w:spacing w:after="0" w:line="92" w:lineRule="exact"/>
        <w:rPr>
          <w:rFonts w:ascii="Arial" w:cs="Arial" w:eastAsia="Arial" w:hAnsi="Arial"/>
          <w:sz w:val="17"/>
          <w:szCs w:val="17"/>
          <w:b w:val="1"/>
          <w:bCs w:val="1"/>
          <w:color w:val="auto"/>
        </w:rPr>
      </w:pPr>
    </w:p>
    <w:p>
      <w:pPr>
        <w:ind w:left="980" w:right="360" w:hanging="324"/>
        <w:spacing w:after="0" w:line="277" w:lineRule="auto"/>
        <w:tabs>
          <w:tab w:leader="none" w:pos="97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post market surveillance regulations, which apply to certain Class 2 or 3 devices when necessary to protect the public health or to provide additional safety and effectiveness data for the device.</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major change in its intended use, will require a new clearance or possibly a PMA. The FDA requires each manufacturer to make this determination initially, but the FDA can review any such decision and can disagree with a manufacture’s determination. If the FDA disagrees with our determination not to seek a new 510(k) clearance, the FDA may retroactively require us to seek 510(k) clearance or possibly a PMA. The FDA could also require manufacturer to cease marketing and distribution and/or recall the modified device until 510(k) clearance or PMA is obtained. Also, in these circumstances, the manufacturer may be subject to significant regulatory fines and penalties.</w:t>
      </w:r>
    </w:p>
    <w:p>
      <w:pPr>
        <w:spacing w:after="0" w:line="19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application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FDA regulations require us to register as a medical device manufacturer with the FDA. Additionally, some states require us to register as a medical device manufacturer within the state. Because of this, the FDA and similar state agencies may inspect us on a routine basis for compliance with the QSR. These regulations require that the manufacturer maintain proper documentation in a prescribed manner with respect to manufacturing, testing and control activities. Further, the FDA requires medical device manufacturers to comply with various FDA regulations regarding labeling.</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by us or by our suppliers to comply with applicable regulatory requirements can result in enforcement action by the FDA or state authorities, which may include any of the following sanctions:</w:t>
      </w:r>
    </w:p>
    <w:p>
      <w:pPr>
        <w:spacing w:after="0" w:line="116"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warning or untitled letters, fines, injunctions, consent decrees and civil penalties;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customer notifications, voluntary or mandatory recall or seizure of our medical device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operating restrictions, partial suspension or total shutdown of production;</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delay in processing submissions or applications for new products or modifications to existing products;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withdrawing approvals that have already been granted;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Medical Device Reporting laws and regulations require medical device manufacturers to provide information to the FDA when they receive or otherwise become aware of information that reasonably suggests the device may have caused or contributed to a death or serious injury as well as a device malfunction that likely would cause or contribute to death or serious injury if the malfunction were to recur. In addition, the FDA prohibits an approved device from being marketed for off-label use.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medical device product candidates under development. Medical device manufacturers are also subject to other federal, state and local laws and regulations relating to safe working conditions, laboratory and manufacturing practices.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Compliance Requirements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9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sales, promotion, medical education, clinical research and other activities following product approval will be subject to regulation by numerous regulatory and law enforcement authorities in the U.S. in addition to the FDA, including potentially the Federal Trade Commission, the Department of Justice, CMS, other divisions of HHS and state and local governments. Our promotional and scientific/educational programs must comply with the AKS, the FCA, physician payment transparency laws, privacy laws, security laws, and additional federal and state laws similar to the foregoing. If drugs are made available to authorized users of the Federal Supply Schedule of the General Services Administration, additional laws and requirements apply. Drugs must meet applicable child-resistant packaging requirements under the U.S. Poison Prevention Packaging Act. Manufacturing, sales, promotion, and other activities are also potentially subject to federal and state consumer protection and unfair competition laws.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AKS prohibits, among other things, the knowing and willing, direct or indirect offer, receipt, solicitation or payment of remuneration in exchange for or to induce the referral of patients, including the purchase, order or lease of any good, facility, item or service that would be paid for in whole or part by Medicare, Medicaid or other federal health care programs. Remuneration has been broadly defined to include anything of value, including cash, improper discounts, and free or reduced-price items and services. The AKS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AKS has been violated. The government has enforced the AKS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AKS constitutes a false or fraudulent claim for purposes of the FCA. Many states have similar laws that apply to their state health care programs, as well as private payors.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Federal false claims and false statement laws, including the FCA, imposes liability on persons or entities that, among other things, knowingly present or cause to be presented claims that are false or fraudulent or not provided as claimed for payment or approval by a federal health care program. The FCA has been used to prosecute persons or entities that “cause” the submission of claims for payment that are inaccurate or fraudulent, by, for example, providing inaccurate billing or coding information to customers, promoting a product off-label, submitting claims for services not provided as claimed, or submitting claims for services that were provided but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illegal sales and marketing practices. The government has obtained multi-million and multi-billion dollar settlements under the FCA in addition to individual criminal convictions under applicable criminal statutes. In addition, certain companies that were found to be in violation of the FCA have been forced to implement extensive corrective action plans and have often become subject to consent decrees or corporate integrity agreements, restricting the manner in which they conduct their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Health Insurance Portability and Accountability Act (HIPAA) created additional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in connection with the delivery of or payment for healthcare benefits, items or services; and willfully obstructing a criminal investigation of a healthcare offense. Like the AKS,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Given the significant size of actual and potential settlements, it is expected that the government will continue to devote substantial resources to investigating healthcare providers’ and manufacturers’ compliance with applicable fraud and abuse laws. In addition, many states have similar fraud and abuse statutes or regulations that may be broader in scope and may apply regardless of payor, in addition to items and services reimbursed under Medicaid and other state programs. Additionally, to the extent that our product candidates, once commercialized, are sold in a foreign country, we may be subject to similar foreign laws.</w:t>
      </w:r>
    </w:p>
    <w:p>
      <w:pPr>
        <w:spacing w:after="0" w:line="18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and teaching hospitals. The ACA, among other things, under the federal Physician Payment Sunshine Act, imposed reporting requirements on certain manufacturers of drugs, devices, biologics and medical supplies for which payment is available under Medicare, Medicaid or the Children’s Health Insurance Program, with specific exceptions, for payments or other transfers of value made by them to certain covered recipients, including physicians and teaching hospitals, as well as ownership and investment interests held by physicians and their immediate family members. Effective January 1, 2022, these reporting obligations with respect to covered recipients have been extended to include payments and transfers of value made to non-physician providers such as physician assistants and nurse practitioners. Covered manufacturers are required to collect and report detailed payment data and submit legal attestation to the accuracy of such data to the government each year. Failure to submit required information may result in civil monetary penalties for all payments, transfers of value or ownership or investment interests that are not timely, accurately and completely reported in an annual submission. Additionally, entities that do not comply with mandatory reporting requirements may be subject to a corporate integrity agreement. Certain states also mandate implementation of commercial compliance programs, impose restrictions on covered manufacturers’ marketing practices and/or require the tracking and reporting of gifts, compensation and other remuneration to physicians and other healthcare professionals.</w:t>
      </w:r>
    </w:p>
    <w:p>
      <w:pPr>
        <w:spacing w:after="0" w:line="16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of 2009 (HITECH) and their respective implementing regulations, impose specified requirements on certain health care providers, plans and clearinghouses, or collectively, covered entities, and their “business associates,” relating to the privacy, security and transmission of individually identifiable health information. Among other things, HITECH makes HIPAA’s security standards directly applicable to “business associates,” which includes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certain states have their own laws that govern the privacy and security of health information in certain circumstances, many of which differ from each other and/or HIPAA in significant ways and may not have the same effect, thus complicating compliance efforts.</w:t>
      </w:r>
    </w:p>
    <w:p>
      <w:pPr>
        <w:spacing w:after="0" w:line="16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civil and criminal penalties, damages, fines, disgorgement, the curtailment or restructuring of our operations, exclusion from participation in federal and state healthcare programs, imprisonment, contractual damages, reputational harm, and diminished profits and future earnings, any of which could adversely affect our ability to operate our business and our financial results. If any of the physicians or other providers, independent contractors, or entities with whom we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health care laws, we are also subject to the U.S. Foreign Corrupt Practices Act (FCPA) and similar worldwide anti-bribery laws, which generally prohibit companies and their intermediaries from making improper payments to government officials or private-sector recipients for the purpose of obtaining or retaining business. The anti-corruption policy mandates compliance with the FCPA and similar anti-bribery laws applicable to our business throughout the world. However, we cannot assure you that such a policy or procedures implemented to enforce such a policy will protect us from intentional, reckless or negligent acts committed by our employees, distributors, partners, collaborators or agents. Violations of these laws, or allegations of such violations, could result in fines, penalties or prosecution and have a negative impact on our business, results of operations and reputation.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Sales of pharmaceutical products depend significantly on the extent to which coverage and adequate reimbursement are provided by third-party payors. Third-party payors include state and federal government health care programs, managed care providers, private health insurers and other organizations. Although we currently believe that third-party payors will provide coverage and reimbursement for our product candidates, if approved, we cannot be certain of this. Third-party payors are increasingly challenging the price, examining the cost-effectiveness, and reducing reimbursement for medical products and services. 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Significant uncertainty exists as to the reimbursement status of newly approved healthcare products.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revenues and results. We may need to conduct expensive clinical trials to demonstrate the comparative cost-effectiveness of our product candidates. The product candidates that we develop may not be considered cost-effective and thus may not be covered or sufficiently reimbursed. It is time consuming and expensive for us to seek coverage and reimbursement from third-party payors, as each payor will make its own determination as to whether to cover a product and at what level of reimbursement. Thus, one payor’s decision to provide coverage and adequate reimbursement for a product does not assure that another payor will provide coverage or that the reimbursement levels will be adequate. Moreover, a payor’s decision to provide coverage for a drug product does not imply that an adequate reimbursement rate will be approved. Reimbursement may not be available or sufficient to allow us to sell our product candidates on a competitive and profitable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 candidates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By way of example, in March 2010, the ACA was signed into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potential product candidates are:</w:t>
      </w:r>
    </w:p>
    <w:p>
      <w:pPr>
        <w:spacing w:after="0" w:line="133" w:lineRule="exact"/>
        <w:rPr>
          <w:sz w:val="20"/>
          <w:szCs w:val="20"/>
          <w:color w:val="auto"/>
        </w:rPr>
      </w:pPr>
    </w:p>
    <w:p>
      <w:pPr>
        <w:ind w:left="980" w:right="20" w:hanging="324"/>
        <w:spacing w:after="0" w:line="277" w:lineRule="auto"/>
        <w:tabs>
          <w:tab w:leader="none" w:pos="97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160" w:hanging="324"/>
        <w:spacing w:after="0" w:line="277" w:lineRule="auto"/>
        <w:tabs>
          <w:tab w:leader="none" w:pos="9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16" w:lineRule="exact"/>
        <w:rPr>
          <w:rFonts w:ascii="Arial" w:cs="Arial" w:eastAsia="Arial" w:hAnsi="Arial"/>
          <w:sz w:val="18"/>
          <w:szCs w:val="18"/>
          <w:b w:val="1"/>
          <w:bCs w:val="1"/>
          <w:color w:val="auto"/>
        </w:rPr>
      </w:pPr>
    </w:p>
    <w:p>
      <w:pPr>
        <w:ind w:left="980" w:right="440" w:hanging="324"/>
        <w:spacing w:after="0" w:line="277" w:lineRule="auto"/>
        <w:tabs>
          <w:tab w:leader="none" w:pos="9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6" w:lineRule="exact"/>
        <w:rPr>
          <w:rFonts w:ascii="Arial" w:cs="Arial" w:eastAsia="Arial" w:hAnsi="Arial"/>
          <w:sz w:val="18"/>
          <w:szCs w:val="18"/>
          <w:b w:val="1"/>
          <w:bCs w:val="1"/>
          <w:color w:val="auto"/>
        </w:rPr>
      </w:pPr>
    </w:p>
    <w:p>
      <w:pPr>
        <w:ind w:left="980" w:right="20" w:hanging="324"/>
        <w:spacing w:after="0" w:line="311" w:lineRule="auto"/>
        <w:tabs>
          <w:tab w:leader="none" w:pos="975"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a manufacturer’s outpatient drugs to be covered under Medicare Part D;</w:t>
      </w:r>
    </w:p>
    <w:p>
      <w:pPr>
        <w:spacing w:after="0" w:line="94" w:lineRule="exact"/>
        <w:rPr>
          <w:rFonts w:ascii="Arial" w:cs="Arial" w:eastAsia="Arial" w:hAnsi="Arial"/>
          <w:sz w:val="16"/>
          <w:szCs w:val="16"/>
          <w:b w:val="1"/>
          <w:bCs w:val="1"/>
          <w:color w:val="auto"/>
        </w:rPr>
      </w:pPr>
    </w:p>
    <w:p>
      <w:pPr>
        <w:ind w:left="980" w:right="60" w:hanging="324"/>
        <w:spacing w:after="0" w:line="277" w:lineRule="auto"/>
        <w:tabs>
          <w:tab w:leader="none" w:pos="9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16" w:lineRule="exact"/>
        <w:rPr>
          <w:rFonts w:ascii="Arial" w:cs="Arial" w:eastAsia="Arial" w:hAnsi="Arial"/>
          <w:sz w:val="18"/>
          <w:szCs w:val="18"/>
          <w:b w:val="1"/>
          <w:bCs w:val="1"/>
          <w:color w:val="auto"/>
        </w:rPr>
      </w:pPr>
    </w:p>
    <w:p>
      <w:pPr>
        <w:ind w:left="980" w:right="200" w:hanging="324"/>
        <w:spacing w:after="0" w:line="263" w:lineRule="auto"/>
        <w:tabs>
          <w:tab w:leader="none" w:pos="9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71" w:lineRule="exact"/>
        <w:rPr>
          <w:rFonts w:ascii="Arial" w:cs="Arial" w:eastAsia="Arial" w:hAnsi="Arial"/>
          <w:sz w:val="18"/>
          <w:szCs w:val="18"/>
          <w:b w:val="1"/>
          <w:bCs w:val="1"/>
          <w:color w:val="auto"/>
        </w:rPr>
      </w:pPr>
    </w:p>
    <w:p>
      <w:pPr>
        <w:ind w:left="980" w:hanging="324"/>
        <w:spacing w:after="0" w:line="277" w:lineRule="auto"/>
        <w:tabs>
          <w:tab w:leader="none" w:pos="97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among others, the Budget Control Act of 2011, which mandates aggregate reductions to Medicare payments to providers of up to 2% per fiscal year effective April 1, 2013, and, due to subsequent legislative amendments, will remain in effect through 2031, with the exception of a temporary suspension implemented under various COVID-19 relief legislation from May 1, 2020 through March 31, 2022. Under current legislation, the actual reduction in Medicare payments will vary from 1% in 2022 to up to 4% in the final fiscal year of this sequester. In January 2013, President Obama signed into law the ARTA, which, among other things, further reduced Medicare payments to several providers, including hospitals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Since the enactment of the ACA, there have been judicial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changes in healthcare regulation could be time-intensive and expensive, resulting in material adverse effect on our business.</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the state level, individual states are increasingly passing legislation and implementing regulations designed to control pharmaceutical and biological product pricing, including discounts, restrictions on certain product access and marketing cost disclosure and transparency measures.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These measures could reduce the demand for our products, if approved, or impose additional pricing pressures on how much we can charge for our products if approved.</w:t>
      </w:r>
    </w:p>
    <w:p>
      <w:pPr>
        <w:spacing w:after="0" w:line="19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 Furthermore, the current presidential administration and Congress may continue to attempt broad sweeping changes to the current health care laws. We face uncertainties that might result from modifications or repeal of any of the provisions of the ACA, including as a result of current and future executive orders and legislative actions. The impact of those changes on us and potential effect on the pharmaceutical and biotechnology industries as a whole is currently unknown. However, any changes to the ACA are likely to have an impact on our results of operations and may have a material adverse effect on our results of operations. We cannot predict what other healthcare programs and regulations will ultimately be implemented at the federal or state level or the effect any future legislation or regulation in the U.S. may have on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11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to regulations in the U.S., we will be subject to a variety of foreign regulations governing clinical trials and commercial sales and distribution of our product candidates to the extent we choose to develop or sell any product candidates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Our Human Capital talent strategy relies on attracting, retaining and developing top talent that align with our culture and mission to “outsmart your disease.” We promote a culture that is focused on delivering treatments utilizing natural immunities, and we seek to harness our science first focus to deliver solutions to patients and families. As of December 31, 2022, we had 725 employees located across the U.S. and Italy. Among our employees,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23% are focused on research and development, 14% on clinical development and regulatory, 40% on manufacturing and quality, and 23% on general and administrative functions. We have not been subject to labor action or union activities, and our management considers its relationships with employees to be good.</w:t>
      </w:r>
    </w:p>
    <w:p>
      <w:pPr>
        <w:spacing w:after="0" w:line="1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fostering a workplace that celebrates differences and strengths creates an environment that supports the inclusion and value of diverse thoughts, backgrounds and perspectives. A well rounded culture allows for ongoing dialogue and discussions that challenge the status quo and create a learning environment that supports diversity, equity and inclusion. As part of our commitment we continue to encourage a culture where employees can freely ask questions and raise concerns. Our annual performance review process helps support our commitment to develop and retain top talent by providing an opportunity to have open dialogue, establish goals, discuss milestones and continue to engage in opportunities to develop and cultivate the talent. Additionally, our management team makes themselves available to all employees including 1:1s, Department Meetings and Town Hall events.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ongoing success will continue to depend on our ability to attract, engage and retain top talent in an ever growing competitive market. We offer a competitive compensation package to help meet the needs of our employees. In addition to salaries, these programs include annual bonuses, stock awards, a 401(k) plan, healthcare and insurance benefits, flexible spending accounts, paid time off, family leave, flexible work schedules, an employee assistance program, among others. We work to ensure pay equity by assessing our compensation practices and working with external benchmarks and compensation consultants to design and benchmark our programs.</w:t>
      </w:r>
    </w:p>
    <w:p>
      <w:pPr>
        <w:spacing w:after="0" w:line="18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ongoing response to the COVID-19 pandemic, which complies with government orders in all the states and counties where we operate, focuses on employee health and wellness. We implemented a number of health-related measures over the past three years that included work from home policies, on-site access restrictions, and increased cleaning and sanitizing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Development of ImmunityBio, Inc.</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ImmunityBio, Inc. was established following a series of mergers and name changes. We were incorporated in Illinois on October 7, 2002 under the name ZelleRx Corporation. Our name was later changed to Conkwest, Inc., and we were reincorporated in the state of Delaware in March 2014. On July 10, 2015, we changed our name to NantKwest, Inc. (NantKwest).</w:t>
      </w:r>
    </w:p>
    <w:p>
      <w:pPr>
        <w:spacing w:after="0" w:line="184"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NantCell, LLC was originally organized as a Delaware limited liability company in November 2014. In April 2015, it was converted to a Delaware corporation, NantCell, Inc., and in May 2019 changed its name to ImmunityBio, Inc. (a private company) (NantCell).</w:t>
      </w:r>
    </w:p>
    <w:p>
      <w:pPr>
        <w:spacing w:after="0" w:line="14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December 21, 2020, NantKwest and NantCell entered into an Agreement and Plan of Merger (the Merger Agreement), pursuant to which NantKwest and NantCell agreed to combine their businesses. The Merger Agreement provided that a wholly-owned subsidiary of the company would merge with and into NantCell (the Merger), with NantCell surviving the Merger as a wholly-owned subsidiary of the company. We believe that the Merger, which closed on March 9, 2021, combined two companies to create a clinical-stage biotechnology company developing next-generation therapies and vaccines that complement, harness, and amplify the immune system to defeat cancers and infectious diseases.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ImmunityBio is incorporated in Delaware and its principal executive offices are located in San Diego, California.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Financial and other information about our company is available on our website at </w:t>
      </w:r>
      <w:r>
        <w:rPr>
          <w:rFonts w:ascii="Arial" w:cs="Arial" w:eastAsia="Arial" w:hAnsi="Arial"/>
          <w:sz w:val="16"/>
          <w:szCs w:val="16"/>
          <w:u w:val="single" w:color="auto"/>
          <w:color w:val="auto"/>
        </w:rPr>
        <w:t>https://www.immunitybio.com</w:t>
      </w:r>
      <w:r>
        <w:rPr>
          <w:rFonts w:ascii="Arial" w:cs="Arial" w:eastAsia="Arial" w:hAnsi="Arial"/>
          <w:sz w:val="16"/>
          <w:szCs w:val="16"/>
          <w:color w:val="auto"/>
        </w:rPr>
        <w:t xml:space="preserve">.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(the SEC). All reports we file with the SEC are available free of charge via EDGAR through the SEC website at </w:t>
      </w:r>
      <w:r>
        <w:rPr>
          <w:rFonts w:ascii="Arial" w:cs="Arial" w:eastAsia="Arial" w:hAnsi="Arial"/>
          <w:sz w:val="16"/>
          <w:szCs w:val="16"/>
          <w:u w:val="single" w:color="auto"/>
          <w:color w:val="auto"/>
        </w:rPr>
        <w:t>https://www.sec.gov</w:t>
      </w:r>
      <w:r>
        <w:rPr>
          <w:rFonts w:ascii="Arial" w:cs="Arial" w:eastAsia="Arial" w:hAnsi="Arial"/>
          <w:sz w:val="16"/>
          <w:szCs w:val="16"/>
          <w:color w:val="auto"/>
          <w:highlight w:val="white"/>
        </w:rPr>
        <w:t>. We have included the web addresses of ImmunityBio and the SEC as inactive textual references</w:t>
      </w:r>
      <w:r>
        <w:rPr>
          <w:rFonts w:ascii="Arial" w:cs="Arial" w:eastAsia="Arial" w:hAnsi="Arial"/>
          <w:sz w:val="16"/>
          <w:szCs w:val="16"/>
          <w:color w:val="auto"/>
        </w:rPr>
        <w:t xml:space="preserve"> only. Except as specifically incorporated by reference into this Annual Report, information on these websites is not part of this filing.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75" w:lineRule="exact"/>
        <w:rPr>
          <w:sz w:val="20"/>
          <w:szCs w:val="20"/>
          <w:color w:val="auto"/>
        </w:rPr>
      </w:pPr>
    </w:p>
    <w:p>
      <w:pPr>
        <w:ind w:left="980" w:right="240" w:hanging="324"/>
        <w:spacing w:after="0" w:line="263" w:lineRule="auto"/>
        <w:tabs>
          <w:tab w:leader="none" w:pos="97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We anticipate needing additional financing to fund our operations and complete the development and commercialization of our various product candidates, and if we are unable to obtain such financing when needed, or on acceptable terms, we may be unable to complete the development and commercialization of our product candidates.</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Our debt could adversely affect our cash flows and limit our flexibility to raise additional capital.</w:t>
      </w:r>
    </w:p>
    <w:p>
      <w:pPr>
        <w:spacing w:after="0" w:line="171" w:lineRule="exact"/>
        <w:rPr>
          <w:rFonts w:ascii="Arial" w:cs="Arial" w:eastAsia="Arial" w:hAnsi="Arial"/>
          <w:sz w:val="18"/>
          <w:szCs w:val="18"/>
          <w:b w:val="1"/>
          <w:bCs w:val="1"/>
          <w:color w:val="auto"/>
        </w:rPr>
      </w:pPr>
    </w:p>
    <w:p>
      <w:pPr>
        <w:ind w:left="980" w:hanging="324"/>
        <w:spacing w:after="0" w:line="277" w:lineRule="auto"/>
        <w:tabs>
          <w:tab w:leader="none" w:pos="97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Conversion of certain related-party notes may dilute the ownership interest of existing stockholders or may otherwise depress the price of our common stock.</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accounting method for convertible debt securities could have a material effect on our reported financial results.</w:t>
      </w:r>
    </w:p>
    <w:p>
      <w:pPr>
        <w:spacing w:after="0" w:line="184" w:lineRule="exact"/>
        <w:rPr>
          <w:rFonts w:ascii="Arial" w:cs="Arial" w:eastAsia="Arial" w:hAnsi="Arial"/>
          <w:sz w:val="18"/>
          <w:szCs w:val="18"/>
          <w:b w:val="1"/>
          <w:bCs w:val="1"/>
          <w:color w:val="auto"/>
        </w:rPr>
      </w:pPr>
    </w:p>
    <w:p>
      <w:pPr>
        <w:ind w:left="980" w:right="440" w:hanging="324"/>
        <w:spacing w:after="0" w:line="296" w:lineRule="auto"/>
        <w:tabs>
          <w:tab w:leader="none" w:pos="968" w:val="left"/>
        </w:tabs>
        <w:numPr>
          <w:ilvl w:val="0"/>
          <w:numId w:val="46"/>
        </w:numPr>
        <w:rPr>
          <w:rFonts w:ascii="Arial" w:cs="Arial" w:eastAsia="Arial" w:hAnsi="Arial"/>
          <w:sz w:val="19"/>
          <w:szCs w:val="19"/>
          <w:color w:val="auto"/>
        </w:rPr>
      </w:pPr>
      <w:r>
        <w:rPr>
          <w:rFonts w:ascii="Arial" w:cs="Arial" w:eastAsia="Arial" w:hAnsi="Arial"/>
          <w:sz w:val="17"/>
          <w:szCs w:val="17"/>
          <w:color w:val="auto"/>
        </w:rPr>
        <w:t>The value of our warrants outstanding is subject to potentially material increases and decreases based on fluctuations in the price of our common stock, which may affect our results of operations and financial position and could adversely affect our stock price.</w:t>
      </w:r>
    </w:p>
    <w:p>
      <w:pPr>
        <w:spacing w:after="0" w:line="96" w:lineRule="exact"/>
        <w:rPr>
          <w:rFonts w:ascii="Arial" w:cs="Arial" w:eastAsia="Arial" w:hAnsi="Arial"/>
          <w:sz w:val="19"/>
          <w:szCs w:val="19"/>
          <w:color w:val="auto"/>
        </w:rPr>
      </w:pPr>
    </w:p>
    <w:p>
      <w:pPr>
        <w:ind w:left="980" w:right="80" w:hanging="324"/>
        <w:spacing w:after="0" w:line="263" w:lineRule="auto"/>
        <w:tabs>
          <w:tab w:leader="none" w:pos="97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We are a clinical-stage biotechnology company with a limited operating history and no products approved for commercial sale. We have a history of operating losses, and we expect to continue to incur losses and may never be profitable, which together with our limited operating history, makes it difficult to assess our future viability.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75" w:lineRule="exact"/>
        <w:rPr>
          <w:sz w:val="20"/>
          <w:szCs w:val="20"/>
          <w:color w:val="auto"/>
        </w:rPr>
      </w:pPr>
    </w:p>
    <w:p>
      <w:pPr>
        <w:ind w:left="980" w:right="700" w:hanging="324"/>
        <w:spacing w:after="0" w:line="277" w:lineRule="auto"/>
        <w:tabs>
          <w:tab w:leader="none" w:pos="975"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We will be substantially dependent on the success of our product candidates and cannot guarantee that these product candidates will successfully complete development, receive regulatory approval or be successfully commercialized.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We are developing product candidates in combination with other therapies, which exposes us to additional risks.</w:t>
      </w:r>
    </w:p>
    <w:p>
      <w:pPr>
        <w:spacing w:after="0" w:line="171" w:lineRule="exact"/>
        <w:rPr>
          <w:rFonts w:ascii="Arial" w:cs="Arial" w:eastAsia="Arial" w:hAnsi="Arial"/>
          <w:sz w:val="18"/>
          <w:szCs w:val="18"/>
          <w:b w:val="1"/>
          <w:bCs w:val="1"/>
          <w:color w:val="auto"/>
        </w:rPr>
      </w:pPr>
    </w:p>
    <w:p>
      <w:pPr>
        <w:ind w:left="980" w:right="220" w:hanging="324"/>
        <w:spacing w:after="0" w:line="277" w:lineRule="auto"/>
        <w:tabs>
          <w:tab w:leader="none" w:pos="97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We may choose to expend our limited resources on programs that do not yield successful product candidates as opposed to indications that may be more profitable or for which there is a greater likelihood of success.</w:t>
      </w:r>
    </w:p>
    <w:p>
      <w:pPr>
        <w:spacing w:after="0" w:line="116" w:lineRule="exact"/>
        <w:rPr>
          <w:rFonts w:ascii="Arial" w:cs="Arial" w:eastAsia="Arial" w:hAnsi="Arial"/>
          <w:sz w:val="18"/>
          <w:szCs w:val="18"/>
          <w:b w:val="1"/>
          <w:bCs w:val="1"/>
          <w:i w:val="1"/>
          <w:iCs w:val="1"/>
          <w:color w:val="auto"/>
        </w:rPr>
      </w:pPr>
    </w:p>
    <w:p>
      <w:pPr>
        <w:ind w:left="980" w:right="60" w:hanging="324"/>
        <w:spacing w:after="0" w:line="277" w:lineRule="auto"/>
        <w:tabs>
          <w:tab w:leader="none" w:pos="975"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Our projections regarding the market opportunities for our product candidates may not be accurate, and the actual market for our products, if approved, may be smaller than we estimate.</w:t>
      </w:r>
    </w:p>
    <w:p>
      <w:pPr>
        <w:spacing w:after="0" w:line="116" w:lineRule="exact"/>
        <w:rPr>
          <w:rFonts w:ascii="Arial" w:cs="Arial" w:eastAsia="Arial" w:hAnsi="Arial"/>
          <w:sz w:val="18"/>
          <w:szCs w:val="18"/>
          <w:b w:val="1"/>
          <w:bCs w:val="1"/>
          <w:color w:val="auto"/>
        </w:rPr>
      </w:pPr>
    </w:p>
    <w:p>
      <w:pPr>
        <w:ind w:left="980" w:right="480" w:hanging="324"/>
        <w:spacing w:after="0" w:line="342" w:lineRule="auto"/>
        <w:tabs>
          <w:tab w:leader="none" w:pos="975"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color w:val="auto"/>
        </w:rPr>
        <w:t>Our clinical trials may fail to adequately demonstrate the safety and efficacy of our product candidates, which would prevent or delay regulatory approval and commercialization. If our trials are not successful, we will be unable to commercialize our product candidates.</w:t>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75" w:lineRule="exact"/>
        <w:rPr>
          <w:sz w:val="20"/>
          <w:szCs w:val="20"/>
          <w:color w:val="auto"/>
        </w:rPr>
      </w:pPr>
    </w:p>
    <w:p>
      <w:pPr>
        <w:ind w:left="980" w:right="20" w:hanging="324"/>
        <w:spacing w:after="0" w:line="291" w:lineRule="auto"/>
        <w:tabs>
          <w:tab w:leader="none" w:pos="975"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We have limited experience conducting clinical trials and have relied and will rely on third parties and related parties to conduct many of our preclinical studies and clinical trials, to manufacture products and to perform many essential services for any products that we commercialize, including services related to distribution, government price reporting, customer service, accounts receivable management, cash collection and adverse event reporting. Any failure by a third party, related party, or by us to perform as expected, to comply with legal and regulatory requirements or to conduct the clinical trials according to Good Clinical Practice (GCP) regulations, and in a timely manner, may delay or prevent our ability to seek or obtain regulatory approval for or commercialization of our product candidates and our ability to commercialize our current or future product candidates will be significantly impacted and we may be subject to regulatory sanctions.</w:t>
      </w:r>
    </w:p>
    <w:p>
      <w:pPr>
        <w:spacing w:after="0" w:line="112" w:lineRule="exact"/>
        <w:rPr>
          <w:rFonts w:ascii="Arial" w:cs="Arial" w:eastAsia="Arial" w:hAnsi="Arial"/>
          <w:sz w:val="16"/>
          <w:szCs w:val="16"/>
          <w:b w:val="1"/>
          <w:bCs w:val="1"/>
          <w:color w:val="auto"/>
        </w:rPr>
      </w:pPr>
    </w:p>
    <w:p>
      <w:pPr>
        <w:ind w:left="980" w:right="60" w:hanging="324"/>
        <w:spacing w:after="0" w:line="263" w:lineRule="auto"/>
        <w:tabs>
          <w:tab w:leader="none" w:pos="97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If third-party manufacturers, wholesalers and distributors fail to perform as expected, or fail to devote sufficient time and resources to our product candidates, our clinical development may be delayed, our costs may be higher than expected or our product candidates may fail to be approved, or we may fail to commercialize any product candidates if approved.</w:t>
      </w:r>
    </w:p>
    <w:p>
      <w:pPr>
        <w:spacing w:after="0" w:line="129" w:lineRule="exact"/>
        <w:rPr>
          <w:rFonts w:ascii="Arial" w:cs="Arial" w:eastAsia="Arial" w:hAnsi="Arial"/>
          <w:sz w:val="18"/>
          <w:szCs w:val="18"/>
          <w:b w:val="1"/>
          <w:bCs w:val="1"/>
          <w:color w:val="auto"/>
        </w:rPr>
      </w:pPr>
    </w:p>
    <w:p>
      <w:pPr>
        <w:ind w:left="980" w:hanging="324"/>
        <w:spacing w:after="0" w:line="259" w:lineRule="auto"/>
        <w:tabs>
          <w:tab w:leader="none" w:pos="97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We use the Immuno-Oncology Clinic, Inc. (the Clinic), a related party, in some of our clinical trials which may expose us to significant regulatory risks. If our data for this site is not sufficiently robust or if there are any data integrity issues, we may be required to repeat such studies or required to contract with other clinical trial sites, and our clinical development plans will be significantly delayed, and we will incur additional costs.</w:t>
      </w:r>
    </w:p>
    <w:p>
      <w:pPr>
        <w:spacing w:after="0" w:line="132" w:lineRule="exact"/>
        <w:rPr>
          <w:rFonts w:ascii="Arial" w:cs="Arial" w:eastAsia="Arial" w:hAnsi="Arial"/>
          <w:sz w:val="18"/>
          <w:szCs w:val="18"/>
          <w:b w:val="1"/>
          <w:bCs w:val="1"/>
          <w:color w:val="auto"/>
        </w:rPr>
      </w:pPr>
    </w:p>
    <w:p>
      <w:pPr>
        <w:ind w:left="980" w:right="180" w:hanging="324"/>
        <w:spacing w:after="0" w:line="279" w:lineRule="auto"/>
        <w:tabs>
          <w:tab w:leader="none" w:pos="975"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We have formed, and may in the future form or seek, strategic alliances or enter into collaborations with third parties or additional licensing arrangements in the future, and we may not realize the benefits of such alliances or licensing arrangements. If we fail to enter into such strategic alliances, collaborations or licensing arrangements, or such strategic alliances, collaborations or licensing arrangements are not successful, we may not be able to capitalize on the market potential of our product candidates.</w:t>
      </w:r>
    </w:p>
    <w:p>
      <w:pPr>
        <w:spacing w:after="0" w:line="117" w:lineRule="exact"/>
        <w:rPr>
          <w:rFonts w:ascii="Arial" w:cs="Arial" w:eastAsia="Arial" w:hAnsi="Arial"/>
          <w:sz w:val="17"/>
          <w:szCs w:val="17"/>
          <w:b w:val="1"/>
          <w:bCs w:val="1"/>
          <w:color w:val="auto"/>
        </w:rPr>
      </w:pPr>
    </w:p>
    <w:p>
      <w:pPr>
        <w:ind w:left="980" w:right="280" w:hanging="324"/>
        <w:spacing w:after="0" w:line="277" w:lineRule="auto"/>
        <w:tabs>
          <w:tab w:leader="none" w:pos="97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If conflicts arise between us and our collaborators or strategic partners, these parties may act in a manner adverse to us and could limit our ability to implement our strategies.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and Other Government Regulations</w:t>
      </w:r>
    </w:p>
    <w:p>
      <w:pPr>
        <w:spacing w:after="0" w:line="175" w:lineRule="exact"/>
        <w:rPr>
          <w:sz w:val="20"/>
          <w:szCs w:val="20"/>
          <w:color w:val="auto"/>
        </w:rPr>
      </w:pPr>
    </w:p>
    <w:p>
      <w:pPr>
        <w:ind w:left="980" w:right="140" w:hanging="324"/>
        <w:spacing w:after="0" w:line="263" w:lineRule="auto"/>
        <w:tabs>
          <w:tab w:leader="none" w:pos="97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We may be unable to obtain U.S. or foreign regulatory approval and, as a result, be unable to commercialize our product candidates. We are, and if we receive regulatory approval of our product candidates, will continue to be subject to ongoing extensive regulation, regulatory obligations and continued regulatory review, which may result in significant additional expense.</w:t>
      </w:r>
    </w:p>
    <w:p>
      <w:pPr>
        <w:spacing w:after="0" w:line="129" w:lineRule="exact"/>
        <w:rPr>
          <w:rFonts w:ascii="Arial" w:cs="Arial" w:eastAsia="Arial" w:hAnsi="Arial"/>
          <w:sz w:val="18"/>
          <w:szCs w:val="18"/>
          <w:b w:val="1"/>
          <w:bCs w:val="1"/>
          <w:color w:val="auto"/>
        </w:rPr>
      </w:pPr>
    </w:p>
    <w:p>
      <w:pPr>
        <w:ind w:left="980" w:right="460" w:hanging="324"/>
        <w:spacing w:after="0" w:line="277" w:lineRule="auto"/>
        <w:tabs>
          <w:tab w:leader="none" w:pos="97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16" w:lineRule="exact"/>
        <w:rPr>
          <w:rFonts w:ascii="Arial" w:cs="Arial" w:eastAsia="Arial" w:hAnsi="Arial"/>
          <w:sz w:val="18"/>
          <w:szCs w:val="18"/>
          <w:b w:val="1"/>
          <w:bCs w:val="1"/>
          <w:color w:val="auto"/>
        </w:rPr>
      </w:pPr>
    </w:p>
    <w:p>
      <w:pPr>
        <w:ind w:left="980" w:right="120" w:hanging="324"/>
        <w:spacing w:after="0" w:line="257" w:lineRule="auto"/>
        <w:tabs>
          <w:tab w:leader="none" w:pos="97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Even if we receive regulatory approval for our product candidate, Anktiva in combination with BCG for the treatment of patients with BCG-unresponsive NMIBC with CIS with or without Ta or T1 disease, or any other product candidates, they will be subject to ongoing regulatory requirements, which may result in significant additional expenses. Additionally, our product candidates, if approved, could be subject to labeling and other restrictions, and we may be subject to penalties if we fail to comply with regulatory requirements or experience unanticipated problems with our product candidates.</w:t>
      </w:r>
    </w:p>
    <w:p>
      <w:pPr>
        <w:spacing w:after="0" w:line="133" w:lineRule="exact"/>
        <w:rPr>
          <w:rFonts w:ascii="Arial" w:cs="Arial" w:eastAsia="Arial" w:hAnsi="Arial"/>
          <w:sz w:val="18"/>
          <w:szCs w:val="18"/>
          <w:b w:val="1"/>
          <w:bCs w:val="1"/>
          <w:color w:val="auto"/>
        </w:rPr>
      </w:pPr>
    </w:p>
    <w:p>
      <w:pPr>
        <w:ind w:left="980" w:right="100" w:hanging="324"/>
        <w:spacing w:after="0" w:line="277" w:lineRule="auto"/>
        <w:tabs>
          <w:tab w:leader="none" w:pos="97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we are unable to establish sales, marketing and distribution capabilities, we may not be successful commercializing our product candidates if and when they are approved.</w:t>
      </w:r>
    </w:p>
    <w:p>
      <w:pPr>
        <w:spacing w:after="0" w:line="116"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Problems related to large scale commercial manufacturing could cause delays in product launches, an increase in costs or shortages of product candidates.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left="980" w:right="680" w:hanging="324"/>
        <w:spacing w:after="0" w:line="286" w:lineRule="auto"/>
        <w:tabs>
          <w:tab w:leader="none" w:pos="975"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If we are unable to obtain, maintain, protect and enforce patent protection and other proprietary rights for our product candidates and technologies, we may not be able to compete effectively or operate profitably and our ability to prevent our competitors from commercializing similar or identical technology and product candidates would be adversely affected.</w:t>
      </w:r>
    </w:p>
    <w:p>
      <w:pPr>
        <w:spacing w:after="0" w:line="111" w:lineRule="exact"/>
        <w:rPr>
          <w:rFonts w:ascii="Arial" w:cs="Arial" w:eastAsia="Arial" w:hAnsi="Arial"/>
          <w:sz w:val="17"/>
          <w:szCs w:val="17"/>
          <w:b w:val="1"/>
          <w:bCs w:val="1"/>
          <w:color w:val="auto"/>
        </w:rPr>
      </w:pPr>
    </w:p>
    <w:p>
      <w:pPr>
        <w:ind w:left="980" w:hanging="324"/>
        <w:spacing w:after="0"/>
        <w:tabs>
          <w:tab w:leader="none" w:pos="98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If any of our owned or in-licensed patent applications do not issue as patents in any jurisdiction, we may not be able to compete effectively.</w:t>
      </w:r>
    </w:p>
    <w:p>
      <w:pPr>
        <w:spacing w:after="0" w:line="194" w:lineRule="exact"/>
        <w:rPr>
          <w:rFonts w:ascii="Arial" w:cs="Arial" w:eastAsia="Arial" w:hAnsi="Arial"/>
          <w:sz w:val="16"/>
          <w:szCs w:val="16"/>
          <w:b w:val="1"/>
          <w:bCs w:val="1"/>
          <w:color w:val="auto"/>
        </w:rPr>
      </w:pPr>
    </w:p>
    <w:p>
      <w:pPr>
        <w:ind w:left="980" w:hanging="324"/>
        <w:spacing w:after="0" w:line="257" w:lineRule="auto"/>
        <w:tabs>
          <w:tab w:leader="none" w:pos="97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133" w:lineRule="exact"/>
        <w:rPr>
          <w:rFonts w:ascii="Arial" w:cs="Arial" w:eastAsia="Arial" w:hAnsi="Arial"/>
          <w:sz w:val="18"/>
          <w:szCs w:val="18"/>
          <w:b w:val="1"/>
          <w:bCs w:val="1"/>
          <w:color w:val="auto"/>
        </w:rPr>
      </w:pPr>
    </w:p>
    <w:p>
      <w:pPr>
        <w:ind w:left="980" w:hanging="324"/>
        <w:spacing w:after="0" w:line="263" w:lineRule="auto"/>
        <w:tabs>
          <w:tab w:leader="none" w:pos="97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use of our technology and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candidates and technologies.</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Changes in U.S. patent law could diminish the value of patents in general, thereby impairing our ability to protect our product candidates.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CVRs</w:t>
      </w:r>
    </w:p>
    <w:p>
      <w:pPr>
        <w:spacing w:after="0" w:line="175" w:lineRule="exact"/>
        <w:rPr>
          <w:sz w:val="20"/>
          <w:szCs w:val="20"/>
          <w:color w:val="auto"/>
        </w:rPr>
      </w:pPr>
    </w:p>
    <w:p>
      <w:pPr>
        <w:ind w:left="980" w:hanging="324"/>
        <w:spacing w:after="0" w:line="277" w:lineRule="auto"/>
        <w:tabs>
          <w:tab w:leader="none" w:pos="97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Dr. Soon-Shiong, our Executive Chairman, Global Chief Scientific and Medical Officer and our principal stockholder, has significant interests in other companies which may conflict with our interests.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Dr. Soon-Shiong, through his voting control of the company, has the ability to control actions that require stockholder approval.</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The market price of our common stock has been and may continue to be volatile, and investors may have difficulty selling their shares.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will need additional financing to fund our operations and complete the development and commercialization of our various product candidates, and if we are unable to obtain such financing when needed, or on acceptable terms, we may be unable to complete the development and commercialization of our product candidates.</w:t>
      </w:r>
    </w:p>
    <w:p>
      <w:pPr>
        <w:spacing w:after="0" w:line="7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had been in the form of promissory notes totaling $737.4 million in indebtedness (consisting of related-party promissory notes and accrued and unpaid interest) as of December 31, 2022 held by entities affiliated with Dr. Soon-Shiong.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of December 31, 2022, we held cash, cash equivalents and marketable securities totaling $108.0 million. We will need to obtain additional financing to fund our future operations, including completing the development and commercialization of our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To the extent that we raise additional capital through the sale of equity or equity-linked securities (including warrants), convertible debt, or through an at-the-market (the ATM) or other offerings, or if any of our current debt is converted into equity,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could adversely affect our cash flows and limit our flexibility to raise additional capital.</w:t>
      </w:r>
    </w:p>
    <w:p>
      <w:pPr>
        <w:spacing w:after="0" w:line="11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have a significant amount of debt and may need to incur additional debt to support our growth. As of December 31, 2022, our indebtedness totals $737.4 million, (consisting of related-party promissory notes and accrued and unpaid interest), held by entities affiliated with Dr. Soon-Shiong.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substantial amount of debt could have important consequences and could:</w:t>
      </w:r>
    </w:p>
    <w:p>
      <w:pPr>
        <w:spacing w:after="0" w:line="171" w:lineRule="exact"/>
        <w:rPr>
          <w:sz w:val="20"/>
          <w:szCs w:val="20"/>
          <w:color w:val="auto"/>
        </w:rPr>
      </w:pPr>
    </w:p>
    <w:p>
      <w:pPr>
        <w:jc w:val="both"/>
        <w:ind w:left="980" w:right="60" w:hanging="324"/>
        <w:spacing w:after="0" w:line="263" w:lineRule="auto"/>
        <w:tabs>
          <w:tab w:leader="none" w:pos="97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require us to dedicate a substantial portion of our cash and cash equivalents to make interest and principal payments on our debt, reducing the availability of our cash and cash equivalents and cash flow from operations to fund future capital expenditures, working capital, execution of our strategy and other general corporate requirements;</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increase our cost of borrowing and even limit our ability to access additional debt to fund future growth;</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increase our vulnerability to general adverse economic and industry conditions and adverse changes in governmental regulations;</w:t>
      </w:r>
    </w:p>
    <w:p>
      <w:pPr>
        <w:spacing w:after="0" w:line="182" w:lineRule="exact"/>
        <w:rPr>
          <w:rFonts w:ascii="Arial" w:cs="Arial" w:eastAsia="Arial" w:hAnsi="Arial"/>
          <w:sz w:val="17"/>
          <w:szCs w:val="17"/>
          <w:b w:val="1"/>
          <w:bCs w:val="1"/>
          <w:color w:val="auto"/>
        </w:rPr>
      </w:pPr>
    </w:p>
    <w:p>
      <w:pPr>
        <w:ind w:left="980" w:right="60" w:hanging="324"/>
        <w:spacing w:after="0" w:line="277" w:lineRule="auto"/>
        <w:tabs>
          <w:tab w:leader="none" w:pos="97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limit our flexibility in planning for, or reacting to, changes in our business and industry, which may place us at a disadvantage compared with our competitors; and</w:t>
      </w:r>
    </w:p>
    <w:p>
      <w:pPr>
        <w:spacing w:after="0" w:line="116" w:lineRule="exact"/>
        <w:rPr>
          <w:rFonts w:ascii="Arial" w:cs="Arial" w:eastAsia="Arial" w:hAnsi="Arial"/>
          <w:sz w:val="18"/>
          <w:szCs w:val="18"/>
          <w:b w:val="1"/>
          <w:bCs w:val="1"/>
          <w:color w:val="auto"/>
        </w:rPr>
      </w:pPr>
    </w:p>
    <w:p>
      <w:pPr>
        <w:ind w:left="980" w:right="100" w:hanging="324"/>
        <w:spacing w:after="0" w:line="277" w:lineRule="auto"/>
        <w:tabs>
          <w:tab w:leader="none" w:pos="97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limit our ability to borrow additional funds, even when necessary to maintain adequate liquidity, which would also limit our ability to further expand our business.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occurrence of any of the foregoing factors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Further, the company’s ability to make scheduled payments of the principal of, to pay interest on, or to refinance any current or future indebtedness, including the related-party promissory notes, depends on our future performance, which is subject to economic, financial, competitive and other factors beyond our control. Our business may not generate sufficient cash flows from operations in the future to service our indebtedness and make necessary capital expenditures. If we are unable to generate such cash flows, we may be required to adopt one or more alternatives, such as selling assets, restructuring indebtedness or obtaining additional equity capital on terms that may be onerous or highly dilutive. Our ability to refinance our indebtedness, at maturity or otherwise, will depend on the capital markets and our financial condition at such time. We may not be able to engage in any of these activities or engage in these activities on desirable terms, which could result in a default on our debt obligations.</w:t>
      </w:r>
    </w:p>
    <w:p>
      <w:pPr>
        <w:spacing w:after="0" w:line="17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There can be no assurance that we can refinance these promissory notes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our financial condition, cash flows and results of operations.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Conversion of certain related-party notes may dilute the ownership interest of existing stockholders or may otherwise depress the price of our common stock.</w:t>
      </w:r>
    </w:p>
    <w:p>
      <w:pPr>
        <w:spacing w:after="0" w:line="6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December 31, 2022, the company currently has promissory notes totaling an aggregate of $737.4 million, (consisting of related-party promissory notes and accrued and unpaid interest) held by entities affiliated with Dr. Soon-Shiong (some of which are convertible under certain circumstances), including variable-rate promissory notes in an aggregate amount of $475.0 million that become due and payable on December 31, 2023, and fixed-rate promissory notes in an aggregate amount of $262.4 million (consisting of principal and accrued and unpaid interest) that become due and payable on September 30, 2025.</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event of a default on the $300.0 million loan (as defined in the promissory note), including if the company does not repay the loan at maturity, the company has the right, at its sole option, to convert the outstanding principal amount of accrued and unpaid interest due under this note into shares of the company’s common stock at a price of $5.67 per share. The terms of the fixed-rate promissory notes were amended and restated on August 31, 2022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conversion of some or all of the aforementioned promissory notes, to the extent we deliver shares upon conversion, at a time when the company’s common stock is valued at greater than $5.67 per share would dilute the ownership interests of existing stockholders. Any sales in the public market of the promissory notes or our common stock issuable upon conversion of the promissory notes could adversely affect prevailing market prices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convertible debt securities could have a material effect on our reported financial results.</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we recorded the amendments to our related-party promissory notes entered into on August 31, 2022 under the extinguishment accounting model, as the amendments to the fixed-rate promissory notes added a substantive conversion option to the debt.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Arial" w:cs="Arial" w:eastAsia="Arial" w:hAnsi="Arial"/>
          <w:sz w:val="16"/>
          <w:szCs w:val="16"/>
          <w:i w:val="1"/>
          <w:iCs w:val="1"/>
          <w:color w:val="auto"/>
        </w:rPr>
        <w:t xml:space="preserve">additional paid-in capital, </w:t>
      </w:r>
      <w:r>
        <w:rPr>
          <w:rFonts w:ascii="Arial" w:cs="Arial" w:eastAsia="Arial" w:hAnsi="Arial"/>
          <w:sz w:val="16"/>
          <w:szCs w:val="16"/>
          <w:color w:val="auto"/>
        </w:rPr>
        <w:t>on the consolidated statement of stockholders’ deficit for the year ended December 31, 2022. Also, the difference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and accrued interest outstanding as of the date of amendment and the fair value of the new and amended promissory notes was recorded as a debt discount to be amortized as interest expense over the remaining term (or until conversion). As a result, we will be required to record a greater amount of non-cash interest expense in current periods presented as a result of the amortization of the discounted carrying value of the promissory notes to their face amount over the term of such notes. We will report lower net income in our consolidated financial results because ASC 470-20, </w:t>
      </w:r>
      <w:r>
        <w:rPr>
          <w:rFonts w:ascii="Arial" w:cs="Arial" w:eastAsia="Arial" w:hAnsi="Arial"/>
          <w:sz w:val="16"/>
          <w:szCs w:val="16"/>
          <w:i w:val="1"/>
          <w:iCs w:val="1"/>
          <w:color w:val="auto"/>
        </w:rPr>
        <w:t>Debt with Conversion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Options</w:t>
      </w:r>
      <w:r>
        <w:rPr>
          <w:rFonts w:ascii="Arial" w:cs="Arial" w:eastAsia="Arial" w:hAnsi="Arial"/>
          <w:sz w:val="16"/>
          <w:szCs w:val="16"/>
          <w:color w:val="auto"/>
        </w:rPr>
        <w:t>, requires interest to include both the current period’s amortization of the debt discount and the instrument’s coupon interest, which could</w:t>
      </w:r>
      <w:r>
        <w:rPr>
          <w:rFonts w:ascii="Arial" w:cs="Arial" w:eastAsia="Arial" w:hAnsi="Arial"/>
          <w:sz w:val="16"/>
          <w:szCs w:val="16"/>
          <w:i w:val="1"/>
          <w:iCs w:val="1"/>
          <w:color w:val="auto"/>
        </w:rPr>
        <w:t xml:space="preserve"> </w:t>
      </w:r>
      <w:r>
        <w:rPr>
          <w:rFonts w:ascii="Arial" w:cs="Arial" w:eastAsia="Arial" w:hAnsi="Arial"/>
          <w:sz w:val="16"/>
          <w:szCs w:val="16"/>
          <w:color w:val="auto"/>
        </w:rPr>
        <w:t>adversely affect our reported or future financial results and the trading price of our common stock.</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w:t>
      </w:r>
      <w:r>
        <w:rPr>
          <w:rFonts w:ascii="Arial" w:cs="Arial" w:eastAsia="Arial" w:hAnsi="Arial"/>
          <w:sz w:val="17"/>
          <w:szCs w:val="17"/>
          <w:color w:val="auto"/>
        </w:rPr>
        <w:t xml:space="preserve"> to reduce complexity in applying U.S. GAAP to certain financial instruments with characteristics of liability and equity. In addition, the new guidance requires diluted earnings per share (diluted EPS) calculations be prepared using the if-converted method instead of the treasury stock method. Under the if-converted method, the denominator of the diluted EPS calculation is adjusted to reflect the full number of common shares issuable upon conversion, assuming the effect is dilutive, while the numerator is adjusted to add back interest expense (after-tax) for the period. Also, the new guidance eliminated the ability to overcome the presumption of share settlement. The company adopted this statement effective January 1, 2022.</w:t>
      </w:r>
    </w:p>
    <w:p>
      <w:pPr>
        <w:spacing w:after="0" w:line="28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The value of our warrants outstanding is subject to potentially material increases and decreases based on fluctuations in the price of our common stock, which may affect our results of operations and financial position and could adversely affect our stock price.</w:t>
      </w:r>
    </w:p>
    <w:p>
      <w:pPr>
        <w:spacing w:after="0" w:line="38"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 December 2022, we completed a registered direct offering of 9,090,909 shares, raising approximately $47.0 million in net proceeds. In connection with the sale of our common stock, we entered into a warrant agreement that offers the purchase of up to 9,090,909 shares at an exercise price of $6.60 per share. The warrants will become immediately exercisable after the issuance date and expire two years after the initial issuance date.</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We account for the warrants as a derivative instrument, and changes in the fair value of the warrants are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in the company’s consolidated statement of operations for each reporting period. At December 31, 2022, the fair value of the warrant liability included in the company’s consolidated balance sheet was $21.6 million. We use the Black-Scholes option pricing model to determine the fair value of the warrants. As a result, the valuation of this derivative instrument is subjective, and the Black-Scholes option pricing model requires the input of highly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spacing w:after="0" w:line="17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373739"/>
        </w:rPr>
        <w:t>The fluctuations of warrant value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p>
    <w:p>
      <w:pPr>
        <w:spacing w:after="0" w:line="27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We are a clinical-stage biotechnology company with a limited operating history and no products approved for commercial sale. We have a history of operating losses, and we expect to continue to incur losses and may never be profitable, which together with our limited operating history, makes it difficult to assess our future viability.</w:t>
      </w:r>
    </w:p>
    <w:p>
      <w:pPr>
        <w:spacing w:after="0" w:line="76"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We are a clinical-stage biotechnology company with a limited operating history upon which you can evaluate our business and prospects, and we have a broad portfolio of product candidates at various stages of development. None of our products have been approved for commercial sale, and we have not generated any revenue from product sales, although we have generated revenues from non-exclusive license agreements related to our cell lines, the sale of our bioreactors and related consumables and grant programs. In addition, we have limited experience and have not yet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w:t>
      </w:r>
    </w:p>
    <w:p>
      <w:pPr>
        <w:spacing w:after="0" w:line="4"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third party to do so on our behalf or conducting sales and marketing activities necessary for successful product commercialization. Because of the numerous risks and uncertainties associated with our product development efforts, we are unable to predict when we may become profitable, if at all.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Since the commencement of our operations, we have incurred significant losses each year, and, as of December 31, 2022 we had an accumulated deficit of $2.4 billion. We expect to continue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products. Moreover, we do not expect to have significant product sales or revenue in the near term, if ever.</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we are required by the FDA or any equivalent foreign regulatory authority to perform clinical trials or studies in addition to those we currently expect to conduct, or if there are any delays in completing the clinical trials of our product candidates, our expenses could increase substantially. Although we have submitted a BLA for our product candidate, Anktiva in combination with BCG for the treatment of patients with BCG-unresponsive NMIBC with CIS with or without Ta or T1 disease, which was accepted by the FDA for review, setting a target PDUFA action date of May 23, 2023, we may not receive approval by the target PDUFA action date, if at all, for commercialization and even if approved, the resulting revenue may not enable us to achieve profitability.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expect our expenses and net losses to increase significantly as we prepare to potentially commercialize our product candidate, Anktiva in combination with BCG for the treatment of patients with BCG-unresponsive NMIBC with CIS with or without Ta or T1 disease, if approved by the FDA, continue our development of, and seek regulatory approvals for, our other product candidates, and begin to commercialize other approved products, if any, as well as hire additional personnel, protect our intellectual property and incur additional costs associated with operating as a public company. Our net losses may fluctuate significantly from quarter to quarter and year to year, depending on the timing of our clinical studies and trials, associated manufacturing needs, commercialization activities if our product candidates are approved and our expenditures on other research and development activities.</w:t>
      </w:r>
    </w:p>
    <w:p>
      <w:pPr>
        <w:spacing w:after="0" w:line="19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our research and development efforts are successful, we may also face the risks associated with the shift from development to commercialization of new products based on innovative technologies. Our ability to achieve profitability, if ever, is dependent upon, among other things, obtaining regulatory approvals for our product candidates and successfully commercializing our product candidates alone or with third parties. However, our operations may not be profitable even if one or more of our product candidates under development are successfully developed and produced and thereafter commercialized. Even if we do become profitable, we may not be able to sustain or increase our profitability on a quarterly or annual basis. As a result, it may be more difficult for you to assess our future viability than it could be if we had a longer operating history.</w:t>
      </w:r>
    </w:p>
    <w:p>
      <w:pPr>
        <w:spacing w:after="0" w:line="2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invest our cash on hand in various financial instruments which are subject to risks that could adversely affect our business, results of operations, liquidity and financial condition.</w:t>
      </w:r>
    </w:p>
    <w:p>
      <w:pPr>
        <w:spacing w:after="0" w:line="6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invest our cash in a variety of financial instruments, principally commercial paper, corporate debt securities and government bonds.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In order to manage the risk to our investments, we maintain an investment policy that, among other things, limits the amount that we may invest in any one issue or any single issuer and requires us to only invest in high credit quality securities to preserve liquidity.</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NOLs and research and development credits to offset future taxable income may be subject to certain limitations.</w:t>
      </w:r>
    </w:p>
    <w:p>
      <w:pPr>
        <w:spacing w:after="0" w:line="1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We have not conducted a complete study to assess whether a change of control has occurred or whether there have been multiple changes of control since inception due to the significant complexity and cost associated with such a study. If we have experienced a change of control, as defined by Section 382, at any time since inception (including as a result of the Merger),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Tax Cuts and Jobs Act of 2017 (TCJA), as modified by the Coronavirus Aid, Relief, and Economic Security Act (CARES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may apply under state tax 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transfer pricing policies may be subject to challenge by the Internal Revenue Service or other taxing authorities.</w:t>
      </w:r>
    </w:p>
    <w:p>
      <w:pPr>
        <w:spacing w:after="0" w:line="11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will be substantially dependent on the success of our product candidates and cannot guarantee that these product candidates will successfully complete development, receive regulatory approval or be successfully commercialized.</w:t>
      </w:r>
    </w:p>
    <w:p>
      <w:pPr>
        <w:spacing w:after="0" w:line="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From inception through the date of this Annual Report, we have generated minimal revenue from non-exclusive license agreements related to our cell lines, and the sale of our bioreactors and related consumables. We have no clinical products approved for commercial sale and have not generated any revenue from therapeutic and vaccine product candidates that are under development. I</w:t>
      </w:r>
      <w:r>
        <w:rPr>
          <w:rFonts w:ascii="Arial" w:cs="Arial" w:eastAsia="Arial" w:hAnsi="Arial"/>
          <w:sz w:val="16"/>
          <w:szCs w:val="16"/>
          <w:color w:val="231F20"/>
        </w:rPr>
        <w:t>n</w:t>
      </w:r>
      <w:r>
        <w:rPr>
          <w:rFonts w:ascii="Arial" w:cs="Arial" w:eastAsia="Arial" w:hAnsi="Arial"/>
          <w:sz w:val="16"/>
          <w:szCs w:val="16"/>
          <w:color w:val="auto"/>
        </w:rPr>
        <w:t xml:space="preserve"> May 2022, we announced the submission of a BLA to the FDA for our product candidate, Anktiva in combination with BCG for the treatment of patients with BCG-unresponsive NMIBC with CIS with or without Ta or</w:t>
      </w:r>
    </w:p>
    <w:p>
      <w:pPr>
        <w:spacing w:after="0" w:line="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T1 disease. In July 2022, we announced that the FDA had accepted our BLA for review and set a target PDUFA action date of May 23, 2023. It is unclear when the FDA will approve our BLA, if at all. We have invested a significant portion of our efforts and financial resources in the development of our main product candidates, N-803, our novel antibody cytokine fusion protein, saRNA and second-generation hAd5 vaccine candidates, and aldoxorubicin, some of which are used in combination with our NK cell therapy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candidates. Our product candidates will require additional clinical and non-clinical development, regulatory approval, commercial manufacturing arrangements, establishment of a commercial organization, significant marketing efforts, and further investment before we can generate any revenues from product sales. We expect to invest heavily in these product candidates as well as in our other existing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which may be delayed or not completed for a number of reasons. Additionally, our ability to generate revenues from our combination therapy products will also depend on the availability of the other therapies with which our products are intended to be used. We currently generate no meaningful revenues from the sale of any product candidates, and we may never be able to develop or commercialize a product.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developing product candidates in combination with other therapies, which exposes us to additional risks.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developing product candidates in combination with one or more other therapies. We are studying N-803 therapy along with other products and product candidates, such as BCG, PD-L1 t-haNK, hAd5 and yeast TAAs, and aldoxorubicin.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combination therapy.</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choose to expend our limited resources on programs that do not yield successful product candidates as opposed to indications that may be more profitable or for which there is a greater likelihood of success.</w:t>
      </w:r>
    </w:p>
    <w:p>
      <w:pPr>
        <w:spacing w:after="0" w:line="6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r>
      <w:r>
        <w:rPr>
          <w:rFonts w:ascii="MS PGothic" w:cs="MS PGothic" w:eastAsia="MS PGothic" w:hAnsi="MS PGothic"/>
          <w:sz w:val="16"/>
          <w:szCs w:val="16"/>
          <w:color w:val="auto"/>
        </w:rPr>
        <w:t>‑</w:t>
      </w:r>
      <w:r>
        <w:rPr>
          <w:rFonts w:ascii="Arial" w:cs="Arial" w:eastAsia="Arial" w:hAnsi="Arial"/>
          <w:sz w:val="16"/>
          <w:szCs w:val="16"/>
          <w:color w:val="auto"/>
        </w:rPr>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if approved, may be smaller than we estimate.</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Our projections of addressable patient populations that may benefit from treatment with our product candidates are based on our beliefs and estimates. These estimates, which have been derived from a variety of sources, including scientific literature,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Even if we obtain significant market share for our product candidates, because the potential target populations may be small, we may never achieve profitability without obtaining regulatory approval for additional indications.</w:t>
      </w:r>
    </w:p>
    <w:p>
      <w:pPr>
        <w:spacing w:after="0" w:line="29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Our clinical trials may fail to adequately demonstrate the safety and efficacy of our product candidates, which would prevent or delay regulatory approval and commercialization. If our trials are not successful, we will be unable to commercialize our product candidates.</w:t>
      </w:r>
    </w:p>
    <w:p>
      <w:pPr>
        <w:spacing w:after="0" w:line="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research and development programs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The clinical trials for our product candidates under development may not be completed on schedule and regulatory authorities may ultimately disagree with our chosen endpoints or may find that our studies or study results do not support product approval and we cannot guarantee that the FDA or foreign regulatory authorities will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w:t>
      </w:r>
    </w:p>
    <w:p>
      <w:pPr>
        <w:spacing w:after="0" w:line="176"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clinical trials may not be initiated or completed when we expect, or at all, they may take longer and cost more to complete than we project, our clinical trial costs may be higher than for more conventional therapeutic technologies or drug products, and we may be required to conduct additional clinical trials or modify current or future clinical trials based on feedback we receive from the FDA.</w:t>
      </w:r>
    </w:p>
    <w:p>
      <w:pPr>
        <w:spacing w:after="0" w:line="5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cannot guarantee that any current or future clinical trials will be conducted as planned or completed on schedule, if at all, or that any of our product candidates will receive regulatory approval. A failure of one or more clinical trials can occur at any stage of the clinical trial process, other events may cause us to temporarily or permanently stop a clinical trial, and our future clinical trials may not be successful.</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Because our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and as a result we may be required by those trial sites to pay such costs. Accordingly, our clinical trial costs are likely to be significantly higher per patient than those of more conventional therapeutic technologies or drug products.</w:t>
      </w:r>
    </w:p>
    <w:p>
      <w:pPr>
        <w:spacing w:after="0" w:line="19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product candidates, we may be required to, or we may elect to, conduct additional trials to bridge our modified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refusal to file or non-approval of a BLA and/or NDA.</w:t>
      </w:r>
    </w:p>
    <w:p>
      <w:pPr>
        <w:spacing w:after="0" w:line="1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Clinical trial delays could shorten any periods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investigator-initiated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one of our product candidates is approved and commercialized, we may not become profitable.</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16"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prepare a broad network of clinical sites for administration of our product;</w:t>
      </w:r>
    </w:p>
    <w:p>
      <w:pPr>
        <w:spacing w:after="0" w:line="171" w:lineRule="exact"/>
        <w:rPr>
          <w:rFonts w:ascii="Arial" w:cs="Arial" w:eastAsia="Arial" w:hAnsi="Arial"/>
          <w:sz w:val="18"/>
          <w:szCs w:val="18"/>
          <w:b w:val="1"/>
          <w:bCs w:val="1"/>
          <w:color w:val="auto"/>
        </w:rPr>
      </w:pPr>
    </w:p>
    <w:p>
      <w:pPr>
        <w:ind w:left="980" w:right="400" w:hanging="324"/>
        <w:spacing w:after="0" w:line="277" w:lineRule="auto"/>
        <w:tabs>
          <w:tab w:leader="none" w:pos="97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receive regulatory approval for the targeted patient population(s) and claims that are necessary or desirable for successful marketing;</w:t>
      </w:r>
    </w:p>
    <w:p>
      <w:pPr>
        <w:spacing w:after="0" w:line="182" w:lineRule="exact"/>
        <w:rPr>
          <w:rFonts w:ascii="Arial" w:cs="Arial" w:eastAsia="Arial" w:hAnsi="Arial"/>
          <w:sz w:val="17"/>
          <w:szCs w:val="17"/>
          <w:b w:val="1"/>
          <w:bCs w:val="1"/>
          <w:color w:val="auto"/>
        </w:rPr>
      </w:pPr>
    </w:p>
    <w:p>
      <w:pPr>
        <w:ind w:left="980" w:right="600" w:hanging="324"/>
        <w:spacing w:after="0" w:line="277" w:lineRule="auto"/>
        <w:tabs>
          <w:tab w:leader="none" w:pos="97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manufacture product candidates through CMOs or in our own, or our affiliates’, manufacturing facilities in sufficient quantities and at acceptable quality and manufacturing cost to meet commercial demand at launch and thereafter;</w:t>
      </w:r>
    </w:p>
    <w:p>
      <w:pPr>
        <w:spacing w:after="0" w:line="116" w:lineRule="exact"/>
        <w:rPr>
          <w:rFonts w:ascii="Arial" w:cs="Arial" w:eastAsia="Arial" w:hAnsi="Arial"/>
          <w:sz w:val="18"/>
          <w:szCs w:val="18"/>
          <w:b w:val="1"/>
          <w:bCs w:val="1"/>
          <w:color w:val="auto"/>
        </w:rPr>
      </w:pPr>
    </w:p>
    <w:p>
      <w:pPr>
        <w:ind w:left="980" w:right="780" w:hanging="324"/>
        <w:spacing w:after="0" w:line="277" w:lineRule="auto"/>
        <w:tabs>
          <w:tab w:leader="none" w:pos="97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obtain, maintain, protect and enforce patent and other intellectual property protection and regulatory exclusivity for our product candidates;</w:t>
      </w:r>
    </w:p>
    <w:p>
      <w:pPr>
        <w:spacing w:after="0" w:line="194" w:lineRule="exact"/>
        <w:rPr>
          <w:rFonts w:ascii="Arial" w:cs="Arial" w:eastAsia="Arial" w:hAnsi="Arial"/>
          <w:sz w:val="16"/>
          <w:szCs w:val="16"/>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successfully commercialize any of our product candidates that receive regulatory approval;</w:t>
      </w:r>
    </w:p>
    <w:p>
      <w:pPr>
        <w:spacing w:after="0" w:line="171" w:lineRule="exact"/>
        <w:rPr>
          <w:rFonts w:ascii="Arial" w:cs="Arial" w:eastAsia="Arial" w:hAnsi="Arial"/>
          <w:sz w:val="18"/>
          <w:szCs w:val="18"/>
          <w:b w:val="1"/>
          <w:bCs w:val="1"/>
          <w:color w:val="auto"/>
        </w:rPr>
      </w:pPr>
    </w:p>
    <w:p>
      <w:pPr>
        <w:ind w:left="980" w:right="300" w:hanging="324"/>
        <w:spacing w:after="0" w:line="308" w:lineRule="auto"/>
        <w:tabs>
          <w:tab w:leader="none" w:pos="975"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92" w:lineRule="exact"/>
        <w:rPr>
          <w:rFonts w:ascii="Arial" w:cs="Arial" w:eastAsia="Arial" w:hAnsi="Arial"/>
          <w:sz w:val="17"/>
          <w:szCs w:val="17"/>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achieve appropriate reimbursement for our product candidates;</w:t>
      </w:r>
    </w:p>
    <w:p>
      <w:pPr>
        <w:spacing w:after="0" w:line="171" w:lineRule="exact"/>
        <w:rPr>
          <w:rFonts w:ascii="Arial" w:cs="Arial" w:eastAsia="Arial" w:hAnsi="Arial"/>
          <w:sz w:val="18"/>
          <w:szCs w:val="18"/>
          <w:b w:val="1"/>
          <w:bCs w:val="1"/>
          <w:color w:val="auto"/>
        </w:rPr>
      </w:pPr>
    </w:p>
    <w:p>
      <w:pPr>
        <w:ind w:left="980" w:right="500" w:hanging="324"/>
        <w:spacing w:after="0" w:line="277" w:lineRule="auto"/>
        <w:tabs>
          <w:tab w:leader="none" w:pos="97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effectively compete with other therapies or competitors;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following launch, assure that our product will be used as directed and that additional unexpected safety risks will not arise.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301" w:lineRule="auto"/>
        <w:rPr>
          <w:sz w:val="20"/>
          <w:szCs w:val="20"/>
          <w:color w:val="auto"/>
        </w:rPr>
      </w:pPr>
      <w:r>
        <w:rPr>
          <w:rFonts w:ascii="Arial" w:cs="Arial" w:eastAsia="Arial" w:hAnsi="Arial"/>
          <w:sz w:val="16"/>
          <w:szCs w:val="16"/>
          <w:color w:val="auto"/>
        </w:rPr>
        <w:t>Even if the FDA approves N-803 for certain indications or in combination with other therapeutic products, and even if we obtain significant market share for it, because the potential target population may be small, we may never achieve profitability without obtaining regulatory approval for additional indications. The FDA often approves new therapies initially only for use in patients with r/r metastatic disease, which may limit our patient population. Additionally, we may not be able to obtain the labeling claims necessary or desirable for the promotion of our product candidates.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our 2017 acquisition of Altor, we issued CVRs under which we agreed to pay the prior stockholders of Altor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$304.0 million of contingent consideration upon the successful regulatory approval of a BLA by the FDA, or foreign equivalent, for N-803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approximately $304.0 million of contingent consideration upon calendar-year worldwide net sales of N-803 exceeding $1.0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to December 31, 2026 with amounts payable in cash or shares of our common stock or a combination thereof.</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With respect to the regulatory milestone CVR agreement, in May 2022 we announced the submission of a BLA to the FDA for our product candidate, Anktiva (N-803) in combination with BCG for the treatment of patients with BCG-unresponsive NMIBC with CIS with or without Ta or T1 disease. In July 2022 we announced that the FDA had accepted our BLA for review and set a target PDUFA action date of May 23, 2023. It is unclear when the FDA will approve our BLA, if at all. The FDA did not approve our BLA on or before December 31, 2022, and therefore the regulatory milestone was not met, and the regulatory milestone CVR agreement terminated in accordance with its terms.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net sales milestone CVR agreement, as of December 31, 2022, Dr. Soon-Shiong and his related party hold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$139.8 million of net sales CVRs and they have both irrevocably agreed to receive shares of the company’s common stock in satisfaction of their CVRs.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may be required to pay the other prior Altor stockholders up to $164.2 million for their net sales CVRs should they choose to have their CVRs paid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instead of common stock. If this were to occur, we may need to seek additional sources of capital, and we may not be able to achieve profitability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positive cash flow.</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plan to collaborate with governmental, academic and corporate partners, including affiliates, to improve and develop N-803, hAd5 and other therapies for new indications for use in combination with other therapies and to improve and develop other product candidates, which may expose us to additional risks, or we may not realize the benefits of such collaborations.</w:t>
      </w:r>
    </w:p>
    <w:p>
      <w:pPr>
        <w:spacing w:after="0" w:line="2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encounter delays or difficulties enrolling and/or maintaining patients in our clinical trials, our clinical development activities and receipt of necessary marketing approvals could be delayed or otherwise adversely affected.</w:t>
      </w:r>
    </w:p>
    <w:p>
      <w:pPr>
        <w:spacing w:after="0" w:line="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and retention in our clinical trials for a variety of reasons.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spacing w:after="0" w:line="188"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6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 candidates may also negatively impact our ability to conduct clinical trials using tumor-infiltrating lymphocyte therapy in larger patient populations, such as in patients that have not yet been treated with other therapies or have not yet progressed on other therapies.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 Strategy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w:t>
      </w:r>
    </w:p>
    <w:p>
      <w:pPr>
        <w:spacing w:after="0" w:line="200" w:lineRule="exact"/>
        <w:rPr>
          <w:sz w:val="20"/>
          <w:szCs w:val="20"/>
          <w:color w:val="auto"/>
        </w:rPr>
      </w:pPr>
    </w:p>
    <w:p>
      <w:pPr>
        <w:spacing w:after="0" w:line="2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our related parties, or any of our third-party manufacturers encounter such difficulties, our ability to provide adequate supply of our product candidates for clinical trials or our products for patients, if approved, could be delayed or stopped, or we may be unable to maintain a commercially viable cost structure.</w:t>
      </w:r>
    </w:p>
    <w:p>
      <w:pPr>
        <w:spacing w:after="0" w:line="6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manufacture of our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We may also find that the manufacture of our product candidates is more difficult than anticipated, resulting in an inability to produce a sufficient amount of our product candidates for our clinical trials or, if approved, commercial supply. Even minor deviations from normal manufacturing processes could result in reduced production yields, product defects, and other supply disruptions. Currently, our product candidates are manufactured using processes developed or modified by us, our affiliates or by our third-party research institution collaborators that we may not utilize for more advanced clinical trials or commercialization.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Currently we manufacture our product candidates or we may use third-party CMOs or some of our related parties to manufacture our product candidates. Our clinical trials will need to be conducted with product candidates and materials that were produced under cGMP and/or Good Tissue Practice regulations, which are enforced by regulatory authorities. Our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product candidates for us and willing to do so. If our CMOs should cease manufacturing for us, we would experience delays in obtaining sufficient quantities of our product candidates for clinical trials and, if approved, commercial supply. Further, our CMOs may breach, terminate, or not renew our agreements with them. If we were to need to find alternative manufacturing facilities it may take us significant time to find a replacement, if we are able to find a replacement at all and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6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Our failure to comply or our CMOs’ failure to comply with these regulations may require us to repeat clinical trials, which would delay the regulatory approval process. We may not be able to demonstrate sufficient comparability between products manufactured at different facilities to allow for inclusion of the clinical results from patients treated with products from these different facilities, in our product registrations. We also are required to register certain clinical trials and post the results of certain completed clinical trials on a government-sponsored database, ClinicalTrials.gov, within specified timeframes. Failure to do so could result in enforcement actions and adverse publicity.</w:t>
      </w:r>
    </w:p>
    <w:p>
      <w:pPr>
        <w:spacing w:after="0" w:line="17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16"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inability to negotiate manufacturing and quality agreements with third parties under commercially reasonable terms;</w:t>
      </w:r>
    </w:p>
    <w:p>
      <w:pPr>
        <w:spacing w:after="0" w:line="171" w:lineRule="exact"/>
        <w:rPr>
          <w:rFonts w:ascii="Arial" w:cs="Arial" w:eastAsia="Arial" w:hAnsi="Arial"/>
          <w:sz w:val="18"/>
          <w:szCs w:val="18"/>
          <w:b w:val="1"/>
          <w:bCs w:val="1"/>
          <w:color w:val="auto"/>
        </w:rPr>
      </w:pPr>
    </w:p>
    <w:p>
      <w:pPr>
        <w:ind w:left="980" w:right="300" w:hanging="324"/>
        <w:spacing w:after="0" w:line="277" w:lineRule="auto"/>
        <w:tabs>
          <w:tab w:leader="none" w:pos="97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116" w:lineRule="exact"/>
        <w:rPr>
          <w:rFonts w:ascii="Arial" w:cs="Arial" w:eastAsia="Arial" w:hAnsi="Arial"/>
          <w:sz w:val="18"/>
          <w:szCs w:val="18"/>
          <w:b w:val="1"/>
          <w:bCs w:val="1"/>
          <w:color w:val="auto"/>
        </w:rPr>
      </w:pPr>
    </w:p>
    <w:p>
      <w:pPr>
        <w:ind w:left="980" w:right="280" w:hanging="324"/>
        <w:spacing w:after="0" w:line="277" w:lineRule="auto"/>
        <w:tabs>
          <w:tab w:leader="none" w:pos="97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116" w:lineRule="exact"/>
        <w:rPr>
          <w:rFonts w:ascii="Arial" w:cs="Arial" w:eastAsia="Arial" w:hAnsi="Arial"/>
          <w:sz w:val="18"/>
          <w:szCs w:val="18"/>
          <w:b w:val="1"/>
          <w:bCs w:val="1"/>
          <w:color w:val="auto"/>
        </w:rPr>
      </w:pPr>
    </w:p>
    <w:p>
      <w:pPr>
        <w:ind w:left="980" w:right="280" w:hanging="324"/>
        <w:spacing w:after="0" w:line="277" w:lineRule="auto"/>
        <w:tabs>
          <w:tab w:leader="none" w:pos="97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16" w:lineRule="exact"/>
        <w:rPr>
          <w:rFonts w:ascii="Arial" w:cs="Arial" w:eastAsia="Arial" w:hAnsi="Arial"/>
          <w:sz w:val="18"/>
          <w:szCs w:val="18"/>
          <w:b w:val="1"/>
          <w:bCs w:val="1"/>
          <w:color w:val="auto"/>
        </w:rPr>
      </w:pPr>
    </w:p>
    <w:p>
      <w:pPr>
        <w:ind w:left="980" w:right="540" w:hanging="324"/>
        <w:spacing w:after="0" w:line="277" w:lineRule="auto"/>
        <w:tabs>
          <w:tab w:leader="none" w:pos="97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Moreover, any problems or delays we or our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product candidates to levels that will allow for an attractive return on investment if and when those product candidates are commercialized.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addition, the manufacturing process and facilities for any products that we may develop are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Chemistry, Manufacturing and Controls (CMC) documentation in support of a BLA or NDA on a timely basis. Our or our CMOs’ manufacturing facilities may be unable to comply with our specifications, cGMP, and with other FDA, state, and foreign regulatory requirements, and there is no guarantee that we or our CMOs will be able to successfully pass all aspects of a pre-approval inspection by the FDA or other foreign regulatory authorities.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Poor control of production processes can lead to the introduction of adventitious agents or other contaminants, or to inadvertent changes in the properties or stability of product candidates that may not be detectable in final product testing. If microbial, viral, environmental or other contaminants are discovered in our product candidates or in the manufacturing facilities in which our product candidates are made, such manufacturing facilities may need to be closed for an extended period of time to investigate and remedy the contamination which could delay clinical trials and adversely harm our business.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revenues.</w:t>
      </w:r>
    </w:p>
    <w:p>
      <w:pPr>
        <w:spacing w:after="0" w:line="19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the extent we use CMOs, we are ultimately responsible for the manufacture of our products, if approved,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False Claims Act (FCA), corporate integrity agreements, consent decrees, or withdrawal of product approval.</w:t>
      </w:r>
    </w:p>
    <w:p>
      <w:pPr>
        <w:spacing w:after="0" w:line="164"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not be successful in managing the build-out of our manufacturing facilities and associated costs or satisfying manufacturing related regulatory requirements.</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 and it could take longer, and cost more, than currently expected. Significant delays and/or cost overruns would result in higher expenditures and could be disruptive of operations, any of which could have a negative impact on our financial condition or results of operations. For example, during the first quarter of 2022 we acquired a leasehold interest in the 409,000 square foot Dunkirk Facility as described below. While we believe that governmental funding will assist in funding a small portion of the further build-out of the Dunkirk Facility, we will need to plan and fund most of the additional build-out of, and purchase additional equipment for, the Dunkirk Facility in connection with our planned full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 We also may not successfully realize the anticipated benefits from the capital expenditure at such facilities based on factors such as delays and uncertainties regarding development, regulatory approval and commercialization of our product candidates, as well as the potential to lose access to the leased facilities.</w:t>
      </w:r>
    </w:p>
    <w:p>
      <w:pPr>
        <w:spacing w:after="0" w:line="17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Further, in the future if we transition from our current CMOs to our own manufacturing facilities for one or more of our product candidates, including our product candidate, Anktiva in combination with BCG for the treatment of patients with BCG</w:t>
      </w:r>
      <w:r>
        <w:rPr>
          <w:rFonts w:ascii="MS PGothic" w:cs="MS PGothic" w:eastAsia="MS PGothic" w:hAnsi="MS PGothic"/>
          <w:sz w:val="17"/>
          <w:szCs w:val="17"/>
          <w:color w:val="auto"/>
        </w:rPr>
        <w:t>‑</w:t>
      </w:r>
      <w:r>
        <w:rPr>
          <w:rFonts w:ascii="Arial" w:cs="Arial" w:eastAsia="Arial" w:hAnsi="Arial"/>
          <w:sz w:val="17"/>
          <w:szCs w:val="17"/>
          <w:color w:val="auto"/>
        </w:rPr>
        <w:t>unresponsive NMIBC with CIS with or without Ta or T1 disease, for which we submitted a BLA in May 2022, we may need to conduct additional preclinical, analytical or clinical trials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candidates could negatively impact our ability to complete clinical trials, obtain regulatory approval and commercialize our product candidates. If our product candidates receive approval, a product shortfall could have a material adverse effect on our business, financial condition and results of operations and adversely affect our ability to satisfy demand for our product candidates, which could materially and adversely affect our revenue and results of operations.</w:t>
      </w:r>
    </w:p>
    <w:p>
      <w:pPr>
        <w:spacing w:after="0" w:line="20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spacing w:after="0" w:line="2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 if approved.</w:t>
      </w:r>
    </w:p>
    <w:p>
      <w:pPr>
        <w:spacing w:after="0" w:line="5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currently depend on a small number of suppliers for some of the materials used in, and processes required to develop, our product candidates. For some of these reagents, equipment and materials used in the manufacture of our product candidates, we rely, and we may in the future rely, on sole source vendors or a limited number of vendors.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27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Because our current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product candidates, which may impact public perception of us and our product candidates and which may adversely affect our ability to conduct our business and implement our business plans.</w:t>
      </w:r>
    </w:p>
    <w:p>
      <w:pPr>
        <w:spacing w:after="0" w:line="6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Human immunotherapy products are a new category of therapeutics. We use relatively novel technologies involving N-803, saRNA, hAd5 and yeast technologies, aldoxorubicin,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1"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product candidates, and could cause a decrease in the demand for any products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reduce those costs to an acceptable amount, we may never be able to develop a commercially viable product. If we do not successfully develop and commercialize products based upon our approach or find suitable and economical sources for materials used in the production of our potential products, we will not become profitable, which would materially and adversely affect the value of our common stock. Our N-803 therapies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2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We face an inherent risk of product liability as a result of the clinical development, testing and manufacturing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Claims could also be asserted under state consumer protection acts. Large judgements have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 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spacing w:after="0" w:line="18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significant competition from other biotechnology and pharmaceutical companies and from non-profit institutions.</w:t>
      </w:r>
    </w:p>
    <w:p>
      <w:pPr>
        <w:spacing w:after="0" w:line="11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Competition in the field of cancer and viral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product candidates. Research and discoveries by others may result in breakthroughs which may render our product candidates obsolete even before they generate any revenues. We believe that a significant number of products are currently under development, and may become commercially available in the future, for the treatment of conditions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Even if we obtain regulatory approval for our product candidates, the availability and price of our competitors’ products could limit the demand and the price we are able to charge for our therapies. The level of generic competition and the availability of reimbursement from government and other third-party payors will also significantly affect the pricing and competitiveness of our products.</w:t>
      </w:r>
    </w:p>
    <w:p>
      <w:pPr>
        <w:spacing w:after="0" w:line="184"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A large number of companies, government agencies and academic centers around the world are developing COVID</w:t>
      </w:r>
      <w:r>
        <w:rPr>
          <w:rFonts w:ascii="MS PGothic" w:cs="MS PGothic" w:eastAsia="MS PGothic" w:hAnsi="MS PGothic"/>
          <w:sz w:val="17"/>
          <w:szCs w:val="17"/>
          <w:color w:val="auto"/>
        </w:rPr>
        <w:t>‑</w:t>
      </w:r>
      <w:r>
        <w:rPr>
          <w:rFonts w:ascii="Arial" w:cs="Arial" w:eastAsia="Arial" w:hAnsi="Arial"/>
          <w:sz w:val="17"/>
          <w:szCs w:val="17"/>
          <w:color w:val="auto"/>
        </w:rPr>
        <w:t>19 vaccines, and many of these entities are in more advanced stages of development than we are, including some that have started Phase 2 and/or 3 clinical trials or have already obtained emergency regulatory approval in the U.S. and internationally. Even if one of our COVID</w:t>
      </w:r>
      <w:r>
        <w:rPr>
          <w:rFonts w:ascii="MS PGothic" w:cs="MS PGothic" w:eastAsia="MS PGothic" w:hAnsi="MS PGothic"/>
          <w:sz w:val="17"/>
          <w:szCs w:val="17"/>
          <w:color w:val="auto"/>
        </w:rPr>
        <w:t>‑</w:t>
      </w:r>
      <w:r>
        <w:rPr>
          <w:rFonts w:ascii="Arial" w:cs="Arial" w:eastAsia="Arial" w:hAnsi="Arial"/>
          <w:sz w:val="17"/>
          <w:szCs w:val="17"/>
          <w:color w:val="auto"/>
        </w:rPr>
        <w:t>19 vaccine candidates is ultimately approved for marketing, the value of our opportunity will be adversely impacted by other COVID</w:t>
      </w:r>
      <w:r>
        <w:rPr>
          <w:rFonts w:ascii="MS PGothic" w:cs="MS PGothic" w:eastAsia="MS PGothic" w:hAnsi="MS PGothic"/>
          <w:sz w:val="17"/>
          <w:szCs w:val="17"/>
          <w:color w:val="auto"/>
        </w:rPr>
        <w:t>‑</w:t>
      </w:r>
      <w:r>
        <w:rPr>
          <w:rFonts w:ascii="Arial" w:cs="Arial" w:eastAsia="Arial" w:hAnsi="Arial"/>
          <w:sz w:val="17"/>
          <w:szCs w:val="17"/>
          <w:color w:val="auto"/>
        </w:rPr>
        <w:t>19 vaccines that have obtained emergency regulatory approval, obtain full regulatory approval, or demonstrate better safety or efficacy than our COVID</w:t>
      </w:r>
      <w:r>
        <w:rPr>
          <w:rFonts w:ascii="MS PGothic" w:cs="MS PGothic" w:eastAsia="MS PGothic" w:hAnsi="MS PGothic"/>
          <w:sz w:val="17"/>
          <w:szCs w:val="17"/>
          <w:color w:val="auto"/>
        </w:rPr>
        <w:t>‑</w:t>
      </w:r>
      <w:r>
        <w:rPr>
          <w:rFonts w:ascii="Arial" w:cs="Arial" w:eastAsia="Arial" w:hAnsi="Arial"/>
          <w:sz w:val="17"/>
          <w:szCs w:val="17"/>
          <w:color w:val="auto"/>
        </w:rPr>
        <w:t>19 vaccine candidate.</w:t>
      </w:r>
    </w:p>
    <w:p>
      <w:pPr>
        <w:spacing w:after="0" w:line="20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may be adversely impacted if any of these competitors gain market share as a result of new technologies, commercialization strategies or otherwise.</w:t>
      </w:r>
    </w:p>
    <w:p>
      <w:pPr>
        <w:spacing w:after="0" w:line="2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may seek orphan drug status or Fast Track or Breakthrough Therapy designations or other designation for one or more of our product candidates, but even if any such designation or status is granted, it may not lead to a faster development process or regulatory review and may not increase the likelihood that our product candidates will receive marketing approval, and we may be unable to maintain any benefits associated with such designations or status, including market exclusivity.</w:t>
      </w:r>
    </w:p>
    <w:p>
      <w:pPr>
        <w:spacing w:after="0" w:line="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2012, the FDA established a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designation, which is intended to expedite, although there is no guarantee, the development and review of products that treat serious or life-threatening conditions. We have been awarded, and may seek in the future,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or </w:t>
      </w:r>
      <w:r>
        <w:rPr>
          <w:rFonts w:ascii="Arial" w:cs="Arial" w:eastAsia="Arial" w:hAnsi="Arial"/>
          <w:sz w:val="17"/>
          <w:szCs w:val="17"/>
          <w:i w:val="1"/>
          <w:iCs w:val="1"/>
          <w:color w:val="auto"/>
        </w:rPr>
        <w:t>Breakthrough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Therapy </w:t>
      </w:r>
      <w:r>
        <w:rPr>
          <w:rFonts w:ascii="Arial" w:cs="Arial" w:eastAsia="Arial" w:hAnsi="Arial"/>
          <w:sz w:val="17"/>
          <w:szCs w:val="17"/>
          <w:color w:val="auto"/>
        </w:rPr>
        <w:t>designation for current or future product candidates. Receipt of a designation to facilitate product candidate development is within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3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trials.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If we receive approval of our product candidates, the FDA may determine that similar or additional or more burdensome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2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product candidates, if they are approved, and as a result, we may be unable to generate product revenues.</w:t>
      </w:r>
    </w:p>
    <w:p>
      <w:pPr>
        <w:spacing w:after="0" w:line="7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have little to no prior experience in, and currently have a limited commercial infrastructure for, the marketing, sale and distribution of biopharmaceutical products. To achieve commercial success for the product candidates, which we may license to others, we will rely on the assistance and guidance of those collaborators. For product candidates for which we retain commercialization rights and marketing approval, if approved, in order to commercialize our product candidates, we must continue to build out our marketing, sales and distribution capabilities, including a comprehensive healthcare compliance program, or arrange with third parties to perform these services, which will take time and require significant financial expenditures and could delay any product launch and we may not be successful in doing so. There are significant risks involved with building and managing a commercial infrastructure. We, or our collaborators, will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not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third-party payors on the benefits of our product candidates may require significant resources and may not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18"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continued safety and efficacy of our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prevalence and severity of adverse events associated with such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171" w:lineRule="exact"/>
        <w:rPr>
          <w:rFonts w:ascii="Arial" w:cs="Arial" w:eastAsia="Arial" w:hAnsi="Arial"/>
          <w:sz w:val="18"/>
          <w:szCs w:val="18"/>
          <w:b w:val="1"/>
          <w:bCs w:val="1"/>
          <w:color w:val="auto"/>
        </w:rPr>
      </w:pPr>
    </w:p>
    <w:p>
      <w:pPr>
        <w:jc w:val="both"/>
        <w:ind w:left="980" w:right="100" w:hanging="324"/>
        <w:spacing w:after="0" w:line="263" w:lineRule="auto"/>
        <w:tabs>
          <w:tab w:leader="none" w:pos="97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 or distribution and use restrictions imposed by the FDA with respect to such product candidates or to which we agree as part of a mandatory REMS or voluntary risk management plan;</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changes in the standard of care for the targeted indications for such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relative difficulty of administration of such product candidates;</w:t>
      </w:r>
    </w:p>
    <w:p>
      <w:pPr>
        <w:spacing w:after="0" w:line="171"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our ability to offer such product candidates for sale at competitive prices, including the cost of treatment versus economic and clinical benefit in relation to alternative treatments or therapies;</w:t>
      </w:r>
    </w:p>
    <w:p>
      <w:pPr>
        <w:spacing w:after="0" w:line="116" w:lineRule="exact"/>
        <w:rPr>
          <w:rFonts w:ascii="Arial" w:cs="Arial" w:eastAsia="Arial" w:hAnsi="Arial"/>
          <w:sz w:val="18"/>
          <w:szCs w:val="18"/>
          <w:b w:val="1"/>
          <w:bCs w:val="1"/>
          <w:color w:val="auto"/>
        </w:rPr>
      </w:pPr>
    </w:p>
    <w:p>
      <w:pPr>
        <w:ind w:left="980" w:right="400" w:hanging="324"/>
        <w:spacing w:after="0" w:line="277" w:lineRule="auto"/>
        <w:tabs>
          <w:tab w:leader="none" w:pos="97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extent and strength of our marketing and distribution of such product candidates;</w:t>
      </w:r>
    </w:p>
    <w:p>
      <w:pPr>
        <w:spacing w:after="0" w:line="171" w:lineRule="exact"/>
        <w:rPr>
          <w:rFonts w:ascii="Arial" w:cs="Arial" w:eastAsia="Arial" w:hAnsi="Arial"/>
          <w:sz w:val="18"/>
          <w:szCs w:val="18"/>
          <w:b w:val="1"/>
          <w:bCs w:val="1"/>
          <w:color w:val="auto"/>
        </w:rPr>
      </w:pPr>
    </w:p>
    <w:p>
      <w:pPr>
        <w:ind w:left="980" w:right="160" w:hanging="324"/>
        <w:spacing w:after="0" w:line="277" w:lineRule="auto"/>
        <w:tabs>
          <w:tab w:leader="none" w:pos="97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timing of market introduction of such product candidates, as well as competitive products;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extent and strength of our third-party manufacturer and supplier support;</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adverse publicity about the product or favorable publicity about competitive products;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potential product liability claims.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enactment of the Biologics Price Competition and Innovation Act of 2009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7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For our small molecular product candidates, if qualified, the regulatory exclusivity period is less than for our biologic product candidates. The Federal Food, Drug, and Cosmetic Act (FDCA)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6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Any name we intend to use for our product candidates in the U.S. will require approval from the FDA regardless of whether we have secured a formal trademark registration from the U.S. Patent and Trademark Office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Our internal computer systems, or those used by our CROs, CMOs, clinical sites or other contractors or consultants, may fail or suffer security breaches. 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2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We are and will be dependent upon information technology systems, infrastructure and data. In the ordinary course of our business, we will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The multitude and complexity of our computer systems and those of our contract research organizations (CROs), CMOs, clinical sites or other contractors or consultants make them inherently vulnerable to service interruption or destruction, malicious intrusion and random attack.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Further, as many of our employees are working remotely, our reliance on our and third-party information technology systems has increased substantially and is expected to continue to increase.</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CMOs, clinical sites and other contractors and consultants are vulnerable to failure or damage from computer viruses and other malware, employee error, unauthorized and authorized access or other cybersecurity attacks, natural disasters, terrorism, war, fire and telecommunication and electrical failures.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could include the deployment of harmful malware, denial-of-service, social engineering and other means to affect service reliability and threaten data confidentiality, integrity and availability. While we and our shared services partner, NantWorks, LLC (NantWorks), have invested, and continue to invest, in the protection of our data and information technology infrastructure, there can be no assurance that our efforts, or the efforts of our partners, vendors, CROs, CMOs, clinical sites and other contractors and consultants will prevent service interruptions, or identify breaches in our or their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If any such event were to occur and cause interruptions in our operations, it could result in a disruption of our product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To the extent that any disruption or security breach were to result in a loss of or damage to our data or applications, or inappropriate disclosure of personal, confidential or proprietary information, we could incur liability and the further development and commercialization of any product candidates could be delayed. Any such event could also result in legal claims or proceedings, liability under laws that protect the privacy of personal information and significant regulatory penalties, and damage to our reputation and a loss of confidence in us and our ability to conduct clinical trials.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20" w:lineRule="exact"/>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pandemics or contagious diseases, including the recent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pandemic and the public and governmental effort to mitigate against the spread of the disease, in regions where we or third parties on which we rely have significant manufacturing facilities, concentrations of clinical trial sites or other business operations, and may have a material adverse effect, on our clinical trials, operations, supply chains, distribution systems, product development, business and results of operations.</w:t>
      </w:r>
    </w:p>
    <w:p>
      <w:pPr>
        <w:spacing w:after="0" w:line="9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Outbreaks of epidemic, pandemic or contagious diseases, such as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and measures taken in response by governments and businesses worldwide to contain its spread have adversely impacted and may continue to significantly disrupt our operations and adversely affect our business, financial condition and results of operations. Many countries including the U.S. implemented measures such as quarantine, shelter-in-place, curfew, travel and activity restrictions and similar isolation measures, including government orders and other restrictions on the conduct of business operations. The continued spread of this pandemic has caused significant volatility and uncertainty in the U.S. and international markets and has resulted in increased risks to our operations. The COVID</w:t>
      </w:r>
      <w:r>
        <w:rPr>
          <w:rFonts w:ascii="MS PGothic" w:cs="MS PGothic" w:eastAsia="MS PGothic" w:hAnsi="MS PGothic"/>
          <w:sz w:val="17"/>
          <w:szCs w:val="17"/>
          <w:color w:val="auto"/>
        </w:rPr>
        <w:t>‑</w:t>
      </w:r>
      <w:r>
        <w:rPr>
          <w:rFonts w:ascii="Arial" w:cs="Arial" w:eastAsia="Arial" w:hAnsi="Arial"/>
          <w:sz w:val="17"/>
          <w:szCs w:val="17"/>
          <w:color w:val="auto"/>
        </w:rPr>
        <w:t>19 pandemic and any actions we have taken in response, are affecting and could materially affect our operations, including at our headquarters and at our manufacturing facilities, which have been and may in the future be subject to state executive orders and shelter-in-place orders, and at our clinical trial sites, as well as the business or operations of our CROs, CMOs, clinical sites or other third parties with whom we conduct business. Any such epidemic or pandemic may heighten the risk that a significant portion of our workforce could suffer illness or otherwise not be permitted or be unable to work, and may require that certain of our employees work remotely, which heightens certain risks, including but not limited to, those associated with an increased demand for information technology resources, increased risk of cybersecurity attacks (including social engineering attacks), risks related to internal controls and increased risk of unauthorized dissemination of sensitive personal information or our proprietary or confidential information.</w:t>
      </w:r>
    </w:p>
    <w:p>
      <w:pPr>
        <w:spacing w:after="0" w:line="20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rapid development and fluidity of the pandemic preclude any prediction as to the ultimate effect of COVID-19 on us. While the U.S. and other countries have reopened their economies to varying degrees, the extent to which COVID-19 will impact our future operations will depend on many factors which cannot be predicted with confidence, including the duration of the outbreak. Any resurgence in COVID-19 infections could result in the imposition of new mandates and prolonged restrictive measures implemented in order to control the spread of the disease.</w:t>
      </w:r>
    </w:p>
    <w:p>
      <w:pPr>
        <w:spacing w:after="0" w:line="17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U.S. President Biden has issued an Executive Order requiring federal employees and covered contractors to be vaccinated against COVID-19. Additionally, on November 4, 2021, the U.S. Department of Labor’s Occupational Safety and Health Administration (OSHA) issued a COVID-19 Vaccination and Testing Emergency Temporary Standard requiring all employers with 100 or more employees to ensure that their employees are fully vaccinated or tested for COVID-19 on at least a weekly basis. On January 20, 2022, The U.S. Supreme Court invalidated this requirement. However additional vaccine and testing mandates may be announced in other jurisdictions in which we operate our business. While it is not currently possible to predict with any certainty the exact impact the new regulations would have on us and our suppliers, the implementation of such government mandated vaccination or testing mandates may impact our ability to retain current employees and attract new employees and result in labor disruptions.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monitoring a number of risks related to this pandemic, including the following:</w:t>
      </w:r>
    </w:p>
    <w:p>
      <w:pPr>
        <w:spacing w:after="0" w:line="171" w:lineRule="exact"/>
        <w:rPr>
          <w:sz w:val="20"/>
          <w:szCs w:val="20"/>
          <w:color w:val="auto"/>
        </w:rPr>
      </w:pPr>
    </w:p>
    <w:p>
      <w:pPr>
        <w:ind w:left="980" w:right="420" w:hanging="324"/>
        <w:spacing w:after="0" w:line="259" w:lineRule="auto"/>
        <w:tabs>
          <w:tab w:leader="none" w:pos="975" w:val="left"/>
        </w:tabs>
        <w:numPr>
          <w:ilvl w:val="0"/>
          <w:numId w:val="56"/>
        </w:numPr>
        <w:rPr>
          <w:rFonts w:ascii="Arial" w:cs="Arial" w:eastAsia="Arial" w:hAnsi="Arial"/>
          <w:sz w:val="18"/>
          <w:szCs w:val="18"/>
          <w:b w:val="1"/>
          <w:bCs w:val="1"/>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We expect to continue spending on research and development during the year ending December 31, 2022 and beyond, and we could also have unexpected expenses related to the pandemic. The short-term continued expenses, as well as the overall uncertainty and disruption caused by the pandemic, will likely cause a delay in our ability to commercialize a product and adversely impact our financial results.</w:t>
      </w:r>
    </w:p>
    <w:p>
      <w:pPr>
        <w:spacing w:after="0" w:line="132"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56"/>
        </w:numPr>
        <w:rPr>
          <w:rFonts w:ascii="Arial" w:cs="Arial" w:eastAsia="Arial" w:hAnsi="Arial"/>
          <w:sz w:val="18"/>
          <w:szCs w:val="18"/>
          <w:b w:val="1"/>
          <w:bCs w:val="1"/>
          <w:color w:val="auto"/>
        </w:rPr>
      </w:pPr>
      <w:r>
        <w:rPr>
          <w:rFonts w:ascii="Arial" w:cs="Arial" w:eastAsia="Arial" w:hAnsi="Arial"/>
          <w:sz w:val="18"/>
          <w:szCs w:val="18"/>
          <w:u w:val="single" w:color="auto"/>
          <w:color w:val="auto"/>
        </w:rPr>
        <w:t>Manufacturing</w:t>
      </w:r>
      <w:r>
        <w:rPr>
          <w:rFonts w:ascii="Arial" w:cs="Arial" w:eastAsia="Arial" w:hAnsi="Arial"/>
          <w:sz w:val="18"/>
          <w:szCs w:val="18"/>
          <w:color w:val="auto"/>
        </w:rPr>
        <w:t>: The pandemic has impacted, and may continue to impact, our manufacturing locations, including through the effects of facility closures, reductions in operating hours and other social distancing efforts.</w:t>
      </w:r>
    </w:p>
    <w:p>
      <w:pPr>
        <w:spacing w:after="0" w:line="116" w:lineRule="exact"/>
        <w:rPr>
          <w:rFonts w:ascii="Arial" w:cs="Arial" w:eastAsia="Arial" w:hAnsi="Arial"/>
          <w:sz w:val="18"/>
          <w:szCs w:val="18"/>
          <w:b w:val="1"/>
          <w:bCs w:val="1"/>
          <w:color w:val="auto"/>
        </w:rPr>
      </w:pPr>
    </w:p>
    <w:p>
      <w:pPr>
        <w:ind w:left="980" w:right="20" w:hanging="324"/>
        <w:spacing w:after="0" w:line="259" w:lineRule="auto"/>
        <w:tabs>
          <w:tab w:leader="none" w:pos="975" w:val="left"/>
        </w:tabs>
        <w:numPr>
          <w:ilvl w:val="0"/>
          <w:numId w:val="56"/>
        </w:numPr>
        <w:rPr>
          <w:rFonts w:ascii="Arial" w:cs="Arial" w:eastAsia="Arial" w:hAnsi="Arial"/>
          <w:sz w:val="18"/>
          <w:szCs w:val="18"/>
          <w:b w:val="1"/>
          <w:bCs w:val="1"/>
          <w:color w:val="auto"/>
        </w:rPr>
      </w:pPr>
      <w:r>
        <w:rPr>
          <w:rFonts w:ascii="Arial" w:cs="Arial" w:eastAsia="Arial" w:hAnsi="Arial"/>
          <w:sz w:val="18"/>
          <w:szCs w:val="18"/>
          <w:u w:val="single" w:color="auto"/>
          <w:color w:val="auto"/>
        </w:rPr>
        <w:t>Supply Chain</w:t>
      </w:r>
      <w:r>
        <w:rPr>
          <w:rFonts w:ascii="Arial" w:cs="Arial" w:eastAsia="Arial" w:hAnsi="Arial"/>
          <w:sz w:val="18"/>
          <w:szCs w:val="18"/>
          <w:color w:val="auto"/>
        </w:rPr>
        <w:t>: As the pandemic continues to progress, it has resulted and could continue to result in significant disruptions in our respective supply chains and distribution channels in the future. In addition, there may be unfavorable changes in the availability or cost of raw materials, intermediates and other materials necessary for production, which may result in disruptions in our supply chain and adversely affect our ability to have manufactured certain product candidates for clinical supply.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80" w:hanging="324"/>
        <w:spacing w:after="0" w:line="218" w:lineRule="exact"/>
        <w:tabs>
          <w:tab w:leader="none" w:pos="975" w:val="left"/>
        </w:tabs>
        <w:numPr>
          <w:ilvl w:val="0"/>
          <w:numId w:val="57"/>
        </w:numPr>
        <w:rPr>
          <w:rFonts w:ascii="Arial" w:cs="Arial" w:eastAsia="Arial" w:hAnsi="Arial"/>
          <w:sz w:val="16"/>
          <w:szCs w:val="16"/>
          <w:b w:val="1"/>
          <w:bCs w:val="1"/>
          <w:color w:val="auto"/>
        </w:rPr>
      </w:pPr>
      <w:r>
        <w:rPr>
          <w:rFonts w:ascii="Arial" w:cs="Arial" w:eastAsia="Arial" w:hAnsi="Arial"/>
          <w:sz w:val="16"/>
          <w:szCs w:val="16"/>
          <w:u w:val="single" w:color="auto"/>
          <w:color w:val="auto"/>
        </w:rPr>
        <w:t>Clinical Trials</w:t>
      </w:r>
      <w:r>
        <w:rPr>
          <w:rFonts w:ascii="Arial" w:cs="Arial" w:eastAsia="Arial" w:hAnsi="Arial"/>
          <w:sz w:val="16"/>
          <w:szCs w:val="16"/>
          <w:color w:val="auto"/>
        </w:rPr>
        <w:t>: This pandemic may adversely affect certain of our clinical trials, including our ability to initiate and complete our clinical trials within the anticipated timelines. Due to site and participant availability during the pandemic, new subject enrollment has slowed and is expected to continue to slow, at least in the short-term, for most of our clinical trials. For ongoing trials, we have seen, and expect to continue to see an increasing number of clinical trial sites imposing restrictions on patient visits to limit risks of possible COVID</w:t>
      </w:r>
      <w:r>
        <w:rPr>
          <w:rFonts w:ascii="MS PGothic" w:cs="MS PGothic" w:eastAsia="MS PGothic" w:hAnsi="MS PGothic"/>
          <w:sz w:val="16"/>
          <w:szCs w:val="16"/>
          <w:color w:val="auto"/>
        </w:rPr>
        <w:t>‑</w:t>
      </w:r>
      <w:r>
        <w:rPr>
          <w:rFonts w:ascii="Arial" w:cs="Arial" w:eastAsia="Arial" w:hAnsi="Arial"/>
          <w:sz w:val="16"/>
          <w:szCs w:val="16"/>
          <w:color w:val="auto"/>
        </w:rPr>
        <w:t>19 exposure, and we may experience issues with participant compliance with clinical trial protocols as a result of quarantines, travel restrictions and interruptions to healthcare services. The current pressures on medical systems and the prioritization of healthcare resources toward the COVID</w:t>
      </w:r>
      <w:r>
        <w:rPr>
          <w:rFonts w:ascii="MS PGothic" w:cs="MS PGothic" w:eastAsia="MS PGothic" w:hAnsi="MS PGothic"/>
          <w:sz w:val="16"/>
          <w:szCs w:val="16"/>
          <w:color w:val="auto"/>
        </w:rPr>
        <w:t>‑</w:t>
      </w:r>
      <w:r>
        <w:rPr>
          <w:rFonts w:ascii="Arial" w:cs="Arial" w:eastAsia="Arial" w:hAnsi="Arial"/>
          <w:sz w:val="16"/>
          <w:szCs w:val="16"/>
          <w:color w:val="auto"/>
        </w:rPr>
        <w:t>19 pandemic have also resulted, and may continue to result, in interruptions in data collection and submissions for certain clinical trials and delayed starts for certain planned studies. As a result, our anticipated filing and marketing timelines may be adversely impacted.</w:t>
      </w:r>
    </w:p>
    <w:p>
      <w:pPr>
        <w:spacing w:after="0" w:line="148" w:lineRule="exact"/>
        <w:rPr>
          <w:rFonts w:ascii="Arial" w:cs="Arial" w:eastAsia="Arial" w:hAnsi="Arial"/>
          <w:sz w:val="16"/>
          <w:szCs w:val="16"/>
          <w:b w:val="1"/>
          <w:bCs w:val="1"/>
          <w:color w:val="auto"/>
        </w:rPr>
      </w:pPr>
    </w:p>
    <w:p>
      <w:pPr>
        <w:ind w:left="980" w:right="100" w:hanging="324"/>
        <w:spacing w:after="0" w:line="220" w:lineRule="exact"/>
        <w:tabs>
          <w:tab w:leader="none" w:pos="975" w:val="left"/>
        </w:tabs>
        <w:numPr>
          <w:ilvl w:val="0"/>
          <w:numId w:val="57"/>
        </w:numPr>
        <w:rPr>
          <w:rFonts w:ascii="Arial" w:cs="Arial" w:eastAsia="Arial" w:hAnsi="Arial"/>
          <w:sz w:val="17"/>
          <w:szCs w:val="17"/>
          <w:b w:val="1"/>
          <w:bCs w:val="1"/>
          <w:color w:val="auto"/>
        </w:rPr>
      </w:pPr>
      <w:r>
        <w:rPr>
          <w:rFonts w:ascii="Arial" w:cs="Arial" w:eastAsia="Arial" w:hAnsi="Arial"/>
          <w:sz w:val="17"/>
          <w:szCs w:val="17"/>
          <w:u w:val="single" w:color="auto"/>
          <w:color w:val="auto"/>
        </w:rPr>
        <w:t>Overall Economic and Capital Markets Environment</w:t>
      </w:r>
      <w:r>
        <w:rPr>
          <w:rFonts w:ascii="Arial" w:cs="Arial" w:eastAsia="Arial" w:hAnsi="Arial"/>
          <w:sz w:val="17"/>
          <w:szCs w:val="17"/>
          <w:color w:val="auto"/>
        </w:rPr>
        <w:t>: The continued spread of COVID</w:t>
      </w:r>
      <w:r>
        <w:rPr>
          <w:rFonts w:ascii="MS PGothic" w:cs="MS PGothic" w:eastAsia="MS PGothic" w:hAnsi="MS PGothic"/>
          <w:sz w:val="17"/>
          <w:szCs w:val="17"/>
          <w:color w:val="auto"/>
        </w:rPr>
        <w:t>‑</w:t>
      </w:r>
      <w:r>
        <w:rPr>
          <w:rFonts w:ascii="Arial" w:cs="Arial" w:eastAsia="Arial" w:hAnsi="Arial"/>
          <w:sz w:val="17"/>
          <w:szCs w:val="17"/>
          <w:color w:val="auto"/>
        </w:rPr>
        <w:t>19 has led to and could continue to lead to severe disruption and volatility in the U.S. and global capital markets, which could result in a decline in stock price, high inflation, increase our cost of capital and adversely affect our ability to access the capital markets in the future even after local conditions improve. In addition, trading prices on the public stock market have been highly volatile as a result of the COVID</w:t>
      </w:r>
      <w:r>
        <w:rPr>
          <w:rFonts w:ascii="MS PGothic" w:cs="MS PGothic" w:eastAsia="MS PGothic" w:hAnsi="MS PGothic"/>
          <w:sz w:val="17"/>
          <w:szCs w:val="17"/>
          <w:color w:val="auto"/>
        </w:rPr>
        <w:t>‑</w:t>
      </w:r>
      <w:r>
        <w:rPr>
          <w:rFonts w:ascii="Arial" w:cs="Arial" w:eastAsia="Arial" w:hAnsi="Arial"/>
          <w:sz w:val="17"/>
          <w:szCs w:val="17"/>
          <w:color w:val="auto"/>
        </w:rPr>
        <w:t>19 pandemic.</w:t>
      </w:r>
    </w:p>
    <w:p>
      <w:pPr>
        <w:spacing w:after="0" w:line="149" w:lineRule="exact"/>
        <w:rPr>
          <w:rFonts w:ascii="Arial" w:cs="Arial" w:eastAsia="Arial" w:hAnsi="Arial"/>
          <w:sz w:val="17"/>
          <w:szCs w:val="17"/>
          <w:b w:val="1"/>
          <w:bCs w:val="1"/>
          <w:color w:val="auto"/>
        </w:rPr>
      </w:pPr>
    </w:p>
    <w:p>
      <w:pPr>
        <w:ind w:left="980" w:hanging="324"/>
        <w:spacing w:after="0" w:line="219" w:lineRule="exact"/>
        <w:tabs>
          <w:tab w:leader="none" w:pos="975" w:val="left"/>
        </w:tabs>
        <w:numPr>
          <w:ilvl w:val="0"/>
          <w:numId w:val="57"/>
        </w:numPr>
        <w:rPr>
          <w:rFonts w:ascii="Arial" w:cs="Arial" w:eastAsia="Arial" w:hAnsi="Arial"/>
          <w:sz w:val="17"/>
          <w:szCs w:val="17"/>
          <w:b w:val="1"/>
          <w:bCs w:val="1"/>
          <w:color w:val="auto"/>
        </w:rPr>
      </w:pPr>
      <w:r>
        <w:rPr>
          <w:rFonts w:ascii="Arial" w:cs="Arial" w:eastAsia="Arial" w:hAnsi="Arial"/>
          <w:sz w:val="17"/>
          <w:szCs w:val="17"/>
          <w:u w:val="single" w:color="auto"/>
          <w:color w:val="auto"/>
        </w:rPr>
        <w:t>Regulatory Reviews</w:t>
      </w:r>
      <w:r>
        <w:rPr>
          <w:rFonts w:ascii="Arial" w:cs="Arial" w:eastAsia="Arial" w:hAnsi="Arial"/>
          <w:sz w:val="17"/>
          <w:szCs w:val="17"/>
          <w:color w:val="auto"/>
        </w:rPr>
        <w:t>: The operations of the FDA or other regulatory agencies may be adversely affected. The legislative and regulatory environment governing our businesses is dynamic and changing frequently in response to COVID</w:t>
      </w:r>
      <w:r>
        <w:rPr>
          <w:rFonts w:ascii="MS PGothic" w:cs="MS PGothic" w:eastAsia="MS PGothic" w:hAnsi="MS PGothic"/>
          <w:sz w:val="17"/>
          <w:szCs w:val="17"/>
          <w:color w:val="auto"/>
        </w:rPr>
        <w:t>‑</w:t>
      </w:r>
      <w:r>
        <w:rPr>
          <w:rFonts w:ascii="Arial" w:cs="Arial" w:eastAsia="Arial" w:hAnsi="Arial"/>
          <w:sz w:val="17"/>
          <w:szCs w:val="17"/>
          <w:color w:val="auto"/>
        </w:rPr>
        <w:t>19. In response to COVID</w:t>
      </w:r>
      <w:r>
        <w:rPr>
          <w:rFonts w:ascii="MS PGothic" w:cs="MS PGothic" w:eastAsia="MS PGothic" w:hAnsi="MS PGothic"/>
          <w:sz w:val="17"/>
          <w:szCs w:val="17"/>
          <w:color w:val="auto"/>
        </w:rPr>
        <w:t>‑</w:t>
      </w:r>
      <w:r>
        <w:rPr>
          <w:rFonts w:ascii="Arial" w:cs="Arial" w:eastAsia="Arial" w:hAnsi="Arial"/>
          <w:sz w:val="17"/>
          <w:szCs w:val="17"/>
          <w:color w:val="auto"/>
        </w:rPr>
        <w:t>19, federal, state and local governments are issuing new rules, regulations, orders and advisories on a regular basis. These government actions can impact us, our members and our suppliers. There is also the possibility that we may experience delays with obtaining approvals for our IND applications, BLAs, and/or NDAs. The pandemic may also result in greater regulatory uncertainty.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We have limited experience conducting clinical trials and have relied and will rely on third parties and related parties to conduct many of our preclinical studies and clinical trials, to manufacture products and to perform many essential services for any products that we commercialize, including services related to distribution, government price reporting, customer service, accounts receivable management, cash collection and adverse event reporting. Any failure by a third party, related party, or by us to perform as expected, to comply with legal and regulatory requirements or to conduct the clinical trials according to GCP regulations, and in a timely manner, may delay or prevent our ability to seek or obtain regulatory approval for or commercialization of our product candidates and our ability to commercialize our current or future product candidates will be significantly impacted and we may be subject to regulatory sanctions.</w:t>
      </w:r>
    </w:p>
    <w:p>
      <w:pPr>
        <w:spacing w:after="0" w:line="69" w:lineRule="exact"/>
        <w:rPr>
          <w:sz w:val="20"/>
          <w:szCs w:val="20"/>
          <w:color w:val="auto"/>
        </w:rPr>
      </w:pPr>
    </w:p>
    <w:p>
      <w:pPr>
        <w:jc w:val="both"/>
        <w:ind w:right="380" w:firstLine="648"/>
        <w:spacing w:after="0" w:line="287" w:lineRule="auto"/>
        <w:rPr>
          <w:sz w:val="20"/>
          <w:szCs w:val="20"/>
          <w:color w:val="auto"/>
        </w:rPr>
      </w:pPr>
      <w:r>
        <w:rPr>
          <w:rFonts w:ascii="Arial" w:cs="Arial" w:eastAsia="Arial" w:hAnsi="Arial"/>
          <w:sz w:val="16"/>
          <w:szCs w:val="16"/>
          <w:color w:val="auto"/>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CMOs to manufacture products, which may force us to encounter delays and challenges that are outside of our control.</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no experience as a company in filing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(GLP) regulations, as appropriate. Moreover, the FDA and comparable foreign regulatory authorities require us and the third parties upon which we intend to rely for conducting our clinical trials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w:t>
      </w:r>
    </w:p>
    <w:p>
      <w:pPr>
        <w:spacing w:after="0" w:line="172" w:lineRule="exact"/>
        <w:rPr>
          <w:sz w:val="20"/>
          <w:szCs w:val="20"/>
          <w:color w:val="auto"/>
        </w:rPr>
      </w:pPr>
    </w:p>
    <w:p>
      <w:pPr>
        <w:ind w:right="580" w:firstLine="648"/>
        <w:spacing w:after="0" w:line="311" w:lineRule="auto"/>
        <w:rPr>
          <w:sz w:val="20"/>
          <w:szCs w:val="20"/>
          <w:color w:val="auto"/>
        </w:rPr>
      </w:pPr>
      <w:r>
        <w:rPr>
          <w:rFonts w:ascii="Arial" w:cs="Arial" w:eastAsia="Arial" w:hAnsi="Arial"/>
          <w:sz w:val="16"/>
          <w:szCs w:val="16"/>
          <w:color w:val="auto"/>
        </w:rPr>
        <w:t>We rely on third parties to manufacture, package, label and ship some of our product candidates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revenues.</w:t>
      </w:r>
    </w:p>
    <w:p>
      <w:pPr>
        <w:spacing w:after="0" w:line="14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to retain third-party service providers to perform a variety of functions related to the sale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Additionally, we may contract in the future with a third 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FCA lawsuits.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proprietary technology. We may also need the cooperation of our collaborators to enforce or defend any intellectual property we contribute to or that arises out of our collaborations, which may not be provided to us.</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also anticipate that part of our strategy for pursuing the wide range of indications potentially addressed by N-803 will involve further investigator-initiated clinical trials. While these trials generally provide us with valuable clinical data that can inform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investigator-initiated clinical trials, regardless of how the clinical trial was designed or conducted, could have a material adverse effect on our business and the perception of our product candidates.</w:t>
      </w:r>
    </w:p>
    <w:p>
      <w:pPr>
        <w:spacing w:after="0" w:line="17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w:t>
      </w:r>
    </w:p>
    <w:p>
      <w:pPr>
        <w:spacing w:after="0" w:line="2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third-party manufacturers, wholesalers and distributors fail to perform as expected, or fail to devote sufficient time and resources to our product candidates, our clinical development may be delayed, our costs may be higher than expected or our product candidates may fail to be approved, or we may fail to commercialize any product candidates if approved.</w:t>
      </w:r>
    </w:p>
    <w:p>
      <w:pPr>
        <w:spacing w:after="0" w:line="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reliance on third-party manufacturers, wholesalers and distributors exposes us to the following risks, any of which could delay FDA approval of our product candidates and commercialization of our product candidates if approved, result in higher costs, or deprive us of potential product revenues:</w:t>
      </w:r>
    </w:p>
    <w:p>
      <w:pPr>
        <w:spacing w:after="0" w:line="70" w:lineRule="exact"/>
        <w:rPr>
          <w:sz w:val="20"/>
          <w:szCs w:val="20"/>
          <w:color w:val="auto"/>
        </w:rPr>
      </w:pPr>
    </w:p>
    <w:p>
      <w:pPr>
        <w:ind w:left="980" w:right="140" w:hanging="324"/>
        <w:spacing w:after="0" w:line="311" w:lineRule="auto"/>
        <w:tabs>
          <w:tab w:leader="none" w:pos="975"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spacing w:after="0" w:line="94" w:lineRule="exact"/>
        <w:rPr>
          <w:rFonts w:ascii="Arial" w:cs="Arial" w:eastAsia="Arial" w:hAnsi="Arial"/>
          <w:sz w:val="16"/>
          <w:szCs w:val="16"/>
          <w:b w:val="1"/>
          <w:bCs w:val="1"/>
          <w:color w:val="auto"/>
        </w:rPr>
      </w:pPr>
    </w:p>
    <w:p>
      <w:pPr>
        <w:ind w:left="980" w:hanging="324"/>
        <w:spacing w:after="0"/>
        <w:tabs>
          <w:tab w:leader="none" w:pos="98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our wholesalers and distributors could become unable to sell and deliver our product candidates for regulatory, compliance and other reasons;</w:t>
      </w:r>
    </w:p>
    <w:p>
      <w:pPr>
        <w:spacing w:after="0" w:line="194" w:lineRule="exact"/>
        <w:rPr>
          <w:rFonts w:ascii="Arial" w:cs="Arial" w:eastAsia="Arial" w:hAnsi="Arial"/>
          <w:sz w:val="16"/>
          <w:szCs w:val="16"/>
          <w:b w:val="1"/>
          <w:bCs w:val="1"/>
          <w:color w:val="auto"/>
        </w:rPr>
      </w:pPr>
    </w:p>
    <w:p>
      <w:pPr>
        <w:ind w:left="980" w:right="100" w:hanging="324"/>
        <w:spacing w:after="0" w:line="277" w:lineRule="auto"/>
        <w:tabs>
          <w:tab w:leader="none" w:pos="97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our CMOs, wholesalers and distributors could breach or default on their agreements with us to meet our requirements for commercialization of our product candidates;</w:t>
      </w:r>
    </w:p>
    <w:p>
      <w:pPr>
        <w:spacing w:after="0" w:line="116"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our CMOs, wholesalers and distributors may not perform as agreed or may not remain in business for the time required to successfully produce, store, sell and distribute our product candidates and we may incur additional cost;</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our CMOs, wholesalers and distributors may misappropriate our proprietary information; and</w:t>
      </w:r>
    </w:p>
    <w:p>
      <w:pPr>
        <w:spacing w:after="0" w:line="171" w:lineRule="exact"/>
        <w:rPr>
          <w:rFonts w:ascii="Arial" w:cs="Arial" w:eastAsia="Arial" w:hAnsi="Arial"/>
          <w:sz w:val="18"/>
          <w:szCs w:val="18"/>
          <w:b w:val="1"/>
          <w:bCs w:val="1"/>
          <w:color w:val="auto"/>
        </w:rPr>
      </w:pPr>
    </w:p>
    <w:p>
      <w:pPr>
        <w:ind w:left="980" w:right="140" w:hanging="324"/>
        <w:spacing w:after="0" w:line="277" w:lineRule="auto"/>
        <w:tabs>
          <w:tab w:leader="none" w:pos="97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if our CMOs, wholesalers and distributors were to terminate our arrangements or fail to meet their contractual obligations, we may be forced to delay our commercial programs.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reliance on third parties reduces our control over our product candidate development activities but does not relieve us of our responsibility to ensure compliance with all required legal, regulatory and industry standards. For example, the FDA and other regulatory authorities require that our product candidates and any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In addition, our third-party manufacturers will be subject to periodic inspections by the FDA and other regulatory authorities, and failure to comply with cGMP could be the basis for the FDA to issue a warning or untitled letter, withdraw approvals for product candidates previously granted to us, or take other regulatory or legal action, including a request to recall or seize product candidates, total or partial suspension of production, suspension of clinical trials, refusal to approve pending applications or supplemental applications, detention of product, refusal to permit the import or export of product candidates, injunction, imposing civil penalties or pursuing criminal prosecution.</w:t>
      </w:r>
    </w:p>
    <w:p>
      <w:pPr>
        <w:spacing w:after="0" w:line="1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Additionally, as we scale up manufacturing of our product candidates and conduct required stability testing, we may encounter additional challenges or cGMP issues. These issues may require refinement or resolution in order to proceed with commercial marketing of our product candidates if approved. In addition, quality issues may arise during scale-up and validation of commercial manufacturing processes. Any issues in our manufacturing process could result in increased scrutiny by regulatory authorities, delays in our regulatory approval process, increases in our operating expenses, or failure to obtain or maintain approval for our product candidates. If such issues relate to an approved product, we may not be able to commercialize the approved product as we planned or fail to meet commercial demand, any of which can materially and adversely affect our position in the market.</w:t>
      </w:r>
    </w:p>
    <w:p>
      <w:pPr>
        <w:spacing w:after="0" w:line="27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required to contract with other clinical trial sites, and our clinical development plans will be significantly delayed, and we will incur additional costs.</w:t>
      </w:r>
    </w:p>
    <w:p>
      <w:pPr>
        <w:spacing w:after="0" w:line="5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w:t>
      </w:r>
    </w:p>
    <w:p>
      <w:pPr>
        <w:ind w:right="20"/>
        <w:spacing w:after="0" w:line="216" w:lineRule="exact"/>
        <w:rPr>
          <w:sz w:val="20"/>
          <w:szCs w:val="20"/>
          <w:color w:val="auto"/>
        </w:rPr>
      </w:pPr>
      <w:r>
        <w:rPr>
          <w:rFonts w:ascii="Arial" w:cs="Arial" w:eastAsia="Arial" w:hAnsi="Arial"/>
          <w:sz w:val="16"/>
          <w:szCs w:val="16"/>
          <w:color w:val="auto"/>
        </w:rPr>
        <w:t>June 30, 2019, one of the company’s officers was an investigator or sub</w:t>
      </w:r>
      <w:r>
        <w:rPr>
          <w:rFonts w:ascii="MS PGothic" w:cs="MS PGothic" w:eastAsia="MS PGothic" w:hAnsi="MS PGothic"/>
          <w:sz w:val="16"/>
          <w:szCs w:val="16"/>
          <w:color w:val="auto"/>
        </w:rPr>
        <w:t>‑</w:t>
      </w:r>
      <w:r>
        <w:rPr>
          <w:rFonts w:ascii="Arial" w:cs="Arial" w:eastAsia="Arial" w:hAnsi="Arial"/>
          <w:sz w:val="16"/>
          <w:szCs w:val="16"/>
          <w:color w:val="auto"/>
        </w:rPr>
        <w:t>investigator for certain of the company’s trials conducted at the Clinic. NantWorks, which is wholly owned by our Executive Chairman and Global Chief Scientific and Medical Officer, Dr. Soon</w:t>
      </w:r>
      <w:r>
        <w:rPr>
          <w:rFonts w:ascii="MS PGothic" w:cs="MS PGothic" w:eastAsia="MS PGothic" w:hAnsi="MS PGothic"/>
          <w:sz w:val="16"/>
          <w:szCs w:val="16"/>
          <w:color w:val="auto"/>
        </w:rPr>
        <w:t>‑</w:t>
      </w:r>
      <w:r>
        <w:rPr>
          <w:rFonts w:ascii="Arial" w:cs="Arial" w:eastAsia="Arial" w:hAnsi="Arial"/>
          <w:sz w:val="16"/>
          <w:szCs w:val="16"/>
          <w:color w:val="auto"/>
        </w:rPr>
        <w:t>Shiong, provides certain administrative services (and has loaned money) to the Clinic. Under certain circumstances, we may be required to report some of these relationships to the FDA. 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We have formed, and may in the future form or seek, strategic alliances or enter into collaborations with third parties or additional licensing arrangements in the future, and we may not realize the benefits of such alliances or licensing arrangements. If we fail to enter into such strategic alliances, collaborations or licensing arrangements, or such strategic alliances, collaborations or licensing arrangements are not successful, we may not be able to capitalize on the market potential of our product candidates.</w:t>
      </w:r>
    </w:p>
    <w:p>
      <w:pPr>
        <w:spacing w:after="0" w:line="6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formed, and may in the future form or seek, strategic alliances, create joint ventures or collaborations or enter into additional licensing arrangements with third and related parties that we believe will complement or augment our development and commercialization efforts with respect to our product candidates and any future product candidates that we may develop. We plan to collaborate with governmental, academic and corporate partners, including affiliates, to improve and develop N-803, saRNA, hAd5 and yeast technologies, and other therapies for new indications for use in combination with other therapies and to improve and develop other product candidates, which may expose us to additional risks, or we may not realize the benefits of such collaborations.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some of our collaborations are conducted at outside laboratories, and we do not have complete control over how the studies are conducted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reported or over the manufacturing methods used to manufacture our product candidate, Anktiva in combination with BCG for the treatment of patients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BCG-unresponsive NMIBC with CIS with or without Ta or T1 disease, the results of such studies, which we may use as the basis for our conclusions,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projections or decisions with respect to our current or future product candidates, may be incorrect or unreliable, or may have a negative impact on us if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results of such studies are imputed to our product candidates or proposed indications, even if such imputation is improper. Additionally, we may use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data to analyze, reach conclusions or make predictions or decisions with respect to our product candidates that may be incomplete, inaccurate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otherwise unreliable.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will be subject to numerous risks, which may include the following:</w:t>
      </w:r>
    </w:p>
    <w:p>
      <w:pPr>
        <w:spacing w:after="0" w:line="171"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collaborators, including their related or affiliated companies, may be entitled to receive exclusive rights for or involving our products;</w:t>
      </w:r>
    </w:p>
    <w:p>
      <w:pPr>
        <w:spacing w:after="0" w:line="182" w:lineRule="exact"/>
        <w:rPr>
          <w:rFonts w:ascii="Arial" w:cs="Arial" w:eastAsia="Arial" w:hAnsi="Arial"/>
          <w:sz w:val="17"/>
          <w:szCs w:val="17"/>
          <w:b w:val="1"/>
          <w:bCs w:val="1"/>
          <w:color w:val="auto"/>
        </w:rPr>
      </w:pPr>
    </w:p>
    <w:p>
      <w:pPr>
        <w:ind w:left="980" w:hanging="324"/>
        <w:spacing w:after="0"/>
        <w:tabs>
          <w:tab w:leader="none" w:pos="9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71" w:lineRule="exact"/>
        <w:rPr>
          <w:rFonts w:ascii="Arial" w:cs="Arial" w:eastAsia="Arial" w:hAnsi="Arial"/>
          <w:sz w:val="18"/>
          <w:szCs w:val="18"/>
          <w:b w:val="1"/>
          <w:bCs w:val="1"/>
          <w:color w:val="auto"/>
        </w:rPr>
      </w:pPr>
    </w:p>
    <w:p>
      <w:pPr>
        <w:ind w:left="980" w:right="140" w:hanging="324"/>
        <w:spacing w:after="0" w:line="259"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32" w:lineRule="exact"/>
        <w:rPr>
          <w:rFonts w:ascii="Arial" w:cs="Arial" w:eastAsia="Arial" w:hAnsi="Arial"/>
          <w:sz w:val="18"/>
          <w:szCs w:val="18"/>
          <w:b w:val="1"/>
          <w:bCs w:val="1"/>
          <w:color w:val="auto"/>
        </w:rPr>
      </w:pPr>
    </w:p>
    <w:p>
      <w:pPr>
        <w:ind w:left="980" w:right="60" w:hanging="324"/>
        <w:spacing w:after="0" w:line="277"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16" w:lineRule="exact"/>
        <w:rPr>
          <w:rFonts w:ascii="Arial" w:cs="Arial" w:eastAsia="Arial" w:hAnsi="Arial"/>
          <w:sz w:val="18"/>
          <w:szCs w:val="18"/>
          <w:b w:val="1"/>
          <w:bCs w:val="1"/>
          <w:color w:val="auto"/>
        </w:rPr>
      </w:pPr>
    </w:p>
    <w:p>
      <w:pPr>
        <w:ind w:left="980" w:right="620" w:hanging="324"/>
        <w:spacing w:after="0" w:line="277"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116" w:lineRule="exact"/>
        <w:rPr>
          <w:rFonts w:ascii="Arial" w:cs="Arial" w:eastAsia="Arial" w:hAnsi="Arial"/>
          <w:sz w:val="18"/>
          <w:szCs w:val="18"/>
          <w:b w:val="1"/>
          <w:bCs w:val="1"/>
          <w:color w:val="auto"/>
        </w:rPr>
      </w:pPr>
    </w:p>
    <w:p>
      <w:pPr>
        <w:ind w:left="980" w:right="420" w:hanging="324"/>
        <w:spacing w:after="0" w:line="277"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16" w:lineRule="exact"/>
        <w:rPr>
          <w:rFonts w:ascii="Arial" w:cs="Arial" w:eastAsia="Arial" w:hAnsi="Arial"/>
          <w:sz w:val="18"/>
          <w:szCs w:val="18"/>
          <w:b w:val="1"/>
          <w:bCs w:val="1"/>
          <w:color w:val="auto"/>
        </w:rPr>
      </w:pPr>
    </w:p>
    <w:p>
      <w:pPr>
        <w:ind w:left="980" w:right="40" w:hanging="324"/>
        <w:spacing w:after="0" w:line="263"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b w:val="1"/>
          <w:bCs w:val="1"/>
          <w:color w:val="auto"/>
        </w:rPr>
      </w:pPr>
    </w:p>
    <w:p>
      <w:pPr>
        <w:ind w:left="980" w:right="40" w:hanging="324"/>
        <w:spacing w:after="0" w:line="342" w:lineRule="auto"/>
        <w:tabs>
          <w:tab w:leader="none" w:pos="975"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6"/>
          <w:szCs w:val="16"/>
          <w:b w:val="1"/>
          <w:bCs w:val="1"/>
          <w:color w:val="auto"/>
        </w:rPr>
      </w:pPr>
    </w:p>
    <w:p>
      <w:pPr>
        <w:ind w:left="980" w:right="1040" w:hanging="324"/>
        <w:spacing w:after="0" w:line="277" w:lineRule="auto"/>
        <w:tabs>
          <w:tab w:leader="none" w:pos="97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980" w:right="60" w:hanging="324"/>
        <w:spacing w:after="0" w:line="286" w:lineRule="auto"/>
        <w:tabs>
          <w:tab w:leader="none" w:pos="975"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spacing w:after="0" w:line="111" w:lineRule="exact"/>
        <w:rPr>
          <w:rFonts w:ascii="Arial" w:cs="Arial" w:eastAsia="Arial" w:hAnsi="Arial"/>
          <w:sz w:val="17"/>
          <w:szCs w:val="17"/>
          <w:b w:val="1"/>
          <w:bCs w:val="1"/>
          <w:color w:val="auto"/>
        </w:rPr>
      </w:pPr>
    </w:p>
    <w:p>
      <w:pPr>
        <w:ind w:left="980" w:right="80" w:hanging="324"/>
        <w:spacing w:after="0" w:line="277" w:lineRule="auto"/>
        <w:tabs>
          <w:tab w:leader="none" w:pos="975"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Competing product candidates, either developed by the collaborators or strategic partners or to which the collaborators or strategic partners have rights, may result in the withdrawal of our collaborator’s or partner’s support for our product candidates.</w:t>
      </w:r>
    </w:p>
    <w:p>
      <w:pPr>
        <w:spacing w:after="0" w:line="177"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 xml:space="preserve">For example, in 2019, Sorrento Therapeutics, Inc. with which we jointly established a new entity called Immunotherapy NANTibody, LLC as a stand-alone biotechnology company, commenced litigation against us and certain of our officers and directors, alleging that we improperly caused NANTibody to acquire IgDraSol, Inc. Additionally, in 2020, we received a Request for Arbitration before the International Chamber of Commerce, International Court of Arbitration, served by Shenzhen Beike Biotechnology Co. Ltd. asserting breach of contract under our subsidiary Altor’s license agreement with them. For more information regarding these disputes,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Contingencies—Litigation,</w:t>
      </w:r>
      <w:r>
        <w:rPr>
          <w:rFonts w:ascii="Arial" w:cs="Arial" w:eastAsia="Arial" w:hAnsi="Arial"/>
          <w:sz w:val="17"/>
          <w:szCs w:val="17"/>
          <w:color w:val="auto"/>
        </w:rPr>
        <w:t xml:space="preserve"> of the “Notes to Consolidated Financial Statements” that appears in Part II, Item 8. “Financial Statements and Supplementary Data” of this Annual Report. Any of these developments could harm our product development efforts.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joint ventures, strategic partnerships and alliances may expose us to risks associated with jointly owned investments.</w:t>
      </w:r>
    </w:p>
    <w:p>
      <w:pPr>
        <w:spacing w:after="0" w:line="11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may operate parts of our business through joint ventures, strategic partnerships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may divert management time and resources;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 (vii) we may suffer losses as a result of actions taken by the partner(s); and (viii) it may be difficult for us to exit if an impasse arises or if we desire to sell our interest for any reason. For example, we have established a joint venture relationship with Amyris, and there can be no guarantee that it will be successful. In addition, we may, in certain circumstances, be liable for the actions of our partners. Any of the foregoing risks could have a material adverse effect on our business, financial condition and results of operations.</w:t>
      </w:r>
    </w:p>
    <w:p>
      <w:pPr>
        <w:spacing w:after="0" w:line="2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are heavily dependent on our senior management, particularly Dr. Soon-Shiong, our Executive Chairman and Global Chief Scientific and Medical Officer, and a loss of a member of our senior management team in the future, even if only temporary, could harm our business.</w:t>
      </w:r>
    </w:p>
    <w:p>
      <w:pPr>
        <w:spacing w:after="0" w:line="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will be dependent upon the services of our executives and our employees who are engaged in research and development. If we lose the services of members of our senior management, particularly Dr. Soon-Shiong,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our Executive Chairman and Global Chief Scientific and Medical Officer. Although Dr. Soon-Shiong focuses heavily on our matters and is highly active in our management, he does devote a significant amount of his time to a number of different endeavors and companies, including NantHealth, Inc., NantMedia Holdings, LLC (which operates the Los Angeles Times and the San Diego Union-Tribune)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NEOs and do not maintain “key man” insurance policies on the lives of all of these individuals or the lives of any of our other employees.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future financial performance and our ability to commercialize our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Future growth will impose significant added responsibilities on members of management, including:</w:t>
      </w:r>
    </w:p>
    <w:p>
      <w:pPr>
        <w:spacing w:after="0" w:line="111"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identifying, recruiting, integrating, maintaining, and motivating additional employees;</w:t>
      </w:r>
    </w:p>
    <w:p>
      <w:pPr>
        <w:spacing w:after="0" w:line="171" w:lineRule="exact"/>
        <w:rPr>
          <w:rFonts w:ascii="Arial" w:cs="Arial" w:eastAsia="Arial" w:hAnsi="Arial"/>
          <w:sz w:val="18"/>
          <w:szCs w:val="18"/>
          <w:b w:val="1"/>
          <w:bCs w:val="1"/>
          <w:color w:val="auto"/>
        </w:rPr>
      </w:pPr>
    </w:p>
    <w:p>
      <w:pPr>
        <w:ind w:left="980" w:right="500" w:hanging="324"/>
        <w:spacing w:after="0" w:line="277" w:lineRule="auto"/>
        <w:tabs>
          <w:tab w:leader="none" w:pos="97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improving our operational, financial and management controls, reporting systems, and procedures.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spacing w:after="0" w:line="19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92" w:lineRule="exact"/>
        <w:rPr>
          <w:sz w:val="20"/>
          <w:szCs w:val="20"/>
          <w:color w:val="auto"/>
        </w:rPr>
      </w:pPr>
    </w:p>
    <w:p>
      <w:pPr>
        <w:ind w:left="980" w:right="540" w:hanging="324"/>
        <w:spacing w:after="0" w:line="277" w:lineRule="auto"/>
        <w:tabs>
          <w:tab w:leader="none" w:pos="97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spacing w:after="0" w:line="116" w:lineRule="exact"/>
        <w:rPr>
          <w:rFonts w:ascii="Arial" w:cs="Arial" w:eastAsia="Arial" w:hAnsi="Arial"/>
          <w:sz w:val="18"/>
          <w:szCs w:val="18"/>
          <w:b w:val="1"/>
          <w:bCs w:val="1"/>
          <w:color w:val="auto"/>
        </w:rPr>
      </w:pPr>
    </w:p>
    <w:p>
      <w:pPr>
        <w:ind w:left="980" w:right="620" w:hanging="324"/>
        <w:spacing w:after="0" w:line="277" w:lineRule="auto"/>
        <w:tabs>
          <w:tab w:leader="none" w:pos="97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significant upfront milestone and/or royalty payments from which we may not realize the anticipated benefits;</w:t>
      </w:r>
    </w:p>
    <w:p>
      <w:pPr>
        <w:spacing w:after="0" w:line="171" w:lineRule="exact"/>
        <w:rPr>
          <w:rFonts w:ascii="Arial" w:cs="Arial" w:eastAsia="Arial" w:hAnsi="Arial"/>
          <w:sz w:val="18"/>
          <w:szCs w:val="18"/>
          <w:b w:val="1"/>
          <w:bCs w:val="1"/>
          <w:color w:val="auto"/>
        </w:rPr>
      </w:pPr>
    </w:p>
    <w:p>
      <w:pPr>
        <w:ind w:left="980" w:right="40" w:hanging="324"/>
        <w:spacing w:after="0" w:line="277" w:lineRule="auto"/>
        <w:tabs>
          <w:tab w:leader="none" w:pos="97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16"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plan to seek regulatory approval of our product candidates outside of the U.S. and, accordingly, we expect that we will be subject to additional risks related to operating in foreign countries if we obtain the necessary approvals, including:</w:t>
      </w:r>
    </w:p>
    <w:p>
      <w:pPr>
        <w:spacing w:after="0" w:line="116"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differing regulatory requirements in foreign countries;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compliance with tax, employment, immigration and labor laws for employees living or traveling abroad;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foreign taxes, including withholding of payroll taxes;</w:t>
      </w:r>
    </w:p>
    <w:p>
      <w:pPr>
        <w:spacing w:after="0" w:line="171" w:lineRule="exact"/>
        <w:rPr>
          <w:rFonts w:ascii="Arial" w:cs="Arial" w:eastAsia="Arial" w:hAnsi="Arial"/>
          <w:sz w:val="18"/>
          <w:szCs w:val="18"/>
          <w:b w:val="1"/>
          <w:bCs w:val="1"/>
          <w:color w:val="auto"/>
        </w:rPr>
      </w:pPr>
    </w:p>
    <w:p>
      <w:pPr>
        <w:ind w:left="980" w:right="340" w:hanging="324"/>
        <w:spacing w:after="0" w:line="277" w:lineRule="auto"/>
        <w:tabs>
          <w:tab w:leader="none" w:pos="975"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difficulties staffing and managing foreign operations;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workforce uncertainty in countries where labor unrest is more common than in the U.S.;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potential liability under the FCPA or comparable foreign regulations;</w:t>
      </w:r>
    </w:p>
    <w:p>
      <w:pPr>
        <w:spacing w:after="0" w:line="171" w:lineRule="exact"/>
        <w:rPr>
          <w:rFonts w:ascii="Arial" w:cs="Arial" w:eastAsia="Arial" w:hAnsi="Arial"/>
          <w:sz w:val="18"/>
          <w:szCs w:val="18"/>
          <w:b w:val="1"/>
          <w:bCs w:val="1"/>
          <w:color w:val="auto"/>
        </w:rPr>
      </w:pPr>
    </w:p>
    <w:p>
      <w:pPr>
        <w:ind w:left="980" w:right="420" w:hanging="324"/>
        <w:spacing w:after="0" w:line="277" w:lineRule="auto"/>
        <w:tabs>
          <w:tab w:leader="none" w:pos="975"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71" w:lineRule="exact"/>
        <w:rPr>
          <w:rFonts w:ascii="Arial" w:cs="Arial" w:eastAsia="Arial" w:hAnsi="Arial"/>
          <w:sz w:val="18"/>
          <w:szCs w:val="18"/>
          <w:b w:val="1"/>
          <w:bCs w:val="1"/>
          <w:color w:val="auto"/>
        </w:rPr>
      </w:pPr>
    </w:p>
    <w:p>
      <w:pPr>
        <w:ind w:left="980" w:right="220" w:hanging="324"/>
        <w:spacing w:after="0" w:line="277" w:lineRule="auto"/>
        <w:tabs>
          <w:tab w:leader="none" w:pos="975"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impact of public health epidemics on the global economy, such as the coronavirus pandemic currently having an impact throughout the world; and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business interruptions resulting from geopolitical actions, including war and terrorism.</w:t>
      </w:r>
    </w:p>
    <w:p>
      <w:pPr>
        <w:spacing w:after="0" w:line="17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are party to a public-private partnership regarding our manufacturing facility in Dunkirk, New York, and if we or our counterparties fail to meet the obligations of those agreements, it could materially impact our development, operations and prospects.</w:t>
      </w:r>
    </w:p>
    <w:p>
      <w:pPr>
        <w:spacing w:after="0" w:line="38"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On February 14, 2022, we acquired a leasehold interest in the Dunkirk Facility from Athenex. The facility is expected to be a state-of-the-art biotech production center that we believe will substantially expand and diversify our existing manufacturing capacity in the U.S.</w:t>
      </w:r>
    </w:p>
    <w:p>
      <w:pPr>
        <w:spacing w:after="0" w:line="1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paid approximately $40.0 million to Athenex, and the leasehold interest in the Dunkirk Facility was transferred to us. Our annual lease payment will be $2.00 per year for an initial 10-year term, with an option to renew the lease under substantially the same terms and conditions for an additional 10-year term. As part of the transaction, we assumed obligations under various third-party agreements, and committed to spend $1.52 billion on operational expenses during the initial term, and an additional $1.50 billion on operational expenses if we elect to renew the lease for the additional 10-year term. We also committed to hiring 450 employees at the Dunkirk Facility within the first 5 years of operations, with 300 such employees to be hired within the first 2.5 years of operation. We are eligible for certain sales-tax exemption savings during the development of the Dunkirk Facility, and certain property tax savings over the next 20 years, subject to certain terms and conditions, including performance of certain of the obligations described above.</w:t>
      </w:r>
    </w:p>
    <w:p>
      <w:pPr>
        <w:spacing w:after="0" w:line="16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we believe that the Dunkirk Facility has construction needs that may require approximately 12 to 18 months to complete in order for it to be used as intended. Consequently, during the third quarter of 2022, we determined to conduct a reduction-in-force of a significant portion of the then-current employees at the Dunkirk Facility, which became effective in late December 2022. The construction period and reduction-in-force may adversely affect our ability to satisfy certain operational obligations described above. In addition, while we believe we are in compliance with all applicable laws and agreements implicated by the reduction-in-force, we could become subject to litigation in connection with these measures.</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potential recoupment of a percentage of the grant funding received by the Seller for construction of the Dunkirk Facility and other benefits received, subject to the terms and conditions of the applicable agreements. If we lose access to the Dunkirk Facility and related leased equipment, it could disrupt our operations and manufacturing activities, cause us to divert resources to finding alternative facilities, which would not have any subsidies, and could have a significant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For example, we were named as a defendant in a lawsuit filed during the fourth quarter of 2022 by Exyte U.S., Inc. (Exyte) in New York state court arising from a construction agreement Exyte entered with Athenex pertaining to construction of the Dunkirk Facility. We believe we are entitled to defense costs and indemnification and, accordingly, we have provided notice to Athenex. We further believe Exyte’s claims against us are without merit, and we intend to defend the claims vigorously. Furthermore, there is no guarantee that the counterparties to our public-private partnerships will comply with the terms of the agreements, including that their ability to fund their capital commitments under the agreements may be subject to their ability to raise additional capital and that further construction or operational timetables may not be met. Public-private partnerships are also subject to risks associated with government and government agency counterparties, including risks related to government relations compliance, sovereign immunity, shifts in the political environment, changing economic and legal conditions and social dynamics.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and Other Government Regulations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 We are, and if we receive regulatory approval of our product candidates, will continue to be subject to ongoing extensive regulation, regulatory obligations and continued regulatory review, which may result in significant additional expense.</w:t>
      </w:r>
    </w:p>
    <w:p>
      <w:pPr>
        <w:spacing w:after="0" w:line="76"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I</w:t>
      </w:r>
      <w:r>
        <w:rPr>
          <w:rFonts w:ascii="Arial" w:cs="Arial" w:eastAsia="Arial" w:hAnsi="Arial"/>
          <w:sz w:val="16"/>
          <w:szCs w:val="16"/>
          <w:color w:val="231F20"/>
        </w:rPr>
        <w:t>n</w:t>
      </w:r>
      <w:r>
        <w:rPr>
          <w:rFonts w:ascii="Arial" w:cs="Arial" w:eastAsia="Arial" w:hAnsi="Arial"/>
          <w:sz w:val="16"/>
          <w:szCs w:val="16"/>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that the FDA had accepted our BLA for review and set a target PDUFA action date of May 23, 2023. It is unclear when the FDA will approve our BLA, if at all. If the FDA requires additional data, finds that the CMC information in the BLA is deficient, disagrees with our interpretation or analysis of clinical data, identifies any deficiency in our clinical data, or finds deficiencies in our pre-approval inspection, we may fail to obtain approval of the BLA for our product candidate, Anktiva in combination with BCG for the treatment of patients with BCG-unresponsive NMIBC with CIS with or without Ta or T1 disease, or approval may be delayed. We have not submitted any other marketing or drug approval applications to the FDA or comparable foreign authorities, for any other product candidate, and we may never receive such regulatory approval for any of our product candidates or regulatory approval that will allow us to successfully commercialize our product candidates. In addition, regulatory agencies may lack experience with our technologies and products, which may lengthen the regulatory review process, increase our development costs and delay or prevent their commercialization.</w:t>
      </w:r>
    </w:p>
    <w:p>
      <w:pPr>
        <w:spacing w:after="0" w:line="17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product candidates.</w:t>
      </w:r>
    </w:p>
    <w:p>
      <w:pPr>
        <w:spacing w:after="0" w:line="16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2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however a failure or delay in obtaining regulatory approval in one jurisdiction may have a negative effect on the regulatory approval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and/or fail to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jc w:val="both"/>
        <w:ind w:right="30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our product candidate, Anktiva in combination with BCG for the treatment of patients with NMIBC with CIS with or without Ta or T1 disease, or any other product candidates, they will be subject to ongoing regulatory requirements, which may result in significant additional expenses. Additionally, our product candidates, if approved, could be subject to labeling and other restrictions, and we may be subject to penalties if we fail to comply with regulatory requirements or experience unanticipated problems with our product candidates</w:t>
      </w:r>
      <w:r>
        <w:rPr>
          <w:rFonts w:ascii="Arial" w:cs="Arial" w:eastAsia="Arial" w:hAnsi="Arial"/>
          <w:sz w:val="15"/>
          <w:szCs w:val="15"/>
          <w:b w:val="1"/>
          <w:bCs w:val="1"/>
          <w:color w:val="auto"/>
        </w:rPr>
        <w:t>.</w:t>
      </w:r>
    </w:p>
    <w:p>
      <w:pPr>
        <w:spacing w:after="0" w:line="3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will be subject to extensive and ongoing regulatory requirements. These requirements include submissions of safety and other post-marketing information and reports, including reporting of certain adverse events as well as continued compliance with cGMP for the drug products, and GCP for any clinical trials that we conduct post-approval.</w:t>
      </w:r>
    </w:p>
    <w:p>
      <w:pPr>
        <w:spacing w:after="0" w:line="16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92"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holds on clinical trials;</w:t>
      </w:r>
    </w:p>
    <w:p>
      <w:pPr>
        <w:spacing w:after="0" w:line="171" w:lineRule="exact"/>
        <w:rPr>
          <w:rFonts w:ascii="Arial" w:cs="Arial" w:eastAsia="Arial" w:hAnsi="Arial"/>
          <w:sz w:val="18"/>
          <w:szCs w:val="18"/>
          <w:b w:val="1"/>
          <w:bCs w:val="1"/>
          <w:color w:val="auto"/>
        </w:rPr>
      </w:pPr>
    </w:p>
    <w:p>
      <w:pPr>
        <w:ind w:left="980" w:right="120" w:hanging="324"/>
        <w:spacing w:after="0" w:line="277" w:lineRule="auto"/>
        <w:tabs>
          <w:tab w:leader="none" w:pos="97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imposition of a REMS, which may include distribution or use restrictions;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requirements to conduct additional post-market clinical trials to assess the safety of the product;</w:t>
      </w:r>
    </w:p>
    <w:p>
      <w:pPr>
        <w:spacing w:after="0" w:line="171" w:lineRule="exact"/>
        <w:rPr>
          <w:rFonts w:ascii="Arial" w:cs="Arial" w:eastAsia="Arial" w:hAnsi="Arial"/>
          <w:sz w:val="18"/>
          <w:szCs w:val="18"/>
          <w:b w:val="1"/>
          <w:bCs w:val="1"/>
          <w:color w:val="auto"/>
        </w:rPr>
      </w:pPr>
    </w:p>
    <w:p>
      <w:pPr>
        <w:ind w:left="980" w:right="560" w:hanging="324"/>
        <w:spacing w:after="0" w:line="277" w:lineRule="auto"/>
        <w:tabs>
          <w:tab w:leader="none" w:pos="97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82" w:lineRule="exact"/>
        <w:rPr>
          <w:rFonts w:ascii="Arial" w:cs="Arial" w:eastAsia="Arial" w:hAnsi="Arial"/>
          <w:sz w:val="17"/>
          <w:szCs w:val="17"/>
          <w:b w:val="1"/>
          <w:bCs w:val="1"/>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fines, warning or untitled letters;</w:t>
      </w:r>
    </w:p>
    <w:p>
      <w:pPr>
        <w:spacing w:after="0" w:line="171"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refusal by the FDA to approve pending applications or supplements to approved applications submitted by us, or withdrawal of product approvals;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product seizure or detention, or refusal to permit the import or export of product candidates;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we may not be successful commercializing our product candidates if and when they are approved.</w:t>
      </w:r>
    </w:p>
    <w:p>
      <w:pPr>
        <w:spacing w:after="0" w:line="6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are in the process of implementing our sales and marketing personnel hiring plan and building out key commercialization infrastructure. To achieve commercial success for any product for which we have obtained marketing approval, we will need to establish a sales and marketing team.</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expect to build a focused sales and marketing infrastructure to market our product candidate, Anktiva in combination with BCG for the treatment of patients with BCG-unresponsive NMIBC with CIS with or without Ta or T1 disease, and potentially other product candidates in the U.S., if and when they are approved. 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 candidates, if approved, on our own include:</w:t>
      </w:r>
    </w:p>
    <w:p>
      <w:pPr>
        <w:spacing w:after="0" w:line="171" w:lineRule="exact"/>
        <w:rPr>
          <w:sz w:val="20"/>
          <w:szCs w:val="20"/>
          <w:color w:val="auto"/>
        </w:rPr>
      </w:pPr>
    </w:p>
    <w:p>
      <w:pPr>
        <w:ind w:left="980" w:right="40" w:hanging="324"/>
        <w:spacing w:after="0" w:line="277" w:lineRule="auto"/>
        <w:tabs>
          <w:tab w:leader="none" w:pos="97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inability of sales personnel to obtain access to physicians or increase market acceptable of our approved product;</w:t>
      </w:r>
    </w:p>
    <w:p>
      <w:pPr>
        <w:spacing w:after="0" w:line="171"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inability of reimbursement professionals to negotiate arrangements for coverage or adequate reimbursement by payors for our approved products;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inability to price our product candidates at a sufficient price point to ensure an adequate and attractive level of profitability;</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restricted or closed distribution channels that make it difficult to distribute our product candidates to segments of the patient population; and</w:t>
      </w:r>
    </w:p>
    <w:p>
      <w:pPr>
        <w:spacing w:after="0" w:line="194" w:lineRule="exact"/>
        <w:rPr>
          <w:rFonts w:ascii="Arial" w:cs="Arial" w:eastAsia="Arial" w:hAnsi="Arial"/>
          <w:sz w:val="16"/>
          <w:szCs w:val="16"/>
          <w:b w:val="1"/>
          <w:bCs w:val="1"/>
          <w:color w:val="auto"/>
        </w:rPr>
      </w:pPr>
    </w:p>
    <w:p>
      <w:pPr>
        <w:ind w:left="980" w:hanging="324"/>
        <w:spacing w:after="0"/>
        <w:tabs>
          <w:tab w:leader="none" w:pos="9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Problems related to large-scale commercial manufacturing could cause delays in product launches, an increase in costs or shortages of product candidates.</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Manufacturing finished drug products, especially in large quantities, is complex. If our product candidates receive regulatory approval, they will require several manufacturing steps and may involve complex techniques to assure quality and sufficient quantity, especially as the manufacturing scale increases. Our product candidates will need to be made consistently and in compliance with a clearly defined manufacturing process pursuant to FDA regulations. Accordingly, it will be essential to be able to validate and control the manufacturing process to assure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lead to delays in our clinical trials or result in litigation or regulatory action. Such actions would hinder our ability to meet contractual obligations and could cause material adverse consequences for our business.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 For example, our GMP-in-a-Box will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6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r>
      <w:r>
        <w:rPr>
          <w:rFonts w:ascii="MS PGothic" w:cs="MS PGothic" w:eastAsia="MS PGothic" w:hAnsi="MS PGothic"/>
          <w:sz w:val="18"/>
          <w:szCs w:val="18"/>
          <w:color w:val="auto"/>
        </w:rPr>
        <w:t>‑</w:t>
      </w:r>
      <w:r>
        <w:rPr>
          <w:rFonts w:ascii="Arial" w:cs="Arial" w:eastAsia="Arial" w:hAnsi="Arial"/>
          <w:sz w:val="18"/>
          <w:szCs w:val="18"/>
          <w:color w:val="auto"/>
        </w:rPr>
        <w:t>consuming, complex and uncertain. For instance, before a new medical device, or a new intended use for an existing device, can be marketed in the U.S., a company must first submit and receive either 510(k) clearance or pre-marketing approval from the FDA, unless an exemption applies.</w:t>
      </w:r>
    </w:p>
    <w:p>
      <w:pPr>
        <w:spacing w:after="0" w:line="20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and similar agencies have significant pre- and post-market authority, including requirements related to product design, development, testing, laboratory and clinical trials and preclinical studies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cGMP under Quality Systems Regulations;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2 medical devices are also subject to special controls, including adherence to a particular guidance document and compliance with the performance standard. Instead of obtaining 510(k) clearance, most Class 3 devices are subject to premarket approval (PMA).</w:t>
      </w:r>
    </w:p>
    <w:p>
      <w:pPr>
        <w:spacing w:after="0" w:line="16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FDA can also refuse to clear or approve pre-market applications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spacing w:after="0" w:line="18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If the FDA or comparable foreign regulatory authorities become aware of new safety information or previously unknown problems after approval of any of our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any of these events were to occur, it would have a material and adverse effect on our business, financial condition and results of operations.</w:t>
      </w:r>
    </w:p>
    <w:p>
      <w:pPr>
        <w:spacing w:after="0" w:line="35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Results for any patient who receives compassionate use access to our product candidates should not be viewed as representative of how the product candidate will perform in a well-controlled clinical trial, and cannot be used to establish safety or efficacy for regulatory approval.</w:t>
      </w:r>
    </w:p>
    <w:p>
      <w:pPr>
        <w:spacing w:after="0" w:line="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often receive requests for compassionate use access to our investigational drugs by patients that do not meet the entry criteria for enrollment into our clinical trials. Generally, patients requesting compassionate use have no other treatment alternatives for life 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we are seeking approval. The results of our compassionate use program may not be used to establish safety or efficacy or regulatory approval.</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are and will be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and/or civil liability and other serious consequences for violations, which can harm our business.</w:t>
      </w:r>
    </w:p>
    <w:p>
      <w:pPr>
        <w:spacing w:after="0" w:line="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 candidates will be subject to export control and import laws and regulations, including the U.S. Export Administration Regulations, U.S. Customs regulations and various economic and trade sanctions regulations administered by the U.S. Treasury Department’s Office of Foreign Assets Controls, the FCPA, the U.S. domestic bribery statute contained in 18 U.S.C.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use CROs abroad for clinical trials. In addition, we may engage third-party intermediaries to sell our product candidates and solutions abroad once we enter a commercialization phase for our product candidates and/or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if we fail to comply with these laws and regulations, we and certain of our employees could be subject to substantial civil or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adopted an anti-corruption policy, which mandates compliance with the FCPA and other anti-corruption laws applicable to our business throughout the world. However, there can be no assurance that our employees and third-party intermediaries will comply with this policy or such anti-corruption laws. Non-compliance with anti-corruption and anti-money laundering laws could subject us to whistleblower complaints, investigations, sanctions, settlements, prosecution, other investigations, or other enforcement actions. If such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national and/or international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There are numerous laws and legislative and regulatory initiatives at the federal and state levels addressing privacy and security concerns, and some state privacy laws apply more broadly than HIPAA and associated regulations. For example, California recently enacted legislation—the California Consumer Privacy Act of 2018 (CCPA)—which went into effect on January 1, 2020. The CCPA, among other things, creates new data privacy and security obligations for covered companies and provides new privacy rights to California consumers, including the right to opt out of certain disclosures of their information. The CCPA also provides for civil penalties as well as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our processing of personal information depending on the context. Additionally, a new privacy law, the California Privacy Rights Act (CPRA), was approved by California voters in November 2020 and went into effect in most material respects on January 1, 2023. The CPRA significantly modified the CCPA, which may require us to modify our practices and policies and may further increase our compliance costs and potential liability. 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and Colorado. These laws could mark the beginning of a trend toward more stringent privacy legislation in other U.S. states and have prompted a number of proposals for new federal and state-level privacy legislation. To the extent these state laws as well as other federal and state privacy laws, including new laws and changes in existing laws, apply to our business and operations, our compliance costs and potential liability with respect to personal information we collect could expose us to great liability and increase compliance costs.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are also various laws and regulations in other jurisdictions relating to privacy and security. For example, European Union (EU) member states and other foreign jurisdictions, including Switzerland, have adopted data protection laws and regulations which impose significant compliance obligations on us. The collection and use of health data in the EU is governed by the EU General Data Protection Regulation (GDPR). The GDPR, which is wide-ranging in scope and applies extraterritorially, imposes several requirements relating to the consent of the individuals to whom the personal data relates, the information provided to such individuals, the security and confidentiality of the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an enforcement authority and imposes large penalties for noncompliance, including the potential for fines of up to €20 million or up to 4% of the total worldwide annual global revenues of the noncompliant entity, whichever is greater. The GDPR requirements apply not only to third-party transactions, but also to transfers of information between us and our subsidiaries, including employee information. In addition, in January 2021, following its exit from the EU, the UK transposed the GDPR into its domestic law with its own version of the GDPR (combining the GDPR and the UK Data Protection Act of 2018) (UK GDPR), which currently imposes the same obligations as the GDPR in most material respects and provides for fines of up £17.5 million or up to 4% of the total worldwide annual global revenues of the noncompliant entity, whichever is greater.</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recent implementation of the CCPA, GDPR and UK GDPR has increased our responsibility and liability in relation to personal data that we process, including in clinical trials, and we may in the future be required to put in place additional mechanisms to ensure compliance with the CCPA, GDPR, UK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United Kingdom, the EU and other jurisdictions, and we cannot determine the impact such future laws, regulations and standards may have on our business.</w:t>
      </w:r>
    </w:p>
    <w:p>
      <w:pPr>
        <w:spacing w:after="0" w:line="17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6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product candidates unless coverage is provided, and reimbursement is adequate to cover a significant portion of the cost of our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product candidates represent new approaches to the treatment of cancer, we cannot accurately estimate the potential revenues from our product candidates.</w:t>
      </w:r>
    </w:p>
    <w:p>
      <w:pPr>
        <w:spacing w:after="0" w:line="20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products, if any, as cost-effective, and coverage and reimbursement may not be available to our customers, or those of our collaborators, or may not be sufficient to allow our products, if any, to be marketed on a competitive basis. If reimbursement is not available, or is available only to limited levels, our product candidates may be competitively disadvantaged, and we, or our collaborators, may not be able to successfully commercialize our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11"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 covered benefit under its health plan;</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safe, effective and medically necessary;</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appropriate for the specific patient;</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cost-effective;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is considering legislation that, if passed, could have significant impact on prices of prescription drugs covered by Medicare, including limitations on drug price increases.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1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 BLA or NDA, in the form of mandatory additional rebates and/or discounts if commercial prices increase at a rate greater than the Consumer Price Index-Urban, and these rebates and/or discounts, which can be substantial, may impact our ability to raise commercial prices.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Cost control initiatives could cause us, or our collaborators, to decrease, discount, or rebate a portion of the price we, or they, might establish for products, which could result in lower than anticipated product revenues. If the realized prices for our product candidates, if any, decrease or if governmental and other third-party payors do not provide adequate coverage or reimbursement, our prospects for revenues and profitability will suffer.</w:t>
      </w:r>
    </w:p>
    <w:p>
      <w:pPr>
        <w:spacing w:after="0" w:line="18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3"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demand for our product candidates, if we obtain regulatory approval;</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our ability to set a price that we believe is fair for our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our ability to generate revenues and achieve or maintain profitability;</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level of taxes that we are required to pay;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availability of capital.</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spacing w:after="0" w:line="16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Since enactment of the Affordable Care Act (ACA) in 2010, in both the U.S. and certain foreign jurisdictions, there have been a number of legislative and regulatory changes to the health care system that could impact our ability to sell our product candidates profitably. These changes included aggregate reductions of Medicare payments to providers of up to 2% per fiscal year, effective April 1, 2013, which, due to subsequent legislative amendments, will stay in effect through 2031, with the exception of a temporary suspension implemented under various COVID</w:t>
      </w:r>
      <w:r>
        <w:rPr>
          <w:rFonts w:ascii="MS PGothic" w:cs="MS PGothic" w:eastAsia="MS PGothic" w:hAnsi="MS PGothic"/>
          <w:sz w:val="17"/>
          <w:szCs w:val="17"/>
          <w:color w:val="auto"/>
        </w:rPr>
        <w:t>‑</w:t>
      </w:r>
      <w:r>
        <w:rPr>
          <w:rFonts w:ascii="Arial" w:cs="Arial" w:eastAsia="Arial" w:hAnsi="Arial"/>
          <w:sz w:val="17"/>
          <w:szCs w:val="17"/>
          <w:color w:val="auto"/>
        </w:rPr>
        <w:t>19 relief legislation from May 1, 2020 through March 31, 2022. Under current legislation, the actual reduction in Medicare payments can vary from 1% in 2022 to up to 4% in the final fiscal year of this sequester. In January 2013, the American Taxpayer Relief Act of 2012 (ATRA)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product candidates, if approved, and accordingly, our financial operations.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Since its enactment, various portions of the ACA have been subject to judicial and constitutional challenges. In June 2021, the U.S.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the Biden administration will impact our business, financial condition and results of operations. Complying with any new legislation or reversing changes implemented under the ACA could be time-intensive and expensive, resulting in a material adverse effect on our business.</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product candidates.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U.S. tend to impose strict price controls, which may adversely affect our revenues, if any.</w:t>
      </w:r>
    </w:p>
    <w:p>
      <w:pPr>
        <w:spacing w:after="0" w:line="11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candidates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principal investigators, CROs,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 candidates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r>
      <w:r>
        <w:rPr>
          <w:rFonts w:ascii="MS PGothic" w:cs="MS PGothic" w:eastAsia="MS PGothic" w:hAnsi="MS PGothic"/>
          <w:sz w:val="17"/>
          <w:szCs w:val="17"/>
          <w:color w:val="auto"/>
        </w:rPr>
        <w:t>‑</w:t>
      </w:r>
      <w:r>
        <w:rPr>
          <w:rFonts w:ascii="Arial" w:cs="Arial" w:eastAsia="Arial" w:hAnsi="Arial"/>
          <w:sz w:val="17"/>
          <w:szCs w:val="17"/>
          <w:color w:val="auto"/>
        </w:rPr>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data security laws. If we are unable to comply, or have not fully complied, with such laws, we could face significant penalties and liabilities.</w:t>
      </w:r>
    </w:p>
    <w:p>
      <w:pPr>
        <w:spacing w:after="0" w:line="7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operations and activities may be directly or indirectly subject to various federal and state fraud and abuse laws, including, without limitation, the federal Anti-Kickback Statute and the federal False Claims Act. If we obtain FDA approval for any of our product candidates and begin commercializing those product candidates in the U.S., our potential exposure under such laws will increase significantly, and our costs associated with compliance with such laws are also likely to increase.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data security with respect to patient information. The laws that may affect our ability to operate include, but are not limited to:</w:t>
      </w:r>
    </w:p>
    <w:p>
      <w:pPr>
        <w:spacing w:after="0" w:line="111" w:lineRule="exact"/>
        <w:rPr>
          <w:sz w:val="20"/>
          <w:szCs w:val="20"/>
          <w:color w:val="auto"/>
        </w:rPr>
      </w:pPr>
    </w:p>
    <w:p>
      <w:pPr>
        <w:ind w:left="980" w:right="40" w:hanging="324"/>
        <w:spacing w:after="0" w:line="286" w:lineRule="auto"/>
        <w:tabs>
          <w:tab w:leader="none" w:pos="975"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980" w:right="300" w:hanging="324"/>
        <w:spacing w:after="0" w:line="259" w:lineRule="auto"/>
        <w:tabs>
          <w:tab w:leader="none" w:pos="975"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U.S. federal false claims and civil monetary penalties laws, including the federal civil False Claims Act,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w:t>
      </w:r>
    </w:p>
    <w:p>
      <w:pPr>
        <w:spacing w:after="0" w:line="132" w:lineRule="exact"/>
        <w:rPr>
          <w:rFonts w:ascii="Arial" w:cs="Arial" w:eastAsia="Arial" w:hAnsi="Arial"/>
          <w:sz w:val="18"/>
          <w:szCs w:val="18"/>
          <w:b w:val="1"/>
          <w:bCs w:val="1"/>
          <w:color w:val="auto"/>
        </w:rPr>
      </w:pPr>
    </w:p>
    <w:p>
      <w:pPr>
        <w:ind w:left="980" w:right="40" w:hanging="324"/>
        <w:spacing w:after="0" w:line="277" w:lineRule="auto"/>
        <w:tabs>
          <w:tab w:leader="none" w:pos="975"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HIPAA, which created additional federal criminal statutes that prohibit, among other things, knowingly and willfully executing or attempting to execute a scheme to defraud healthcare programs;</w:t>
      </w:r>
    </w:p>
    <w:p>
      <w:pPr>
        <w:spacing w:after="0" w:line="116" w:lineRule="exact"/>
        <w:rPr>
          <w:rFonts w:ascii="Arial" w:cs="Arial" w:eastAsia="Arial" w:hAnsi="Arial"/>
          <w:sz w:val="18"/>
          <w:szCs w:val="18"/>
          <w:b w:val="1"/>
          <w:bCs w:val="1"/>
          <w:color w:val="auto"/>
        </w:rPr>
      </w:pPr>
    </w:p>
    <w:p>
      <w:pPr>
        <w:ind w:left="980" w:hanging="324"/>
        <w:spacing w:after="0" w:line="263" w:lineRule="auto"/>
        <w:tabs>
          <w:tab w:leader="none" w:pos="975"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HIPAA, as amended by HITECH, which imposes requirements on certain types of people and entities relating to the privacy, security, and transmission of individually identifiable PHI, and requires notification to affected individuals and regulatory authorities of certain breaches of security of PHI;</w:t>
      </w:r>
    </w:p>
    <w:p>
      <w:pPr>
        <w:spacing w:after="0" w:line="129" w:lineRule="exact"/>
        <w:rPr>
          <w:rFonts w:ascii="Arial" w:cs="Arial" w:eastAsia="Arial" w:hAnsi="Arial"/>
          <w:sz w:val="18"/>
          <w:szCs w:val="18"/>
          <w:b w:val="1"/>
          <w:bCs w:val="1"/>
          <w:color w:val="auto"/>
        </w:rPr>
      </w:pPr>
    </w:p>
    <w:p>
      <w:pPr>
        <w:ind w:left="980" w:right="320" w:hanging="324"/>
        <w:spacing w:after="0" w:line="273" w:lineRule="auto"/>
        <w:tabs>
          <w:tab w:leader="none" w:pos="975"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the federal Physician Payment Sunshine Act, which requires certain manufacturers of drugs, devices, biologics and medical supplies for which payment is available under Medicare, Medicaid, or the Children’s Health Insurance Program, to report annually to the Centers for Medicare &amp; Medicaid Services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w:t>
      </w:r>
    </w:p>
    <w:p>
      <w:pPr>
        <w:spacing w:after="0" w:line="123" w:lineRule="exact"/>
        <w:rPr>
          <w:rFonts w:ascii="Arial" w:cs="Arial" w:eastAsia="Arial" w:hAnsi="Arial"/>
          <w:sz w:val="17"/>
          <w:szCs w:val="17"/>
          <w:b w:val="1"/>
          <w:bCs w:val="1"/>
          <w:color w:val="auto"/>
        </w:rPr>
      </w:pPr>
    </w:p>
    <w:p>
      <w:pPr>
        <w:ind w:left="980" w:right="360" w:hanging="324"/>
        <w:spacing w:after="0" w:line="277" w:lineRule="auto"/>
        <w:tabs>
          <w:tab w:leader="none" w:pos="975"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federal criminal laws that prohibit executing a scheme to defraud any healthcare benefit program or making, or causing to be made, false statements relating to healthcare matters;</w:t>
      </w:r>
    </w:p>
    <w:p>
      <w:pPr>
        <w:spacing w:after="0" w:line="116" w:lineRule="exact"/>
        <w:rPr>
          <w:rFonts w:ascii="Arial" w:cs="Arial" w:eastAsia="Arial" w:hAnsi="Arial"/>
          <w:sz w:val="18"/>
          <w:szCs w:val="18"/>
          <w:b w:val="1"/>
          <w:bCs w:val="1"/>
          <w:color w:val="auto"/>
        </w:rPr>
      </w:pPr>
    </w:p>
    <w:p>
      <w:pPr>
        <w:ind w:left="980" w:right="160" w:hanging="324"/>
        <w:spacing w:after="0" w:line="263" w:lineRule="auto"/>
        <w:tabs>
          <w:tab w:leader="none" w:pos="975"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FCPA, the U.K. Bribery Act of 2010, and other local anti-corruption laws that apply to our international activities; and</w:t>
      </w:r>
    </w:p>
    <w:p>
      <w:pPr>
        <w:spacing w:after="0" w:line="171" w:lineRule="exact"/>
        <w:rPr>
          <w:rFonts w:ascii="Arial" w:cs="Arial" w:eastAsia="Arial" w:hAnsi="Arial"/>
          <w:sz w:val="18"/>
          <w:szCs w:val="18"/>
          <w:b w:val="1"/>
          <w:bCs w:val="1"/>
          <w:color w:val="auto"/>
        </w:rPr>
      </w:pPr>
    </w:p>
    <w:p>
      <w:pPr>
        <w:ind w:left="980" w:hanging="324"/>
        <w:spacing w:after="0" w:line="291" w:lineRule="auto"/>
        <w:tabs>
          <w:tab w:leader="none" w:pos="975"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data privacy and security. Other state laws require pharmaceutical companies to comply with the pharmaceutical industry’s voluntary compliance guidelines and the relevant compliance guidance promulgated by the federal government; require drug manufacturers to report information related to payments and other transfers of value to physicians and other healthcare providers or marketing expenditures; and state and foreign laws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protection and other proprietary rights for our product candidates and technologies, we may not be able to compete effectively or operate profitably and our ability to prevent our competitors from commercializing similar or identical technology and product candidates would be adversely affected.</w:t>
      </w:r>
    </w:p>
    <w:p>
      <w:pPr>
        <w:spacing w:after="0" w:line="7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success is dependent in large part on our obtaining, maintaining, protecting and enforcing patents and other proprietary rights in the U.S. and other countries with respect to our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spacing w:after="0" w:line="18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N-803, saRNA, hAd5 and yeast technologies, cell-based therapies, aldoxorubicin or other product candidates and technologies or that effectively prevent others from commercializing competitive technologies and product candidates.</w:t>
      </w:r>
    </w:p>
    <w:p>
      <w:pPr>
        <w:spacing w:after="0" w:line="16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N-803, saRNA, hAd5 and yeast technologies,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2"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even if we were successful in stopping the violation of our patent rights.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We or our licensors may be subject to a third-party preissuance submission of prior art to the USPTO, or become involved in opposition, derivation,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that challenge our or our licensor’s priority of invention or other features of patentability with respect to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N-803, saRNA, hAd5 and yeast technologies, cell-based therapies or other product candidates and technologies. An adverse determination in any such submission, proceeding or litigation could reduce the scope of, or invalidate or render unenforceable,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allow third parties to commercialize our N-803, saRNA, hAd5 and yeast technologies, cell-based therapies or other product candidates or technologies and compete directly with us, without payment to us, or result in our inability to manufacture or commercialize products without infringing third-party patent rights.</w:t>
      </w:r>
    </w:p>
    <w:p>
      <w:pPr>
        <w:spacing w:after="0" w:line="1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spacing w:after="0" w:line="16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third parties, and such cooperation may not be provided to us. Any of the foregoing could have a material adverse effect on our competitive position, business, financial conditions, results of operations and growth prospects.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any of our owned or in-licensed patent applications do not issue as patents in any jurisdiction, we may not be able to compete effectively.</w:t>
      </w:r>
    </w:p>
    <w:p>
      <w:pPr>
        <w:spacing w:after="0" w:line="14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7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b w:val="1"/>
          <w:bCs w:val="1"/>
          <w:i w:val="1"/>
          <w:iCs w:val="1"/>
          <w:color w:val="auto"/>
        </w:rPr>
        <w:t>We or our licensors, collaborators, or any future strategic partners may become subject to third-</w:t>
      </w:r>
      <w:r>
        <w:rPr>
          <w:rFonts w:ascii="Arial" w:cs="Arial" w:eastAsia="Arial" w:hAnsi="Arial"/>
          <w:sz w:val="18"/>
          <w:szCs w:val="18"/>
          <w:b w:val="1"/>
          <w:bCs w:val="1"/>
          <w:i w:val="1"/>
          <w:iCs w:val="1"/>
          <w:color w:val="231F20"/>
        </w:rPr>
        <w:t>party claims or litigation alleging infringement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31F20"/>
        </w:rPr>
        <w:t xml:space="preserve">patents or other proprietary rights or seeking to invalidate patents or other proprietary rights, and we may need to resort to litigation </w:t>
      </w:r>
      <w:r>
        <w:rPr>
          <w:rFonts w:ascii="Arial" w:cs="Arial" w:eastAsia="Arial" w:hAnsi="Arial"/>
          <w:sz w:val="18"/>
          <w:szCs w:val="18"/>
          <w:b w:val="1"/>
          <w:bCs w:val="1"/>
          <w:i w:val="1"/>
          <w:iCs w:val="1"/>
          <w:color w:val="000000"/>
        </w:rPr>
        <w:t>to protect or</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8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w:t>
      </w:r>
    </w:p>
    <w:p>
      <w:pPr>
        <w:spacing w:after="0" w:line="19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adverse result in any litigation or defense proceeding could put one or more of our owned or licensed patents at risk of being invalidated, held unenforceable, or interpreted narrowly, and could put our patent applications at risk of not issuing.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spacing w:after="0" w:line="28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The use of our technology and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candidates and technologies.</w:t>
      </w:r>
    </w:p>
    <w:p>
      <w:pPr>
        <w:spacing w:after="0" w:line="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product candidates, pay licensing fees or cease our development and commercialization activities with respect to the applicable product candidates or technologies. If our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Although we have conducted freedom-to-operate (FTO) analyses of the patent landscape with respect to our lead product candidates and continue to undertake FTO analyses of our manufacturing processes, our product candidate, Anktiva in combination with BCG for the treatment of patients with BCG-unresponsive NMIBC with CIS with or without Ta or T1 disease, and contemplated future processes and products, because patent applications do not publish for 18 months, and because the claims of patent applications can change over time, no FTO analysis can be considered exhaustive. We may not be aware of patents that have already been issued and that a competitor or other third party might assert are infringed by our current or future product candidates or technologies. It is also possible that we could be found to have infringed patents owned by third parties of which we are aware, but which we do not believe are relevant to our product candidates or technologies. In addition, because patent applications can take many years to issue, there may be currently pending patent applications that may later result in issued patents that our product candidates or technologies may infringe.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6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As is the case with other immunotherapy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inter parte</w:t>
      </w:r>
      <w:r>
        <w:rPr>
          <w:rFonts w:ascii="Arial" w:cs="Arial" w:eastAsia="Arial" w:hAnsi="Arial"/>
          <w:sz w:val="17"/>
          <w:szCs w:val="17"/>
          <w:color w:val="auto"/>
        </w:rPr>
        <w:t>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Additionally,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 foregoing, we cannot predict how future decisions by Congress, the federal courts or the USPTO may impact the value of our patents.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6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will rely on licenses to certain patent rights and proprietary technology from third parties that are important or necessary to the development of aldoxorubicin as well as products enabled by our adenoviral and yeast, including Tarmogen, vaccine technologies, and saRNA technology.</w:t>
      </w:r>
    </w:p>
    <w:p>
      <w:pPr>
        <w:spacing w:after="0" w:line="12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License agreements may not provide exclusive rights to use certain licensed intellectual property and technology in all relevant fields of use and in all territories in which we may wish to develop or commercialize our technology and product candidates in the future. As a result, we may not be able to prevent competitors or other third parties from developing and commercializing competitive products that also utilizes technology that we have in-licensed.</w:t>
      </w:r>
    </w:p>
    <w:p>
      <w:pPr>
        <w:spacing w:after="0" w:line="14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N-803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certain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in-licensed intellectual property was funded in part by the U.S. government. As a result, the U.S. government may have certain rights to such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property. When new technologies are developed with U.S. government funding, the U.S. government generally obtains certain rights in any resulting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patents, including a non-exclusive license authorizing the U.S. government to use the invention or to have others use the invention on its behalf.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government’s rights may also permit it to disclose the funded inventions and technology to third parties and to exercise march-in rights to use or allow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parties to use the technology we have licensed that was developed using U.S. government funding. The U.S. government may exercise its march-in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if it determines that action is necessary because we fail to achieve practical application of the government-funded technology, or because action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alleviate health or safety needs, to meet requirements of federal regulations, or to give preference to U.S. industry. In addition, our rights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inventions may be subject to certain requirements to manufacture products embodying such inventions in the U.S. in certain circumstances if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is not waived. Any exercise by the U.S. government of such rights or by any third party of its reserved rights could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on our competitive position, business, financial condition, results of operations and growth prospects.</w:t>
      </w:r>
    </w:p>
    <w:p>
      <w:pPr>
        <w:spacing w:after="0" w:line="31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spacing w:after="0" w:line="7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N-803. Any of the foregoing could have a material adverse effect on our competitive position, business, financial conditions, results of operations and growth prospects.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71"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94" w:lineRule="exact"/>
        <w:rPr>
          <w:rFonts w:ascii="Arial" w:cs="Arial" w:eastAsia="Arial" w:hAnsi="Arial"/>
          <w:sz w:val="16"/>
          <w:szCs w:val="16"/>
          <w:b w:val="1"/>
          <w:bCs w:val="1"/>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sublicensing of patent and other rights under our collaborative development relationships;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71"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in various jurisdictions throughout the world.</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16" w:lineRule="exact"/>
        <w:rPr>
          <w:sz w:val="20"/>
          <w:szCs w:val="20"/>
          <w:color w:val="auto"/>
        </w:rPr>
      </w:pPr>
    </w:p>
    <w:p>
      <w:pPr>
        <w:jc w:val="both"/>
        <w:ind w:right="100" w:firstLine="648"/>
        <w:spacing w:after="0" w:line="296" w:lineRule="auto"/>
        <w:rPr>
          <w:sz w:val="20"/>
          <w:szCs w:val="20"/>
          <w:color w:val="auto"/>
        </w:rPr>
      </w:pPr>
      <w:r>
        <w:rPr>
          <w:rFonts w:ascii="Arial" w:cs="Arial" w:eastAsia="Arial" w:hAnsi="Arial"/>
          <w:sz w:val="16"/>
          <w:szCs w:val="16"/>
          <w:color w:val="auto"/>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61"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or acquire new or necessary intellectual property rights or technology from third parties.</w:t>
      </w:r>
    </w:p>
    <w:p>
      <w:pPr>
        <w:spacing w:after="0" w:line="11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owned or in-licensed U.S. patents may be eligible for limited patent term extension under the Drug Price Competition and Patent Term Restoration Act of 1984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rights in our patents and other intellectual property.</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addition to seeking patents for N-803, saRNA, hAd5 and yeast technologies,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980" w:right="32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116" w:lineRule="exact"/>
        <w:rPr>
          <w:rFonts w:ascii="Arial" w:cs="Arial" w:eastAsia="Arial" w:hAnsi="Arial"/>
          <w:sz w:val="18"/>
          <w:szCs w:val="18"/>
          <w:b w:val="1"/>
          <w:bCs w:val="1"/>
          <w:color w:val="auto"/>
        </w:rPr>
      </w:pPr>
    </w:p>
    <w:p>
      <w:pPr>
        <w:ind w:left="980" w:right="34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16" w:lineRule="exact"/>
        <w:rPr>
          <w:rFonts w:ascii="Arial" w:cs="Arial" w:eastAsia="Arial" w:hAnsi="Arial"/>
          <w:sz w:val="18"/>
          <w:szCs w:val="18"/>
          <w:b w:val="1"/>
          <w:bCs w:val="1"/>
          <w:color w:val="auto"/>
        </w:rPr>
      </w:pPr>
    </w:p>
    <w:p>
      <w:pPr>
        <w:ind w:left="980" w:right="16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116" w:lineRule="exact"/>
        <w:rPr>
          <w:rFonts w:ascii="Arial" w:cs="Arial" w:eastAsia="Arial" w:hAnsi="Arial"/>
          <w:sz w:val="18"/>
          <w:szCs w:val="18"/>
          <w:b w:val="1"/>
          <w:bCs w:val="1"/>
          <w:color w:val="auto"/>
        </w:rPr>
      </w:pPr>
    </w:p>
    <w:p>
      <w:pPr>
        <w:ind w:left="980" w:right="30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71" w:lineRule="exact"/>
        <w:rPr>
          <w:rFonts w:ascii="Arial" w:cs="Arial" w:eastAsia="Arial" w:hAnsi="Arial"/>
          <w:sz w:val="18"/>
          <w:szCs w:val="18"/>
          <w:b w:val="1"/>
          <w:bCs w:val="1"/>
          <w:color w:val="auto"/>
        </w:rPr>
      </w:pPr>
    </w:p>
    <w:p>
      <w:pPr>
        <w:ind w:left="980" w:right="2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16" w:lineRule="exact"/>
        <w:rPr>
          <w:rFonts w:ascii="Arial" w:cs="Arial" w:eastAsia="Arial" w:hAnsi="Arial"/>
          <w:sz w:val="18"/>
          <w:szCs w:val="18"/>
          <w:b w:val="1"/>
          <w:bCs w:val="1"/>
          <w:color w:val="auto"/>
        </w:rPr>
      </w:pPr>
    </w:p>
    <w:p>
      <w:pPr>
        <w:ind w:left="980" w:right="160" w:hanging="324"/>
        <w:spacing w:after="0" w:line="342" w:lineRule="auto"/>
        <w:tabs>
          <w:tab w:leader="none" w:pos="975"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9" w:lineRule="exact"/>
        <w:rPr>
          <w:rFonts w:ascii="Arial" w:cs="Arial" w:eastAsia="Arial" w:hAnsi="Arial"/>
          <w:sz w:val="16"/>
          <w:szCs w:val="16"/>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b w:val="1"/>
          <w:bCs w:val="1"/>
          <w:color w:val="auto"/>
        </w:rPr>
      </w:pPr>
    </w:p>
    <w:p>
      <w:pPr>
        <w:ind w:left="980" w:right="360" w:hanging="324"/>
        <w:spacing w:after="0" w:line="277" w:lineRule="auto"/>
        <w:tabs>
          <w:tab w:leader="none" w:pos="97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growth prospects.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CVRs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Dr. Soon-Shiong, our Executive Chairman, Global Chief Scientific and Medical Officer and our principal stockholder, has significant interests in other companies which may conflict with our interests.</w:t>
      </w:r>
    </w:p>
    <w:p>
      <w:pPr>
        <w:spacing w:after="0" w:line="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Executive Chairman, Global Chief Scientific and Medical Officer and our principal stockholder, Dr. Soon-Shiong, is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revenues that is at least proportional to the costs that we will incur in commercializing the product candidate.</w:t>
      </w:r>
    </w:p>
    <w:p>
      <w:pPr>
        <w:spacing w:after="0" w:line="1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entered into shared services agreements with NantWorks, pursuant to which NantWorks and its affiliates provide corporate, general and administrative and other support services to us.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a lack of familiarity of new employees and/or new service providers with business processes, operating requirements, policies and procedures, and we may incur additional costs as new employees and/or service providers gain necessary experience. In addition, the loss of the services of NantWorks might significantly delay or prevent the development of our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Soon-Shiong, through his voting control of the company, has the ability to control actions that require stockholder approval.</w:t>
      </w:r>
    </w:p>
    <w:p>
      <w:pPr>
        <w:spacing w:after="0" w:line="117"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Dr. Soon-Shiong, through his direct and indirect ownership of the company’s common stock, has voting control of the company. As of December 31, 2022, Dr. Soon-Shiong and his affiliates own approximately 76.7% of the company’s common stock outstanding.</w:t>
      </w:r>
    </w:p>
    <w:p>
      <w:pPr>
        <w:spacing w:after="0" w:line="14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Additionally, an affiliate of Dr. Soon-Shiong holds a warrant to purchase 1,638,000 shares of the company’s common stock that will become exercisable if certain performance conditions are satisfied. Dr. Soon-Shiong and his related party also currently hold approximately $139.8 million of sales milestone CVRs issued to the former stockholders of Altor in connection with the 2017 acquisition of Altor. If the underlying conditions for payment are met, the sales milestone CVRs become payable in cash or shares of the company’s common stock or any combination as the holder elects. Dr. Soon-Shiong and his related party have both irrevocably agreed to receive shares of the company’s common stock in satisfaction of their CVRs.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2022, the company has a $300.0 million promissory note with an entity affiliated with Dr. Soon-Shiong that is due and payable on December 31, 2023. In the event of a default on the loan (as defined in the promissory note), including if the company does not repay the loan at maturity, the company has the right, at its sole option, to convert the outstanding principal amount and accrued and unpaid interest due under this note into shares of the company’s common stock at price of $5.67 per share. In addition, entities affiliated with Dr. Soon-Shiong hold fixed-rate promissory notes representing $262.4 million in indebtedness (including principal and accrued and unpaid interest) as of December 31, 2022. These notes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9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Dr. Soon-Shiong also has a total of 1,626,064 stock options outstanding as of December 31, 2022, of which 926,064 are exercisable and 700,000 are unvested and unexercisable.</w:t>
      </w:r>
    </w:p>
    <w:p>
      <w:pPr>
        <w:spacing w:after="0" w:line="170"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Dr. Soon-Shiong is in a position to control the outcome of corporate actions that require, or may be accomplished by, stockholder approval, including amending the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pursuant to the Nominating Agreement between us and Cambridge Equities, LP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has been and may continue to be volatile, and investors may have difficulty selling their shares.</w:t>
      </w:r>
    </w:p>
    <w:p>
      <w:pPr>
        <w:spacing w:after="0" w:line="129"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warrants and may impair our ability to enter into strategic partnerships or acquire companies or products by using our shares of common stock as consideration.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111" w:lineRule="exact"/>
        <w:rPr>
          <w:sz w:val="20"/>
          <w:szCs w:val="20"/>
          <w:color w:val="auto"/>
        </w:rPr>
      </w:pPr>
    </w:p>
    <w:p>
      <w:pPr>
        <w:ind w:left="980" w:right="120" w:hanging="324"/>
        <w:spacing w:after="0" w:line="277" w:lineRule="auto"/>
        <w:tabs>
          <w:tab w:leader="none" w:pos="975"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116" w:lineRule="exact"/>
        <w:rPr>
          <w:rFonts w:ascii="Arial" w:cs="Arial" w:eastAsia="Arial" w:hAnsi="Arial"/>
          <w:sz w:val="18"/>
          <w:szCs w:val="18"/>
          <w:b w:val="1"/>
          <w:bCs w:val="1"/>
          <w:color w:val="auto"/>
        </w:rPr>
      </w:pPr>
    </w:p>
    <w:p>
      <w:pPr>
        <w:ind w:left="980" w:right="80" w:hanging="324"/>
        <w:spacing w:after="0" w:line="263" w:lineRule="auto"/>
        <w:tabs>
          <w:tab w:leader="none" w:pos="975"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29" w:lineRule="exact"/>
        <w:rPr>
          <w:rFonts w:ascii="Arial" w:cs="Arial" w:eastAsia="Arial" w:hAnsi="Arial"/>
          <w:sz w:val="18"/>
          <w:szCs w:val="18"/>
          <w:b w:val="1"/>
          <w:bCs w:val="1"/>
          <w:color w:val="auto"/>
        </w:rPr>
      </w:pPr>
    </w:p>
    <w:p>
      <w:pPr>
        <w:ind w:left="980" w:hanging="324"/>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adverse results or delays in clinical trials;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our failure to commercialize our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additions or departures of key scientific or management personnel;</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unanticipated serious safety concerns related to the use of our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announcements by us or our competitors of significant contracts, acquisitions, strategic partnerships, joint ventures or capital commitments;</w:t>
      </w:r>
    </w:p>
    <w:p>
      <w:pPr>
        <w:spacing w:after="0" w:line="194" w:lineRule="exact"/>
        <w:rPr>
          <w:rFonts w:ascii="Arial" w:cs="Arial" w:eastAsia="Arial" w:hAnsi="Arial"/>
          <w:sz w:val="16"/>
          <w:szCs w:val="16"/>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variations in our quarterly operating results;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our liquidity position and the amount and nature of any debt we may incur;</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announcements that our revenue or income are below or that costs or losses are greater than analysts’ expectations;</w:t>
      </w:r>
    </w:p>
    <w:p>
      <w:pPr>
        <w:spacing w:after="0" w:line="171" w:lineRule="exact"/>
        <w:rPr>
          <w:rFonts w:ascii="Arial" w:cs="Arial" w:eastAsia="Arial" w:hAnsi="Arial"/>
          <w:sz w:val="18"/>
          <w:szCs w:val="18"/>
          <w:b w:val="1"/>
          <w:bCs w:val="1"/>
          <w:color w:val="auto"/>
        </w:rPr>
      </w:pPr>
    </w:p>
    <w:p>
      <w:pPr>
        <w:ind w:left="980" w:right="740" w:hanging="324"/>
        <w:spacing w:after="0" w:line="277" w:lineRule="auto"/>
        <w:tabs>
          <w:tab w:leader="none" w:pos="97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changes in the market valuations of similar companies;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fluctuations in stock market prices and volumes;</w:t>
      </w:r>
    </w:p>
    <w:p>
      <w:pPr>
        <w:spacing w:after="0" w:line="171" w:lineRule="exact"/>
        <w:rPr>
          <w:rFonts w:ascii="Arial" w:cs="Arial" w:eastAsia="Arial" w:hAnsi="Arial"/>
          <w:sz w:val="18"/>
          <w:szCs w:val="18"/>
          <w:b w:val="1"/>
          <w:bCs w:val="1"/>
          <w:color w:val="auto"/>
        </w:rPr>
      </w:pPr>
    </w:p>
    <w:p>
      <w:pPr>
        <w:ind w:left="980" w:hanging="324"/>
        <w:spacing w:after="0" w:line="277" w:lineRule="auto"/>
        <w:tabs>
          <w:tab w:leader="none" w:pos="97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significant lawsuits, including patent or stockholder litigation;</w:t>
      </w:r>
    </w:p>
    <w:p>
      <w:pPr>
        <w:spacing w:after="0" w:line="171" w:lineRule="exact"/>
        <w:rPr>
          <w:rFonts w:ascii="Arial" w:cs="Arial" w:eastAsia="Arial" w:hAnsi="Arial"/>
          <w:sz w:val="18"/>
          <w:szCs w:val="18"/>
          <w:b w:val="1"/>
          <w:bCs w:val="1"/>
          <w:color w:val="auto"/>
        </w:rPr>
      </w:pPr>
    </w:p>
    <w:p>
      <w:pPr>
        <w:ind w:left="980" w:right="480" w:hanging="324"/>
        <w:spacing w:after="0" w:line="277" w:lineRule="auto"/>
        <w:tabs>
          <w:tab w:leader="none" w:pos="97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perception of our clinical trial results by retail investors, which investors may be subject to the influence of information provided by third party investor websites and independent authors distributing information on the internet;</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general economic slowdowns;</w:t>
      </w:r>
    </w:p>
    <w:p>
      <w:pPr>
        <w:spacing w:after="0" w:line="171"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government-imposed lockdowns, supply chain disruptions, and adverse economic effects from the ongoing COVID-19 pandemic, in the U.S. and abroad;</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geopolitical tensions and war, including the war in Ukraine;</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coordinated actions by independent third-party actors to affect the price of certain stocks, coordinated via the Internet and otherwise; and</w:t>
      </w:r>
    </w:p>
    <w:p>
      <w:pPr>
        <w:spacing w:after="0" w:line="194" w:lineRule="exact"/>
        <w:rPr>
          <w:rFonts w:ascii="Arial" w:cs="Arial" w:eastAsia="Arial" w:hAnsi="Arial"/>
          <w:sz w:val="16"/>
          <w:szCs w:val="16"/>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3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exercise of our warrants, the market price of our common stock could decline significantly. In addition, our Executive Chairman and Global Chief Scientific and Medical Officer, Dr. Soon-Shiong, and his affiliates currently own approximately 76.7% of our outstanding shares of common stock as of December 31, 2022. Sales of stock by Dr. Soon-Shiong and his affiliates could have an adverse effect on the trading price of our common stock.</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holders of our common stock are entitled to certain rights with respect to the registration of their shares under the Securities Act.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expect that additional capital may be needed in the future to continue our planned operations, including conducting clinical trials, commercialization efforts, expanded research and development activities and costs associated with operating as a public company. To raise capital, we may sell common stock, including as part of the ATM, convertible securities or other equity securities (including warrants) in one or more transactions at prices and in a manner we determine from time to time. If we sell common stock, including through the ATM, convertible securities or other equity securities (including warrants), new investors could gain rights, preferences and privileges senior to the holders of our common stock. The issuance of additional shares of common stock or warrants to purchase common stock, perception that such issuances may occur, or exercise of outstanding warrants or other equity securities will have a material dilutive impact on existing stockholders and could have a material negative effect on the market price of our common stock.</w:t>
      </w: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spacing w:after="0" w:line="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the Sarbanes-Oxley Act of 2002 (Sarbanes 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public company in the U.S., we are required, pursuant to Section 404 of Sarbanes-Oxley (Section 404) to furnish a report by management on, among other things, the effectiveness of our internal control over financial reporting.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spacing w:after="0" w:line="19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 fully comply with Section 404, we will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spacing w:after="0" w:line="166"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a restatement of our consolidated financial statements were to occur, our stockholders’ confidence in the company’s financial reporting in the future may be affected, which could in turn have a material adverse effect on our business and stock price.</w:t>
      </w:r>
    </w:p>
    <w:p>
      <w:pPr>
        <w:spacing w:after="0" w:line="62"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2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spacing w:after="0" w:line="3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and the value of our warrants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CVRs that are payable contingent upon us achieving certain milestones may not receive any further consideration.</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N-803 by December 31, 2022, and approximately $304.0 million of contingent consideration upon calendar-year worldwide sales of N-803 exceeding $1.0 billion prior to December 31, 2026.</w:t>
      </w:r>
    </w:p>
    <w:p>
      <w:pPr>
        <w:spacing w:after="0" w:line="133"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With respect to the regulatory milestone CVR agreement, in May 2022 we announced the submission of a BLA to the FDA for our product candidate, Anktiva (N-803) in combination with BCG for the treatment of patients with BCG-unresponsive NMIBC with CIS with or without Ta or</w:t>
      </w:r>
    </w:p>
    <w:p>
      <w:pPr>
        <w:ind w:right="40"/>
        <w:spacing w:after="0" w:line="292" w:lineRule="auto"/>
        <w:rPr>
          <w:sz w:val="20"/>
          <w:szCs w:val="20"/>
          <w:color w:val="auto"/>
        </w:rPr>
      </w:pPr>
      <w:r>
        <w:rPr>
          <w:rFonts w:ascii="Arial" w:cs="Arial" w:eastAsia="Arial" w:hAnsi="Arial"/>
          <w:sz w:val="16"/>
          <w:szCs w:val="16"/>
          <w:color w:val="auto"/>
        </w:rPr>
        <w:t>T1 disease. In July 2022 we announced that the FDA had accepted our BLA for review and set a target PDUFA action date of May 23, 2023. It is unclear when the FDA will approve our BLA, if at all. The FDA did not approve our BLA on or before December 31, 2022, and therefore the regulatory milestone was not met, and the regulatory milestone CVR agreement terminated in accordance with its terms. With respect to the sales milestone CVR agreement, N-803 is not currently approved for commercial sale, and there can be no assurance that such sales milestone will be achieved. Accordingly, holders of our CVRs that are payable contingent upon us achieving the aforementioned milestones may not receive any further consideration.</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not subject to the provisions of Section 203 of the Delaware General Corporation Law (DGCL), which could negatively affect your investment.</w:t>
      </w:r>
    </w:p>
    <w:p>
      <w:pPr>
        <w:spacing w:after="0" w:line="1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person who, together with affiliates and associates, owns (or, in certain cases, within three years prior, did own) 15% or more of the corporation’s voting stock. Our decision not to be subject to Section 203 will allow, for example, our Executive Chairman and Global Chief Scientific and Medical Officer (who, with members of his immediate family and entities affiliated with him, currently own, in the aggregate, approximately 76.7% of our common stock as of December 31, 2022)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spacing w:after="0" w:line="300" w:lineRule="exact"/>
        <w:rPr>
          <w:sz w:val="20"/>
          <w:szCs w:val="20"/>
          <w:color w:val="auto"/>
        </w:rPr>
      </w:pPr>
    </w:p>
    <w:p>
      <w:pPr>
        <w:jc w:val="both"/>
        <w:ind w:right="8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spacing w:after="0" w:line="76"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a requirement that special meetings of stockholders be called only by the board of directors, president or chief executive officer;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stockholder proposals and nominations for election to the board of directors; and</w:t>
      </w:r>
    </w:p>
    <w:p>
      <w:pPr>
        <w:spacing w:after="0" w:line="117" w:lineRule="exact"/>
        <w:rPr>
          <w:rFonts w:ascii="Arial" w:cs="Arial" w:eastAsia="Arial" w:hAnsi="Arial"/>
          <w:sz w:val="18"/>
          <w:szCs w:val="18"/>
          <w:b w:val="1"/>
          <w:bCs w:val="1"/>
          <w:color w:val="auto"/>
        </w:rPr>
      </w:pPr>
    </w:p>
    <w:p>
      <w:pPr>
        <w:ind w:left="980" w:right="60" w:hanging="324"/>
        <w:spacing w:after="0" w:line="277" w:lineRule="auto"/>
        <w:tabs>
          <w:tab w:leader="none" w:pos="97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57" w:lineRule="exact"/>
        <w:rPr>
          <w:sz w:val="20"/>
          <w:szCs w:val="20"/>
          <w:color w:val="auto"/>
        </w:rPr>
      </w:pPr>
    </w:p>
    <w:p>
      <w:pPr>
        <w:ind w:left="980" w:right="160" w:hanging="324"/>
        <w:spacing w:after="0" w:line="279" w:lineRule="auto"/>
        <w:tabs>
          <w:tab w:leader="none" w:pos="975"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b w:val="1"/>
          <w:bCs w:val="1"/>
          <w:color w:val="auto"/>
        </w:rPr>
      </w:pPr>
    </w:p>
    <w:p>
      <w:pPr>
        <w:ind w:left="980" w:hanging="324"/>
        <w:spacing w:after="0"/>
        <w:tabs>
          <w:tab w:leader="none" w:pos="98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b w:val="1"/>
          <w:bCs w:val="1"/>
          <w:color w:val="auto"/>
        </w:rPr>
      </w:pPr>
    </w:p>
    <w:p>
      <w:pPr>
        <w:jc w:val="both"/>
        <w:ind w:left="980" w:right="240" w:hanging="324"/>
        <w:spacing w:after="0" w:line="342" w:lineRule="auto"/>
        <w:tabs>
          <w:tab w:leader="none" w:pos="975"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b w:val="1"/>
          <w:bCs w:val="1"/>
          <w:color w:val="auto"/>
        </w:rPr>
      </w:pPr>
    </w:p>
    <w:p>
      <w:pPr>
        <w:ind w:left="980" w:hanging="324"/>
        <w:spacing w:after="0" w:line="263" w:lineRule="auto"/>
        <w:tabs>
          <w:tab w:leader="none" w:pos="97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right="120" w:hanging="324"/>
        <w:spacing w:after="0" w:line="308" w:lineRule="auto"/>
        <w:tabs>
          <w:tab w:leader="none" w:pos="975"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38" w:lineRule="exact"/>
        <w:rPr>
          <w:rFonts w:ascii="Arial" w:cs="Arial" w:eastAsia="Arial" w:hAnsi="Arial"/>
          <w:sz w:val="17"/>
          <w:szCs w:val="17"/>
          <w:b w:val="1"/>
          <w:bCs w:val="1"/>
          <w:color w:val="auto"/>
        </w:rPr>
      </w:pPr>
    </w:p>
    <w:p>
      <w:pPr>
        <w:ind w:left="980" w:hanging="324"/>
        <w:spacing w:after="0"/>
        <w:tabs>
          <w:tab w:leader="none" w:pos="98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We may not retroactively amend our bylaw provisions to reduce our indemnification obligations to directors, officers, employees and agents.</w:t>
      </w:r>
    </w:p>
    <w:p>
      <w:pPr>
        <w:spacing w:after="0" w:line="14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 the extent that a claim for indemnification is brought by any of our directors or officers, it would reduce the amount of funds available for use in our business.</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We lease property in multiple facilities across the U.S. and Italy, including facilities located in El Segundo and Culver City, CA that are leased from related parties.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Related-Party Agreements</w:t>
      </w:r>
      <w:r>
        <w:rPr>
          <w:rFonts w:ascii="Arial" w:cs="Arial" w:eastAsia="Arial" w:hAnsi="Arial"/>
          <w:sz w:val="17"/>
          <w:szCs w:val="17"/>
          <w:color w:val="auto"/>
        </w:rPr>
        <w:t>, of the “Notes to Consolidated Financial Statements” that appears in Part II, Item 8. “Financial Statements and Supplementary Data” of this Annual Report for additional information about our related-party leases.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principal properties under lease as of December 31,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Expiration</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6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Location</w:t>
            </w:r>
          </w:p>
        </w:tc>
        <w:tc>
          <w:tcPr>
            <w:tcW w:w="204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Rentable</w:t>
            </w:r>
          </w:p>
        </w:tc>
        <w:tc>
          <w:tcPr>
            <w:tcW w:w="4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Primary Function(s)</w:t>
            </w:r>
          </w:p>
        </w:tc>
        <w:tc>
          <w:tcPr>
            <w:tcW w:w="0" w:type="dxa"/>
            <w:vAlign w:val="bottom"/>
          </w:tcPr>
          <w:p>
            <w:pPr>
              <w:spacing w:after="0"/>
              <w:rPr>
                <w:sz w:val="1"/>
                <w:szCs w:val="1"/>
                <w:color w:val="auto"/>
              </w:rPr>
            </w:pPr>
          </w:p>
        </w:tc>
      </w:tr>
      <w:tr>
        <w:trPr>
          <w:trHeight w:val="197"/>
        </w:trPr>
        <w:tc>
          <w:tcPr>
            <w:tcW w:w="2760" w:type="dxa"/>
            <w:vAlign w:val="bottom"/>
            <w:gridSpan w:val="2"/>
            <w:vMerge w:val="continue"/>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 (1)</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Square Feet (2)</w:t>
            </w:r>
          </w:p>
        </w:tc>
        <w:tc>
          <w:tcPr>
            <w:tcW w:w="4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United States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Dunkirk, NY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409,000</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3"/>
              </w:rPr>
              <w:t>Future Manufacturing Facility</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 Segundo, CA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2023 – 2028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179,401</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Laboratory – Research &amp; Manufacturing</w:t>
            </w:r>
          </w:p>
        </w:tc>
        <w:tc>
          <w:tcPr>
            <w:tcW w:w="0" w:type="dxa"/>
            <w:vAlign w:val="bottom"/>
          </w:tcPr>
          <w:p>
            <w:pPr>
              <w:spacing w:after="0"/>
              <w:rPr>
                <w:sz w:val="1"/>
                <w:szCs w:val="1"/>
                <w:color w:val="auto"/>
              </w:rPr>
            </w:pPr>
          </w:p>
        </w:tc>
      </w:tr>
      <w:tr>
        <w:trPr>
          <w:trHeight w:val="230"/>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Louisville, CO</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50,838</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88"/>
              </w:rPr>
              <w:t>Laboratory – Research</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Culver City, CA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Month to Month</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Laboratory – Research &amp; Manufacturing</w:t>
            </w:r>
          </w:p>
        </w:tc>
        <w:tc>
          <w:tcPr>
            <w:tcW w:w="0" w:type="dxa"/>
            <w:vAlign w:val="bottom"/>
          </w:tcPr>
          <w:p>
            <w:pPr>
              <w:spacing w:after="0"/>
              <w:rPr>
                <w:sz w:val="1"/>
                <w:szCs w:val="1"/>
                <w:color w:val="auto"/>
              </w:rPr>
            </w:pPr>
          </w:p>
        </w:tc>
      </w:tr>
      <w:tr>
        <w:trPr>
          <w:trHeight w:val="230"/>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San Diego, CA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44,681</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Laboratory – Research &amp; Corporate Office</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Woburn, MA</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Laboratory – Research &amp; Office</w:t>
            </w:r>
          </w:p>
        </w:tc>
        <w:tc>
          <w:tcPr>
            <w:tcW w:w="0" w:type="dxa"/>
            <w:vAlign w:val="bottom"/>
          </w:tcPr>
          <w:p>
            <w:pPr>
              <w:spacing w:after="0"/>
              <w:rPr>
                <w:sz w:val="1"/>
                <w:szCs w:val="1"/>
                <w:color w:val="auto"/>
              </w:rPr>
            </w:pPr>
          </w:p>
        </w:tc>
      </w:tr>
      <w:tr>
        <w:trPr>
          <w:trHeight w:val="230"/>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Seattle, WA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88"/>
              </w:rPr>
              <w:t>Laboratory – Research</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Miramar, FL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Clinical Affairs &amp; Office</w:t>
            </w: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International</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2024 – 2028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Laboratory – Research &amp; Office</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13" w:lineRule="exact"/>
        <w:rPr>
          <w:sz w:val="20"/>
          <w:szCs w:val="20"/>
          <w:color w:val="auto"/>
        </w:rPr>
      </w:pPr>
    </w:p>
    <w:p>
      <w:pPr>
        <w:ind w:left="560" w:right="600" w:hanging="534"/>
        <w:spacing w:after="0" w:line="275" w:lineRule="auto"/>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Expiration years shown are per the lease agreements in effect as of December 31, 2022 and do not reflect contractual options to extend the term of the lease available to us under the lease agreements. For locations with multiple leases, the first and last expiration year are shown.</w:t>
      </w:r>
    </w:p>
    <w:p>
      <w:pPr>
        <w:spacing w:after="0" w:line="23" w:lineRule="exact"/>
        <w:rPr>
          <w:rFonts w:ascii="Arial" w:cs="Arial" w:eastAsia="Arial" w:hAnsi="Arial"/>
          <w:sz w:val="16"/>
          <w:szCs w:val="16"/>
          <w:color w:val="auto"/>
        </w:rPr>
      </w:pPr>
    </w:p>
    <w:p>
      <w:pPr>
        <w:ind w:left="560" w:hanging="534"/>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shown represent the total approximate rentable square feet for all buildings located in each city.</w:t>
      </w:r>
    </w:p>
    <w:p>
      <w:pPr>
        <w:spacing w:after="0" w:line="23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and future needs and that we will be able to renew existing leases and obtain additional commercial space as needed.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 BioScience, LLC Litigation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2017, NantCell announced it had entered into a definitive merger agreement to acquire Altor BioScience Corporation. An action captioned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Gray v. Soon-Shiong, et al. </w:t>
      </w:r>
      <w:r>
        <w:rPr>
          <w:rFonts w:ascii="Arial" w:cs="Arial" w:eastAsia="Arial" w:hAnsi="Arial"/>
          <w:sz w:val="17"/>
          <w:szCs w:val="17"/>
          <w:color w:val="auto"/>
        </w:rPr>
        <w:t>was filed in Delaware Chancery Court by plaintiffs Clayland Boyden Gray (Gray) and Adam R. Waldman. The plaintiffs,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minority stockholders, asserted claims against the company and other defendants for (1) breach of fiduciary duty and (2) aiding and abetting breach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fiduciary duty and filed a motion to enjoin the merger. The court denied the motion and permitted the merger to close.</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Subsequent to the close of the merger, in 2017 the plaintiffs (joined by two additional minority stockholders, Barbara Sturm Waldman and Douglas E. Henderson (Henderson)) filed a second amended complaint, including appraisal claims, and which the defendants subsequently moved to dismiss. In a second action, Dyad Pharmaceutical Corporation (Dyad) filed a petition in Delaware Chancery Court for appraisal in connection with the merger. The defendants moved to dismiss the appraisal petition in 2018. The court issued an oral ruling in 2019 that dismissed certain claims and dismissed Altor BioScience from the action. The following claims remained: (a) the appraisal claims by all plaintiffs and Dyad (against Altor BioScience, LLC), and (b) Henderson’s claims for breach of fiduciary duty and aiding and abetting breach of fiduciary duty.</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2019, the court issued a written order implementing its ruling on the defendants’ motions (the Implementing Order). In the Implementing Order, the court confirmed that all fiduciary duty claims brought by Gray, both individually and as trustee of the Gordon Gray Trust f/b/o C. Boyden Gray, were dismissed. The plaintiffs then moved for leave to file a third amended complaint to add two former Altor stockholders as plaintiffs and a fiduciary duty claim on behalf of a purported class of former Altor stockholders, which the defendants opposed.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2020, the court granted the plaintiffs’ motion, and the plaintiffs filed the third amended complaint. In 2020, the defendants answered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third amended complaint and asserted counterclaims against the plaintiffs. The defendants sought damages for attorneys’ fees and costs incurred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breaches of “standstill” agreements and of stockholder releases. The plaintiffs filed an answer denying the counterclaims and asserting defenses.</w:t>
      </w:r>
    </w:p>
    <w:p>
      <w:pPr>
        <w:spacing w:after="0" w:line="23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shares of the former Altor stockholders seeking appraisal met the definition of dissenting shares under the merger agreement and were not entitled to receive any portion of the merger consideration at the closing date, given that those shares were the subject of the above-described appraisal claims.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late March 2022, the company agreed to the terms of a settlement with the appraisal petitioners, without any admission of liability or fault. The settlement provided that in exchange for complete releases, the appraisal petitioners, who as a group held 3,167,565 dissenting Altor shares, collectively would receive an aggregate of 2,229,296 shares of the company’s common stock issued in a private placement, plus an aggregate of $21.13 in cash in lieu of fractional shares. The company’s Board of Directors approved the settlement and stock issuance in April 2022, and the court approved the settlement and dismissed the appraisal petitioners’ claims on July 9, 2022. On July 9, 2022, the company issued 2,229,296 shares of its common stock with an aggregate market value of $10.7 million, based on the closing price of its common stock on the Nasdaq as of July 8, 2022, to the appraisal petitioners pursuant to the court-approved settlement agreement. As of December 31, 2021, we had accrued $7.1 million related to the dissenting share obligation.</w:t>
      </w:r>
    </w:p>
    <w:p>
      <w:pPr>
        <w:spacing w:after="0" w:line="16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In late April 2022, the company also agreed to the terms of a settlement with the putative class plaintiffs without any admission of liability or fault. In exchange for class-wide releases, the company committed to make a settlement payment of $5.0 million in cash by December 31, 2022. On December 8, 2022, the Delaware Court of Chancery entered a final judgment approving the settlement, and the company timely made the $5.0 million settlement payment.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Sorrento Therapeutics, Inc. Litigation</w:t>
      </w:r>
    </w:p>
    <w:p>
      <w:pPr>
        <w:spacing w:after="0" w:line="11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Sorrento Therapeutics, Inc. (Sorrento), derivatively on behalf of NANTibody, filed an action in the Superior Court of California, Los Angeles County (the Superior Court) against the company’s subsidiary NantCell, Dr. Soon-Shiong, and Charles Kim. The action alleged that the defendants improperly caused NANTibody to acquire IgDraSol, Inc. from NantPharma, LLC (NantPharma) and sought to have the transaction undone and the purchase amount returned to NANTibody. In 2019, we filed a demurrer to several causes of action alleged in the Superior Court action, and Sorrento filed an amended complaint, eliminating Mr. Kim as a defendant and dropping the causes of action we had challenged in our demurrer. The company believes the case is without merit and intends to vigorously defend against the claims asserted. Trial has been set to commence in Sorrento’s Superior Court action on July 17, 2023.</w:t>
      </w:r>
    </w:p>
    <w:p>
      <w:pPr>
        <w:spacing w:after="0" w:line="19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Sorrento filed a related arbitration proceeding (the Cynviloq arbitration) against Dr. Soon-Shiong and NantPharma; the company was not named in the Cynviloq arbitration. In 2020, the Superior Court granted Dr. Soon-Shiong’s request for a preliminary injunction barring Sorrento from pursuing claims against him in the Cynviloq arbitration. Sorrento then filed the claims it had previously asserted in arbitration against Dr. Soon-Shiong in the Superior Court, and at Sorrento’s request, the arbitrator entered an order dismissing Sorrento’s claims against Dr. Soon-Shiong in the Cynviloq arbitration. The hearing in the Cynviloq arbitration commenced in June 2021, and continued with breaks until early October 2021. The parties completed post-hearing briefing in early May 2022, and summations were heard on September 8, 2022. On December 20, 2022, the parties received the arbitrator’s final award; the award is in favor of Sorrento and against NantPharma in the amount of approximately $125 million. On December 28, 2022, Sorrento submitted an application for modification of the final award to include prejudgment interest in excess of $83 million; on January 20, 2023, Sorrento’s application was denied. On February 2, 2023, Sorrento filed a petition to confirm the NantPharma award, and on February 13, 2023, NantPharma responded with a motion to vacate; both remain pending. The company was not a party to the Cynviloq arbitration and we believe that neither the company nor any of its subsidiaries has any obligations with respect to the award against NantPharma, and we intend to defend vigorously against attempts by Sorrento to pursue any such theory.</w:t>
      </w:r>
    </w:p>
    <w:p>
      <w:pPr>
        <w:spacing w:after="0" w:line="17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Also in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Our claims alleged that Dr. Ji and Sorrento breached the terms of an exclusive license agreement between the company and Sorrento related to Sorrento’s antibody library and that Sorrento did not perform its obligations under the exclusive license agreement. The Superior Court ruled that the company’s claims should be pursued in arbitration and that Dr. Soon-Shiong’s claims could be pursued in Superior Court.</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2019, the company, along with NANTibody, filed an arbitration against Sorrento and Dr. Ji asserting our claims relating to the exclusive license agreement. Sorrento filed counterclaims against the company and NANTibody in the arbitration. The hearings in the NANTibody arbitration commenced in April 2021 and concluded in early August 2021. After post-hearing briefing was concluded, the parties were notified on November 30, 2021 that the arbitrator in the NANTibody arbitration had passed away. A substitute arbitrator was appointed on February 25, 2022, and the parties have worked with the substitute arbitrator to conclude the proceedings. Additional hearing sessions were held in May and July 2022, and summations took place on August 2, 2022.</w:t>
      </w:r>
    </w:p>
    <w:p>
      <w:pPr>
        <w:spacing w:after="0" w:line="19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On December 2, 2022, the arbitrator issued a final award finding that Sorrento had breached the two exclusive license agreements with NantCell and NANTibody. The arbitrator awarded NantCell approximately $156.8 million and NANTibody approximately $16.7 million, plus post-award interest accruing at a daily rate. On December 21, 2022, NantCell and NANTibody filed petitions in the Superior Court to confirm the arbitration award; on January 16, 2023, Sorrento filed a response to the petitions and moved to vacate the award. On February 7, 2023, after a hearing, the Superior Court entered orders confirming the arbitration award and denying Sorrento’s motion to vacate. The Superior Court entered judgments against Sorrento in the aggregate amount of approximately $176.4 million plus 10% post-judgment interest, of which approximately $159.4 million is payable to NantCell, and the remainder of which is payable to NANTibody. On February 13, 2023, Sorrento informed counsel to the company that it had filed a Chapter 11 proceeding in the U.S. District Court for the Southern District of Texas, </w:t>
      </w:r>
      <w:r>
        <w:rPr>
          <w:rFonts w:ascii="Arial" w:cs="Arial" w:eastAsia="Arial" w:hAnsi="Arial"/>
          <w:sz w:val="16"/>
          <w:szCs w:val="16"/>
          <w:i w:val="1"/>
          <w:iCs w:val="1"/>
          <w:color w:val="auto"/>
        </w:rPr>
        <w:t>In re: Sorrento Therapeutics, Inc., et al.,</w:t>
      </w:r>
      <w:r>
        <w:rPr>
          <w:rFonts w:ascii="Arial" w:cs="Arial" w:eastAsia="Arial" w:hAnsi="Arial"/>
          <w:sz w:val="16"/>
          <w:szCs w:val="16"/>
          <w:color w:val="auto"/>
        </w:rPr>
        <w:t xml:space="preserve"> Case No. 23-bk-90085 (Bankr. S.D. Tex.) (DRJ). The company intends to continue to pursue vigorously, consistent with its rights in light of Sorrento’s Chapter 11 filing, the collection of the judgments and</w:t>
      </w:r>
    </w:p>
    <w:p>
      <w:pPr>
        <w:spacing w:after="0" w:line="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10% post-judgment interest from Sorrento, but we make no assurances that we will receive the full amount or with respect to the timing of our receipt of any funds.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Superior Court actions remain pending, and it remains to be determined how, if at all, the awards in the arbitrations will affect the Superior Court actions. A July 17, 2023 trial date has been set in the first-filed Superior Court action. An estimate of the possible loss or range of loss resulting from the Superior Court litigation cannot be made at this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Shenzhen Beike Biotechnology Co. Ltd. Arbitration</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N-803 in China for human therapeutic uses. In the arbitration, Beike is asserting a claim for breach of contract under the license agreement. Among other things, Beike alleges that we failed to use commercially reasonable efforts to deliver to Beike materials and data related to N-803. Beike is seeking specific performance, or in the alternative, damages for the alleged breaches.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 The parties have been providing periodic updates to the International Chamber of Commerce confirming a stay of all proceedings during the standstill. Given that this action remains at the pleading stage and no discovery has occurred, it remains too early to evaluate the likely outcome of the case or to estimate any range of potential loss. We believe the claims lack merit and intend to defend the case vigorously and that we may have counterclaims.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Related to the Merger with ImmunityBio, Inc.</w:t>
      </w:r>
    </w:p>
    <w:p>
      <w:pPr>
        <w:spacing w:after="0" w:line="11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the Merger with NantCell, Inc. (formerly known as ImmunityBio, Inc., a private company), a Delaware corporation, via a wholly-owned subsidiary of NantKwest, several complaints were filed as individual actions in the United States District Courts, and subsequently were voluntarily dismissed (the Merger Actions). The Merger Actions generally alleged that the Definitive Proxy Statement filed with the SEC on February 2, 2021 misrepresented and/or omitted certain purportedly material information relating to financial projections, analysis performed by the financial advisor to NantKwest’s Special Committee, alleged past engagements of the Special Committee’s financial advisor and industry consultant, and the terms of the engagement of such consultant. The Merger Actions asserted violations of Section 14(a) of the Exchange Act and Rule 14a-9 promulgated thereunder against all defendants and violations of Section 20(a) of the Exchange Act against NantKwest’s directors. The Merger Actions sought, among other things, an injunction enjoining the stockholder vote on the Merger and the consummation of the Merger unless and until certain additional information was disclosed to NantKwest’s stockholders, costs of the action, including plaintiffs’ attorneys’ fees and experts’ fees, and other relief the Court may deem just and proper. Neither the stockholder vote on the Merger nor the Merger were enjoined and both occurred on March 8 and March 9, 2021, respectively. The Merger Actions were voluntarily dismissed on March 25,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 BioScience, LLC, and NantCell, Inc. Matters Against Dr. Hing Wong and HCW Biologics, Inc.</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December 23, 2022, Altor and NantCell filed an arbitration demand against Dr. Hing Wong, former CEO of Altor and NantCell. The demand asserts claims for breach of Dr. Wong’s contracts with the companies, breach of the covenant of good faith and fair dealing, conversion, fraudulent concealment, unjust enrichment, breach of fiduciary duty, and replevin. The same day, Dr. Wong filed an arbitration demand seeking a declaratory judgment finding that Dr. Wong is not liable to Altor or NantCell for any of their claims. The parties have agreed to consolidate the arbitration filings in one proceeding, and on January 23, 2023, Dr. Wong filed an Answering Statement denying the claims.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Also on December 23, 2022, Altor and NantCell filed a complaint in the United States District Court for the Southern District of Florida against HCW Biologics, Inc. (HCW Biologics), Dr. Wong’s new company. Altor’s and NantCell’s complaint asserts claims for misappropriation of trade secrets under both Florida and federal law, inducement of breach of contract, tortious interference with contractual relations, inducement of breach of fiduciary duty, conversion, unjust enrichment, replevin, specific performance for assignment of patents and patent applications, and establishment of a constructive trust. On January 31, 2023, HCW Biologics filed motions to compel arbitration of Altor’s and NantCell’s claims, or in the alternative to stay or dismiss them. Altor and NantCell filed an opposition to the motions on February 14, 2023, and HCW Biologics filed reply papers on February 21, 2023. The motions remain pending and no hearing date has been set.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Stipulation of Settlement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following approval by our Board of Directors, we entered into a settlement agreement (the Stipulation of Settlement) with</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three stockholders of the company, each of whom had submitted a stockholder demand for the Board of Directors to take action to remedy purported harm to the company resulting from certain alleged wrongful conduct concerning, among other things, disclosures about Dr. Soon-Shiong’s compensation and a related-party lease agreement. The Stipulation of Settlement called for us to adopt certain governance changes, and for the three stockholders to file a stockholder derivative action in the Superior Court of the State of California, County of San Diego, followed by an application for court approval of the Stipulation of Settlement. The court entered an order preliminarily approving the Stipulation of Settlement. Pursuant to the Stipulation of Settlement, we provided stockholders with notice of the settlement and the final settlement hearing.</w:t>
      </w: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under the ticker symbol “IBRX” on the Nasdaq Global Select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As of February 24, 2023, there were approximately 86 stockholders of record of our common stock. The actual number of stockholders is greater than the number of record holders and includes stockholders who are beneficial owners but whose shares are held in “street name” by brokers and other nominees. The number of stockholders of record also does not include stockholders whose shares may be held in trust or by other entities.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have never paid cash dividends on our common stock and do not anticipate paying cash dividends on our common stock for the foreseeable future. The payment of dividends on our common stock will depend on earnings, financial condition and other business and economic factors affecting us at such time as the Board of Directors may consider relevant.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our equity compensation plans in effect as of December 31, 2022 (including upon the exercise of stock options and the vesting of restricted stock units (RSUs)):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Equity Compensation Plan Information</w:t>
            </w: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Securities to be</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Issued upon</w:t>
            </w:r>
          </w:p>
        </w:tc>
        <w:tc>
          <w:tcPr>
            <w:tcW w:w="1620" w:type="dxa"/>
            <w:vAlign w:val="bottom"/>
            <w:gridSpan w:val="2"/>
            <w:vMerge w:val="continue"/>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Exercise of</w:t>
            </w:r>
          </w:p>
        </w:tc>
        <w:tc>
          <w:tcPr>
            <w:tcW w:w="16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Exercise Price of</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1"/>
              </w:rPr>
              <w:t>Options,</w:t>
            </w:r>
          </w:p>
        </w:tc>
        <w:tc>
          <w:tcPr>
            <w:tcW w:w="16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1"/>
              </w:rPr>
              <w:t>Options,</w:t>
            </w: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Warrants and</w:t>
            </w:r>
          </w:p>
        </w:tc>
        <w:tc>
          <w:tcPr>
            <w:tcW w:w="16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Warrants and</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Rights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Rights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
        </w:trPr>
        <w:tc>
          <w:tcPr>
            <w:tcW w:w="6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449" w:right="339" w:bottom="1440" w:gutter="0" w:footer="0" w:header="0"/>
        </w:sectPr>
      </w:pPr>
    </w:p>
    <w:p>
      <w:pPr>
        <w:ind w:left="20" w:right="500"/>
        <w:spacing w:after="0" w:line="306" w:lineRule="auto"/>
        <w:rPr>
          <w:sz w:val="20"/>
          <w:szCs w:val="20"/>
          <w:color w:val="auto"/>
        </w:rPr>
      </w:pPr>
      <w:r>
        <w:rPr>
          <w:rFonts w:ascii="Arial" w:cs="Arial" w:eastAsia="Arial" w:hAnsi="Arial"/>
          <w:sz w:val="17"/>
          <w:szCs w:val="17"/>
          <w:color w:val="auto"/>
        </w:rPr>
        <w:t>Equity compensation plans approved by security holders (1), (2), (3), (4) Equity compensation plan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20" w:type="dxa"/>
            <w:vAlign w:val="bottom"/>
          </w:tcPr>
          <w:p>
            <w:pPr>
              <w:jc w:val="right"/>
              <w:spacing w:after="0"/>
              <w:rPr>
                <w:sz w:val="20"/>
                <w:szCs w:val="20"/>
                <w:color w:val="auto"/>
              </w:rPr>
            </w:pPr>
            <w:r>
              <w:rPr>
                <w:rFonts w:ascii="Arial" w:cs="Arial" w:eastAsia="Arial" w:hAnsi="Arial"/>
                <w:sz w:val="18"/>
                <w:szCs w:val="18"/>
                <w:color w:val="auto"/>
              </w:rPr>
              <w:t>15,814,314</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9.87</w:t>
            </w:r>
          </w:p>
        </w:tc>
        <w:tc>
          <w:tcPr>
            <w:tcW w:w="1520" w:type="dxa"/>
            <w:vAlign w:val="bottom"/>
          </w:tcPr>
          <w:p>
            <w:pPr>
              <w:jc w:val="right"/>
              <w:spacing w:after="0"/>
              <w:rPr>
                <w:sz w:val="20"/>
                <w:szCs w:val="20"/>
                <w:color w:val="auto"/>
              </w:rPr>
            </w:pPr>
            <w:r>
              <w:rPr>
                <w:rFonts w:ascii="Arial" w:cs="Arial" w:eastAsia="Arial" w:hAnsi="Arial"/>
                <w:sz w:val="18"/>
                <w:szCs w:val="18"/>
                <w:color w:val="auto"/>
              </w:rPr>
              <w:t>18,382,213</w:t>
            </w:r>
          </w:p>
        </w:tc>
      </w:tr>
      <w:tr>
        <w:trPr>
          <w:trHeight w:val="23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15,814,314</w:t>
            </w: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18,382,213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35" w:lineRule="exact"/>
        <w:rPr>
          <w:sz w:val="20"/>
          <w:szCs w:val="20"/>
          <w:color w:val="auto"/>
        </w:rPr>
      </w:pPr>
    </w:p>
    <w:p>
      <w:pPr>
        <w:sectPr>
          <w:pgSz w:w="11900" w:h="16838" w:orient="portrait"/>
          <w:cols w:equalWidth="0" w:num="2">
            <w:col w:w="5760" w:space="720"/>
            <w:col w:w="4760"/>
          </w:cols>
          <w:pgMar w:left="320" w:top="449" w:right="339" w:bottom="1440" w:gutter="0" w:footer="0" w:header="0"/>
          <w:type w:val="continuous"/>
        </w:sectPr>
      </w:pPr>
    </w:p>
    <w:p>
      <w:pPr>
        <w:ind w:left="340" w:right="140" w:hanging="332"/>
        <w:spacing w:after="0" w:line="26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equity compensation plans approved by security holders are the 2014 Equity Incentive Plan (2014 Plan) and the 2015 Equity Incentive Plan (2015 Plan). The 2014 Plan has terminated as to future grants. The amount shown in Column (a) with respect to the 2014 Plan includes 503,493 shares issuable upon the exercise of vested stock options. The amount shown in Column (a) with respect to the 2015 Plan includes 8,334,489 shares issuable upon the exercise of vested stock options and 2,615,574 shares issuable upon the vesting of RSUs.</w:t>
      </w:r>
    </w:p>
    <w:p>
      <w:pPr>
        <w:spacing w:after="0" w:line="87" w:lineRule="exact"/>
        <w:rPr>
          <w:rFonts w:ascii="Arial" w:cs="Arial" w:eastAsia="Arial" w:hAnsi="Arial"/>
          <w:sz w:val="16"/>
          <w:szCs w:val="16"/>
          <w:color w:val="auto"/>
        </w:rPr>
      </w:pPr>
    </w:p>
    <w:p>
      <w:pPr>
        <w:jc w:val="both"/>
        <w:ind w:left="340" w:right="420" w:hanging="332"/>
        <w:spacing w:after="0" w:line="26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Amended and Restated ImmunityBio, Inc. 2015 Stock Incentive Plan (2015 NC Plan) was approved by security holders in conjunction with the Merger. The 2015 NC Plan has terminated as to future grants. The amount shown in Column (a) with respect to this plan includes 424,944 shares issuable upon the exercise of vested stock options and 3,935,814 shares issuable upon the vesting of RSUs.</w:t>
      </w:r>
    </w:p>
    <w:p>
      <w:pPr>
        <w:spacing w:after="0" w:line="88"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shown in Column (b) is the weighted average exercise price for stock options outstanding.</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shown in Column (c) is the number of shares available for future grants under the 2015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following graph compares the cumulative total return on our common stock, the Russell 2000 Index, and the NASDAQ Biotechnology Index over the five-year period ending December 31, 2022. The graph assumes that $100 was invested on December 31, 2017 in our common stock or the comparative indices, including reinvestment of dividends. The returns shown are based on historical results and are not indicative of, or intended to forecast, future performance of our common stock or the comparative indices. This performance graph shall not be deemed “filed” for purposes of Section 18 of the Exchange Act or incorporated by reference into any filing of ImmunityBio, Inc. under the Securities Act.</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Among ImmunityBio, Inc., the Russell 2000 Index</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and the NASDAQ Biotechnology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No shares of our common stock were repurchased during the three months ended December 31, 2022 under the 2015 Share Repurchase Program. As of December 31, 2022, $18.3 million remained authorized to use for share repurchases under the program. For additional information regarding the 2015 Share Repurchase Program,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Deficit,</w:t>
      </w:r>
      <w:r>
        <w:rPr>
          <w:rFonts w:ascii="Arial" w:cs="Arial" w:eastAsia="Arial" w:hAnsi="Arial"/>
          <w:sz w:val="18"/>
          <w:szCs w:val="18"/>
          <w:color w:val="auto"/>
        </w:rPr>
        <w:t xml:space="preserve"> of the “Notes to Consolidated Financial Statements” that appears in Part II, Item 8. “Financial Statements and Supplementary Data” of this Annual Report.</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description of our business appearing in Part I, Item 1. “Business” and the consolidated financial statements and related notes thereto in Part II, Item 8. “Financial Statements and Supplementary Data” of this Annual Report. This discussion contains forward-looking statements as a result of many factors, including those set forth under Part I, Item 1. “Business—Forward-Looking Statements” and Item 1A. “Risk Factors,” and elsewhere in this Annual Report. These statements are based on the current expectations and assumptions of management that are subject to risks and uncertainties. Actual results could differ materially from those discussed in or implied by such forward-looking statements. Factors that could cause or contribute to these differences include those discussed below and elsewhere in this Annual Report, particularly in Part I, Item 1A. “Risk Factors.” Except as required by law, we do not undertake any responsibility to update any of these factors or to announce publicly any revisions to any of the forward-looking statements contained in this or any document, whether as a result of new information, future events,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ImmunityBio, Inc. is a clinical-stage biotechnology company developing next-generation therapies and vaccines that complement, harness, and amplify the immune system to defeat cancers and infectious diseases. We strive to be a vertically-integrated immunotherapy company designing and manufacturing our products so they are more effective, accessible, more conveniently stored, and more easily administered to patients.</w:t>
      </w:r>
    </w:p>
    <w:p>
      <w:pPr>
        <w:spacing w:after="0" w:line="14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broad immunotherapy and cell therapy platforms are designed to attack cancer and infectious pathogens by activating both the innate immune system—NK cells, dendritic cells, and macrophages—and the adaptive immune system—B cells and T cells—in an orchestrated manner. The goal of this potentially best-in-class approach is to generate immunogenic cell death thereby eliminating rogue cells from the body whether they are cancerous or virally infected and to ultimately establish an “immunological memory” that confers long-term benefit for the patient.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business is based on the foundation of multiple platforms that collectively act on the entire immune response with the goal of targeted, durable, coordinated, and safe immunity against disease. These platforms and their associated product candidates are designed to overcome the limitations of the current standards of care in oncology and infectious diseases, such as checkpoint inhibitors and antiretroviral therapies. Our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5966460" cy="3317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platforms include 9 first-in-human therapeutic agents that are currently being studied in 26 clinical trials—17 of which are in Phase 2 or</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3 development—across 12 indications in liquid and solid tumors, including bladder, pancreatic and lung cancers. These are among the most frequent and lethal cancer types for which there are high failure rates for existing standards of care or, in some cases, no available effective treatment. In infectious diseases, our pipeline currently targets such pathogens as SARS-CoV-2 and HIV. We believe SARS-CoV-2 currently lacks a vaccine that provides long-term protection against the virus, particularly its variants, while HIV affects tens of millions of people globally and currently has no known cure.</w:t>
      </w:r>
    </w:p>
    <w:p>
      <w:pPr>
        <w:spacing w:after="0" w:line="161"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color w:val="auto"/>
        </w:rPr>
        <w:t>We believe that our innovative approach to orchestrate and combine therapies for optimal immune system response will become a therapeutic foundation across multiple clinical indications. Additionally, we believe that data from multiple clinical trials indicates N-803 has broad potential to enhance the activity of therapeutic mAbs, including checkpoint inhibitors (e.g.,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across a wide range of tumor types. N-803 is currently being studied in 21 clinical trials (both ImmunityBio and investigator-sponsored) across 12 indications. Although such designations may not lead to a faster development process or regulatory review and may not increase the likelihood that a product candidate will receive approval, Anktiva, ImmunityBio’s novel antibody cytokine fusion protein, has received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and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designations in combination with BCG from the FDA for the treatment of patients with BCG-unresponsive NMIBC CIS with or without Ta or T1 disease. I</w:t>
      </w:r>
      <w:r>
        <w:rPr>
          <w:rFonts w:ascii="Arial" w:cs="Arial" w:eastAsia="Arial" w:hAnsi="Arial"/>
          <w:sz w:val="17"/>
          <w:szCs w:val="17"/>
          <w:color w:val="231F20"/>
        </w:rPr>
        <w:t>n</w:t>
      </w:r>
      <w:r>
        <w:rPr>
          <w:rFonts w:ascii="Arial" w:cs="Arial" w:eastAsia="Arial" w:hAnsi="Arial"/>
          <w:sz w:val="17"/>
          <w:szCs w:val="17"/>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that the FDA had accepted our BLA for review and set a target PDUFA action date of May 23, 2023. It is unclear when the FDA will approve our BLA, if at all.</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established GMP manufacturing capacity at scale with cutting-edge cell manufacturing expertise and ready-to-scale facilities, as well as extensive and seasoned R&amp;D, clinical trial, and regulatory operations, and development teams.</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On December 21, 2020, NantKwest and NantCell entered into the Merger Agreement, pursuant to which NantKwest and NantCell agreed to combine their businesses. The Merger Agreement provided that a wholly-owned subsidiary of the company would merge with and into NantCell, with NantCell surviving the Merger as a wholly-owned subsidiary of the company.</w:t>
      </w:r>
    </w:p>
    <w:p>
      <w:pPr>
        <w:spacing w:after="0" w:line="18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On March 9, 2021, we completed the Merger pursuant to the terms of the Merger Agreement. Under the terms of the Merger Agreement, at the effective time of the Merger (the Effective Time), each share of NantCell common stock, par value $0.001 per share, issued and outstanding immediately prior to the Effective Time, subject to certain exceptions as set forth in the Merger Agreement, was converted automatically into a right to receive 0.8190 (the Exchange Ratio) newly issued shares of common stock, par value $0.0001 per share, of the company (Company Common Stock), with cash paid in lieu of any fractional shares. At the Effective Time, each share of the company’s common stock issued and outstanding immediately prior to the Effective Time, remained an issued and outstanding share of the combined company. At the Effective Time, each outstanding option, RSU or warrant to purchase NantCell common stock was converted using the Exchange Ratio into an option, RSU or warrant, respectively, on the same terms and conditions immediately prior to the Effective Time, to purchase shares of Company Common Stock.</w:t>
      </w:r>
    </w:p>
    <w:p>
      <w:pPr>
        <w:spacing w:after="0" w:line="17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Immediately following the Effective Time, the former stockholders of NantCell held approximately 71.5% of the outstanding shares of Company Common Stock and the stockholders of NantKwest as of immediately prior to the Merger held approximately 28.5% of the outstanding shares of Company Common Stock. As a result of the Merger and immediately following the Effective Time, Dr. Patrick Soon-Shiong, our Executive Chairman and Global Chief Scientific and Medical Officer, and his affiliates beneficially owned, in the aggregate, approximately 81.8% of the outstanding shares of Company Common Stock. Following the consummation of the Merger, the symbol for shares of the company’s common stock was changed to “IBRX.”</w:t>
      </w:r>
    </w:p>
    <w:p>
      <w:pPr>
        <w:spacing w:after="0" w:line="16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We incurred costs totaling $23.3 million in connection with the Merger, consisting of financial advisory, legal and other professional fees, of which $13.0 million and $10.3 million were recorded for the years ended December 31, 2021 and 2020,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 xml:space="preserve">The Merger represents a business combination pursuant to Financial Accounting Standards Board (FASB) Accounting Standards Codification (ASC) Topic 805-50, </w:t>
      </w:r>
      <w:r>
        <w:rPr>
          <w:rFonts w:ascii="Arial" w:cs="Arial" w:eastAsia="Arial" w:hAnsi="Arial"/>
          <w:sz w:val="17"/>
          <w:szCs w:val="17"/>
          <w:i w:val="1"/>
          <w:iCs w:val="1"/>
          <w:color w:val="auto"/>
        </w:rPr>
        <w:t>Mergers</w:t>
      </w:r>
      <w:r>
        <w:rPr>
          <w:rFonts w:ascii="Arial" w:cs="Arial" w:eastAsia="Arial" w:hAnsi="Arial"/>
          <w:sz w:val="17"/>
          <w:szCs w:val="17"/>
          <w:color w:val="auto"/>
        </w:rPr>
        <w:t>, which was accounted for as a transaction between entities under common control as Dr. Soon</w:t>
      </w:r>
      <w:r>
        <w:rPr>
          <w:rFonts w:ascii="MS PGothic" w:cs="MS PGothic" w:eastAsia="MS PGothic" w:hAnsi="MS PGothic"/>
          <w:sz w:val="17"/>
          <w:szCs w:val="17"/>
          <w:color w:val="auto"/>
        </w:rPr>
        <w:t>‑</w:t>
      </w:r>
      <w:r>
        <w:rPr>
          <w:rFonts w:ascii="Arial" w:cs="Arial" w:eastAsia="Arial" w:hAnsi="Arial"/>
          <w:sz w:val="17"/>
          <w:szCs w:val="17"/>
          <w:color w:val="auto"/>
        </w:rPr>
        <w:t>Shiong and his affiliates were the controlling stockholders of both the company and NantCell for all of the periods presented in this report. As a result, all of the assets and liabilities of NantCell were combined with ours at their historical carrying amounts on the closing date of the Merger. We recast our prior period financial statements for the years ended December 31, 2021 and 2020 to reflect the conveyance of NantCell’s common shares as if the Merger had occurred as of the earliest date of the consolidated financial statements presented in Part II, Item 8. “Financial Statements and Supplementary Data” of this Annual Report. All material intercompany accounts and transactions have been eliminated in consolidation.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COVID-19 pandemic continues to present a substantial public health and economic challenge around the world. Through the date of this Annual Report, we have not seen a material adverse impact to our business from the pandemic. However, given the unprecedented and continuously evolving nature of the pandemic, we cannot at this time predict the specific extent, duration, or full impact that this pandemic may have on our financial condition and results of operations, including ongoing and planned clinical trials. More specifically, the pandemic may result in prolonged impacts that we cannot predict at this time and we expect that such uncertainties will continue to exist for the foreseeable future. The impact of the pandemic on our financial performance will depend on future developments, including the duration and spread of the outbreak, impact of potential variants and the related governmental advisories and restrictions. These developments and the impact of the ongoing pandemic on the financial markets and the overall economy are highly uncertain. If the financial markets and/or the overall economy are impacted for an extended period, our results may be adversely affected. In addition, we anticipate that enrollment of patients in certain studies will likely take longer than previously forecasted and that our clinical trials may require additional time to complete which would in turn impact the timeline of BLA submissions of our product candidates and subsequent revenue generation.</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These factors have been accounted for in the company’s anticipated upcoming milestones. During any such delays in our clinical trials, we will continue to incur fixed costs such as selling, general and administrative expenses and operating expenses related to our laboratory, GMP manufacturing, and office facilities.</w:t>
      </w:r>
    </w:p>
    <w:p>
      <w:pPr>
        <w:spacing w:after="0" w:line="18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Many of our office-based employees have been working from home since mid-March 2020. Essential staffing levels for our research and development operations remain in place, including maintaining key personnel in our laboratory and GMP manufacturing facilities. It is likely that the pandemic and resulting mitigation efforts could have an impact in the future on our third-party suppliers who manufacture laboratory supplies required for our in-house manufacturing process, which in turn could have an impact on having sufficient clinical product supply available for our clinical trials. We have addressed this in part by ensuring that we have sufficient supplies on hand to weather interruptions in our supply chain.</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We continue to monitor the impact of the COVID-19 pandemic on our business, including our clinical trials, manufacturing facilities and capabilities, and ability to access necessary resources. For a discussion of the risks presented by the COVID-19 pandemic to our results of operations and financial condition, see </w:t>
      </w:r>
      <w:r>
        <w:rPr>
          <w:rFonts w:ascii="Arial" w:cs="Arial" w:eastAsia="Arial" w:hAnsi="Arial"/>
          <w:sz w:val="18"/>
          <w:szCs w:val="18"/>
          <w:u w:val="single" w:color="auto"/>
          <w:color w:val="0000FF"/>
        </w:rPr>
        <w:t>Part I, Item 1A. “Risk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From inception through the date of this Annual Report, we have generated minimal revenue from non-exclusive license agreements related to our cell lines, the sale of our bioreactors and related consumables, and grant programs. We have no clinical products approved for commercial sale and have not generated any revenue from therapeutic and vaccine product candidates that are under development. We have incurred net losses in each year since our inception and, as of December 31, 2022, we had an accumulated deficit of $2.4 billion. Our net losses attributable to ImmunityBio common stockholders were $416.6 million, $346.8 million, and $221.9 million for the years ended December 31, 2022, 2021 and 2020, respectively. Substantially all of our net losses resulted principally from costs incurred in connection with our ongoing clinical trials and operations, our research and development programs, and from selling, general and administrative costs associated with our operations, including stock-based compensation expense.</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As of December 31, 2022, we had 725 employees. Personnel of related companies who provide corporate, general and administrative, certain research and development, and other support services under our shared services agreement with NantWorks are not included in this number. For additional information,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Agreements,</w:t>
      </w:r>
      <w:r>
        <w:rPr>
          <w:rFonts w:ascii="Arial" w:cs="Arial" w:eastAsia="Arial" w:hAnsi="Arial"/>
          <w:sz w:val="18"/>
          <w:szCs w:val="18"/>
          <w:color w:val="auto"/>
        </w:rPr>
        <w:t xml:space="preserve"> of the “Notes to Consolidated Financial Statements” that appears in Part II, Item 8. “Financial Statements and Supplementary Data” of this Annual Report. In anticipation of the commercialization of select drug candidates, we expect to continue to incur significant expenses and increasing operating losses for the foreseeable future, which may fluctuate significantly from quarter-to-quarter and year-to-year. See “—</w:t>
      </w:r>
      <w:r>
        <w:rPr>
          <w:rFonts w:ascii="Arial" w:cs="Arial" w:eastAsia="Arial" w:hAnsi="Arial"/>
          <w:sz w:val="18"/>
          <w:szCs w:val="18"/>
          <w:i w:val="1"/>
          <w:iCs w:val="1"/>
          <w:color w:val="auto"/>
        </w:rPr>
        <w:t>Future Funding Requirements</w:t>
      </w:r>
      <w:r>
        <w:rPr>
          <w:rFonts w:ascii="Arial" w:cs="Arial" w:eastAsia="Arial" w:hAnsi="Arial"/>
          <w:sz w:val="18"/>
          <w:szCs w:val="18"/>
          <w:color w:val="auto"/>
        </w:rPr>
        <w:t>” below for a discussion of our anticipated expenditures and sources of capital we expect to access to fund these expenditures.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2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anticipate that strategic collaborations will continue to be an integral part of our operations, providing opportunities to leverage our partners’ expertise and capabilities to gain access to new technologies and further expand the potential of our technologies and product candidates across relevant platforms. We believe we are well positioned to become a leader in immunotherapy due to our broad and vertically-integrated platforms and through complementary strategic partnerships.</w:t>
      </w:r>
    </w:p>
    <w:p>
      <w:pPr>
        <w:spacing w:after="0" w:line="18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We believe that our innovative approach to orchestrate and combine therapies for optimal immune system response will become a therapeutic foundation across multiple clinical indications. Additionally, we believe that data from multiple clinical trials indicates N-803 has broad potential to enhance the activity of therapeutic mAbs, including checkpoint inhibitors (e.g., Keytruda), across a wide range of tumor types. N-803 is currently being studied in 21 clinical trials (both ImmunityBio and investigator-sponsored) across 12 indications. We may also enter into supply arrangements for various investigational agents to be used in our clinical trials.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License Agreements and Acquisition</w:t>
      </w:r>
      <w:r>
        <w:rPr>
          <w:rFonts w:ascii="Arial" w:cs="Arial" w:eastAsia="Arial" w:hAnsi="Arial"/>
          <w:sz w:val="18"/>
          <w:szCs w:val="18"/>
          <w:color w:val="auto"/>
        </w:rPr>
        <w:t>, of the “Notes to Consolidated Financial Statements” that appears in Part II, Item 8. “Financial Statements and Supplementary Data” of this Annual Report for a more detailed discussion regarding our collaboration and license agreements.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Related Parties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Executive Chairman, Global Chief Scientific and Medical Officer and our principal stockholder,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Executive Chairman and Global Chief Scientific and Medical Officer.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Debt</w:t>
      </w:r>
    </w:p>
    <w:p>
      <w:pPr>
        <w:spacing w:after="0" w:line="11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The following discussion of the company’s related-party promissory notes does not purport to be complete and is qualified in its entirety by reference to the full text of the notes, copies of which are filed in </w:t>
      </w:r>
      <w:r>
        <w:rPr>
          <w:rFonts w:ascii="Arial" w:cs="Arial" w:eastAsia="Arial" w:hAnsi="Arial"/>
          <w:sz w:val="16"/>
          <w:szCs w:val="16"/>
          <w:u w:val="single" w:color="auto"/>
          <w:color w:val="0000FF"/>
        </w:rPr>
        <w:t>Part IV, Item 15. “</w:t>
      </w:r>
      <w:r>
        <w:rPr>
          <w:rFonts w:ascii="Arial" w:cs="Arial" w:eastAsia="Arial" w:hAnsi="Arial"/>
          <w:sz w:val="16"/>
          <w:szCs w:val="16"/>
          <w:i w:val="1"/>
          <w:iCs w:val="1"/>
          <w:u w:val="single" w:color="auto"/>
          <w:color w:val="0000FF"/>
        </w:rPr>
        <w:t>Exhibits and Financial Statement Schedules”</w:t>
      </w:r>
      <w:r>
        <w:rPr>
          <w:rFonts w:ascii="Arial" w:cs="Arial" w:eastAsia="Arial" w:hAnsi="Arial"/>
          <w:sz w:val="16"/>
          <w:szCs w:val="16"/>
          <w:color w:val="auto"/>
        </w:rPr>
        <w:t xml:space="preserve"> of this Annual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Variable-Rate Promissory Note</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December 12, 2022, the company executed a $50.0 million promissory note with Nant Capital, an entity affiliated with Dr. Soon-Shiong, our Executive Chairman and Global Chief Scientific and Medical Officer. This note bears interest at Term Secured Overnight Financing Rate (Term SOFR) plus 8.0% per annum. The accrued interest on this note shall be payable quarterly on the last business day of March, June, September and December, commencing on December 30, 2022. The outstanding principal amount and any accrued and unpaid interest are due on December 31, 2023. The company may prepay the outstanding principal amount, together with any accrued interest at any time, in whole or in part, without premium or penalty. The company must prepay the outstanding principal amount, together with any accrued interest, if requested by the holder, following the successful closing of a strategic collaboration transaction with a large biopharmaceutical company.</w:t>
      </w:r>
    </w:p>
    <w:p>
      <w:pPr>
        <w:spacing w:after="0" w:line="17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received net proceeds of $49.7 million, net of a $0.3 million origination fee paid to the lender, which the company intends to use for pre-commercialization efforts and clinical development programs, other research and development activities, capital expenditures, and other general corporate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Fixed-Rate Promissory Note due 2025</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December 12, 2022, the company received written notice from NantWorks, the holder of the existing convertible promissory note of NantCell, Inc., a wholly-owned subsidiary of the company (the Existing Note), of its election to convert the entire outstanding principal and accrued interest under the Existing Note into shares of the company’s common stock. As of such date, the entire outstanding principal amount and accrued and unpaid interest due under the Existing Note was approximately $56.6 million, which were converted into 9,986,920 shares of the company’s common stock at a price of $5.67 per share in accordance with the terms of the Existing Note.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$125.0 million Variable-Rate Promissory Note</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On August 31, 2022, the company executed a $125.0 million promissory note with Nant Capital that bears interest at Term SOFR plus 8.0% per annum. The accrued interest is payable quarterly on the last business day of March, June, September and December, commencing on September 30, 2022. The outstanding principal amount and any accrued and unpaid interest are due on December 31, 2023. The company may prepay the outstanding principal amount, together with any accrued interest at any time, in whole or in part, without premium or penalty.</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received net proceeds of $124.4 million, net of a $0.6 million origination fee paid to the lender, which the company intends to use for pre-commercialization efforts and clinical development programs, working capital and other general corporate purposes.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$300.0 million Variable-Rate Promissory Note</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December 31, 2022, the company has a $300.0 million variable-rate promissory note with Nant Capital. On August 31, 2022, the terms of this promissory note were amended and restated to extend the maturity date of the loan from December 17, 2022 to December 31, 2023, increase the spread on the loan from Term SOFR plus 5.4% per annum to Term SOFR plus 8.0% per annum, and reset the quarterly interest payment date from the 17th of the month to the last business day of March, June, September and December, commencing on September 30, 2022. No other material terms or conditions of this variable-rate promissory note were modified as part of this amendment and restatement. In the event of a default on the loan (as defined in the promissory note), including if the company does not repay the loan at maturity, the company has the right, at its sole option, to convert the outstanding principal amount and accrued and unpaid interest due under this note into shares of the company’s common stock at a price of $5.67 per share.</w:t>
      </w:r>
    </w:p>
    <w:p>
      <w:pPr>
        <w:spacing w:after="0" w:line="16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There can be no assurance that the company can refinance the variable-rate promissory notes described above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Fixed-Rate Convertible Promissory Notes</w:t>
      </w:r>
    </w:p>
    <w:p>
      <w:pPr>
        <w:spacing w:after="0" w:line="11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of December 31, 2022, the company has outstanding fixed-rate promissory notes with entities affiliated with Dr. Soon-Shiong in an aggregate amount of $262.4 million (consisting of principal and accrued and unpaid interest). These notes bear interest at a per annum rate ranging from 3.0% to</w:t>
      </w:r>
    </w:p>
    <w:p>
      <w:pPr>
        <w:ind w:right="80"/>
        <w:spacing w:after="0" w:line="253" w:lineRule="auto"/>
        <w:rPr>
          <w:sz w:val="20"/>
          <w:szCs w:val="20"/>
          <w:color w:val="auto"/>
        </w:rPr>
      </w:pPr>
      <w:r>
        <w:rPr>
          <w:rFonts w:ascii="Arial" w:cs="Arial" w:eastAsia="Arial" w:hAnsi="Arial"/>
          <w:sz w:val="18"/>
          <w:szCs w:val="18"/>
          <w:color w:val="auto"/>
        </w:rPr>
        <w:t>6.0%, provide that the outstanding principal is due and payable on September 30, 2025, and accrued and unpaid interest is payable on either upon maturity or, with respect to one of the notes, on a quarterly basis. The company may prepay the outstanding amount of any advance under such notes, together with accrued and unpaid interest, at any time, in whole or in part, without premium or penalty, now subject to an advance notice period of at least five business days, during which the lender can convert the amount requested to be prepaid by the company into shares of company common stock, as part of the amendment and restatement described below.</w:t>
      </w:r>
    </w:p>
    <w:p>
      <w:pPr>
        <w:spacing w:after="0" w:line="19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On August 31, 2022, the terms of each fixed-rate promissory note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No other material terms or conditions of these fixed-rate promissory notes were modified as part of these amendments.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mmuno-Oncology Clinic, Inc.</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2021, we completed a review of alternative structures that could support our more complex clinical trial requirements and made a decision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explore a potential transition of clinical trials at the Clinic to a new structure (including contracting with a new, non-affiliated professional corporation)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determined and agreed upon by all parties. We continue productive negotiations with potential partners around alternative structures and expect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complete the process during the year ending December 31, 2023, but there can be no assurance that we will be successful.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2022, we incurred $2.4 million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on the consolidated statement of operations related to clinical trial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transition services provided by the Clinic.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NantWorks</w:t>
      </w:r>
    </w:p>
    <w:p>
      <w:pPr>
        <w:spacing w:after="0" w:line="117"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On May 6, 2022, we amended our facility license agreement with NantWorks to expand the licensed premises to an aggregate total of 46,330 rentable square feet.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23 Alaska, LLC</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May 6, 2022, we entered into a lease agreement with 23 Alaska, LLC for a 47,265 rentable square foot facility located at 2335 Alaska Ave., El Segundo, California, to be used primarily for quality control and process science activities.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557 Doug St, LLC</w:t>
      </w:r>
    </w:p>
    <w:p>
      <w:pPr>
        <w:spacing w:after="0" w:line="11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Effective September 27, 2021, we entered into a lease agreement with Nant Capital under which we leased 557 South Douglas Street in El Segundo, California. Effective May 31, 2022, we executed a lease termination agreement with Nant Capital under which we received a full refund of the first month’s rent and security deposit totaling $0.2 million that we paid upon execution of the lease.</w:t>
      </w:r>
    </w:p>
    <w:p>
      <w:pPr>
        <w:spacing w:after="0" w:line="184"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Debt,</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Agreements</w:t>
      </w:r>
      <w:r>
        <w:rPr>
          <w:rFonts w:ascii="Arial" w:cs="Arial" w:eastAsia="Arial" w:hAnsi="Arial"/>
          <w:sz w:val="18"/>
          <w:szCs w:val="18"/>
          <w:color w:val="auto"/>
        </w:rPr>
        <w:t>, of the “Notes to Consolidated Financial Statements” that appear in Part II, Item 8. “Financial Statements and Supplementary Data” of this Annual Report for a more detailed discussion regarding our related-party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inception through the date of this Annual Report, we have generated minimal revenue from non-exclusive license agreements related to our cell lines, the sale of our bioreactors and related consumables, and grant programs. We have no clinical products approved for commercial sale and have not generated any revenue from therapeutic and vaccine product candidates that are under development. If we fail to complete the development of our product candidates in a timely manner or fail to obtain regulatory approval for them, we may never be able to generate substantial future revenue.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generally classify our operating expenses into research and development, and selling, general and administrative expenses. Personnel costs, including salaries, benefits, bonuses, and stock-based compensation expense comprise a significant component of our research and development, and selling, general and administrative expense categories. We allocate expenses associated with our facilities and information technology costs between these two categories, primarily based on the nature of each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Research and development expense consists of expenses incurred while performing research and development activities to discover and develop our technology and product candidates. This includes conducting preclinical studies and clinical trials, manufacturing development efforts and activities related to regulatory filings for product candidates. We recognize research and development expenses as they are incurred.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research and development expenses primarily consist of:</w:t>
      </w:r>
    </w:p>
    <w:p>
      <w:pPr>
        <w:spacing w:after="0" w:line="171"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clinical trial and regulatory-related costs;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expenses incurred under agreements with investigative sites and consultants that conduct our clinical trials;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expenses incurred under collaborative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manufacturing and testing costs and related supplies and materials;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employee-related expenses, including salaries, benefits, travel and stock-based compensation;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facility expenses dedicated to research and development.</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7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expect our research and development expense to continue to increase significantly for the foreseeable future as we advance our product candidates through clinical development, including the conduct of our ongoing and any future clinical trials.</w:t>
      </w:r>
    </w:p>
    <w:p>
      <w:pPr>
        <w:spacing w:after="0" w:line="170"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any product candidates. This is due to the numerous risks and uncertainties associated with the development of product candidates.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of clinical trials may vary significantly over the life of a project owing to, but not limited to, the following:</w:t>
      </w:r>
    </w:p>
    <w:p>
      <w:pPr>
        <w:spacing w:after="0" w:line="171"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number of sites included in the clinical trials;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countries in which the clinical trials are conducted;</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number of patients that participate in the clinical trials;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cost of comparative agents used in clinical trials;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safety profile and efficacy of the product candidate.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231F20"/>
        </w:rPr>
        <w:t xml:space="preserve">We have only one product candidate, Anktiva in combination with BCG for the treatment of patients with BCG-unresponsive NMIBC with CIS with or without Ta or T1 disease, for which we submitted a BLA to the FDA in May 2022. </w:t>
      </w:r>
      <w:r>
        <w:rPr>
          <w:rFonts w:ascii="Arial" w:cs="Arial" w:eastAsia="Arial" w:hAnsi="Arial"/>
          <w:sz w:val="18"/>
          <w:szCs w:val="18"/>
          <w:color w:val="000000"/>
        </w:rPr>
        <w:t>In July 2022, we announced that the FDA had accepted our</w:t>
      </w:r>
      <w:r>
        <w:rPr>
          <w:rFonts w:ascii="Arial" w:cs="Arial" w:eastAsia="Arial" w:hAnsi="Arial"/>
          <w:sz w:val="18"/>
          <w:szCs w:val="18"/>
          <w:color w:val="231F20"/>
        </w:rPr>
        <w:t xml:space="preserve"> </w:t>
      </w:r>
      <w:r>
        <w:rPr>
          <w:rFonts w:ascii="Arial" w:cs="Arial" w:eastAsia="Arial" w:hAnsi="Arial"/>
          <w:sz w:val="18"/>
          <w:szCs w:val="18"/>
          <w:color w:val="000000"/>
        </w:rPr>
        <w:t>BLA for review and set a target PDUFA action date of May 23, 2023. However, there can be no assurance that our product candidate will be approved for commercial sale by the target PDUFA action date, if ever. We do not expect any of our other product candidates to be commercially available for the foreseeable future, if ever.</w:t>
      </w: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and administrative support functions. Other selling, general and administrative expenses include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that our selling, general and administrative expense will increase for the foreseeable future as we expand operations,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if and when we believe that a regulatory approval of a product candidate appears likely, we expect to incur significant increases in our selling, general and administrative expense relating to the sales and marketing of the approved product candidate.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Other income and expense consists primarily of interest income, interest expense, unrealized gains and losses on investments in equity securities and equity-method investments, realized gains and losses on both debt and equity securities, and gains and losses on foreign currency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We are subject to U.S. federal income tax, as well as income tax in Italy, South Korea, California and other states. From inception through December 31, 2022, we have not been required to pay U.S. federal and state income taxes because of current losses from operations.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
                <w:szCs w:val="2"/>
                <w:color w:val="auto"/>
              </w:rPr>
            </w:pPr>
          </w:p>
        </w:tc>
        <w:tc>
          <w:tcPr>
            <w:tcW w:w="15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76"/>
        </w:trPr>
        <w:tc>
          <w:tcPr>
            <w:tcW w:w="5220" w:type="dxa"/>
            <w:vAlign w:val="bottom"/>
          </w:tcPr>
          <w:p>
            <w:pPr>
              <w:ind w:left="180"/>
              <w:spacing w:after="0" w:line="176" w:lineRule="exact"/>
              <w:rPr>
                <w:sz w:val="20"/>
                <w:szCs w:val="20"/>
                <w:color w:val="auto"/>
              </w:rPr>
            </w:pPr>
            <w:r>
              <w:rPr>
                <w:rFonts w:ascii="Arial" w:cs="Arial" w:eastAsia="Arial" w:hAnsi="Arial"/>
                <w:sz w:val="18"/>
                <w:szCs w:val="18"/>
                <w:color w:val="auto"/>
              </w:rPr>
              <w:t>Selling, general and administrative (including amounts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320"/>
              <w:spacing w:after="0"/>
              <w:rPr>
                <w:sz w:val="20"/>
                <w:szCs w:val="20"/>
                <w:color w:val="auto"/>
              </w:rPr>
            </w:pPr>
            <w:r>
              <w:rPr>
                <w:rFonts w:ascii="Arial" w:cs="Arial" w:eastAsia="Arial" w:hAnsi="Arial"/>
                <w:sz w:val="18"/>
                <w:szCs w:val="18"/>
                <w:color w:val="auto"/>
              </w:rPr>
              <w:t>with related parties)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102,708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(32,548)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351,538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331,214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investment (loss) income,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Interest expense (including amounts with related parties)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equity method investment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1408 %</w:t>
            </w:r>
          </w:p>
        </w:tc>
        <w:tc>
          <w:tcPr>
            <w:tcW w:w="0" w:type="dxa"/>
            <w:vAlign w:val="bottom"/>
          </w:tcPr>
          <w:p>
            <w:pPr>
              <w:spacing w:after="0"/>
              <w:rPr>
                <w:sz w:val="1"/>
                <w:szCs w:val="1"/>
                <w:color w:val="auto"/>
              </w:rPr>
            </w:pP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13,460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Other (loss) income, net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 related parties)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(46,429)</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 and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Revenue decreased $0.7 million for the year ended December 31, 2022, as compared to the year ended December 31, 2021. The decrease was primarily driven by less bioreactor and royalty revenue received in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Research and development expenses were $248.1 million for the year ended December 31, 2022, compared to $196.0 million for the year ended December 31, 2021. The following table summarizes our research and development expenses for the years ended December 31, 2022 and 2021, together with the changes in those items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Personnel-related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Equipment, depreciation, and facility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18,289</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research and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internal research and development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29,183</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increased $52.2 million primarily attributable to the following:</w:t>
      </w:r>
    </w:p>
    <w:p>
      <w:pPr>
        <w:spacing w:after="0" w:line="171" w:lineRule="exact"/>
        <w:rPr>
          <w:sz w:val="20"/>
          <w:szCs w:val="20"/>
          <w:color w:val="auto"/>
        </w:rPr>
      </w:pPr>
    </w:p>
    <w:p>
      <w:pPr>
        <w:ind w:left="980" w:right="360" w:hanging="324"/>
        <w:spacing w:after="0" w:line="263" w:lineRule="auto"/>
        <w:tabs>
          <w:tab w:leader="none" w:pos="97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 $23.0 million increase in external research and development expenses that was primarily due to a rise in CMO fees and drug materials purchased used in manufacturing, an increase in regulatory and compliance costs resulting from the BLA submission for our product candidate Anktiva, and higher equipment validation and qualification costs;</w:t>
      </w:r>
    </w:p>
    <w:p>
      <w:pPr>
        <w:spacing w:after="0" w:line="129" w:lineRule="exact"/>
        <w:rPr>
          <w:rFonts w:ascii="Arial" w:cs="Arial" w:eastAsia="Arial" w:hAnsi="Arial"/>
          <w:sz w:val="18"/>
          <w:szCs w:val="18"/>
          <w:b w:val="1"/>
          <w:bCs w:val="1"/>
          <w:color w:val="auto"/>
        </w:rPr>
      </w:pPr>
    </w:p>
    <w:p>
      <w:pPr>
        <w:ind w:left="980" w:right="140" w:hanging="324"/>
        <w:spacing w:after="0" w:line="277" w:lineRule="auto"/>
        <w:tabs>
          <w:tab w:leader="none" w:pos="97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 $13.8 million increase in personnel-related costs that was primarily the result of higher headcount additions for personnel involved in our quality control, clinical operations and drug discovery and development activities;</w:t>
      </w:r>
    </w:p>
    <w:p>
      <w:pPr>
        <w:spacing w:after="0" w:line="116" w:lineRule="exact"/>
        <w:rPr>
          <w:rFonts w:ascii="Arial" w:cs="Arial" w:eastAsia="Arial" w:hAnsi="Arial"/>
          <w:sz w:val="18"/>
          <w:szCs w:val="18"/>
          <w:b w:val="1"/>
          <w:bCs w:val="1"/>
          <w:color w:val="auto"/>
        </w:rPr>
      </w:pPr>
    </w:p>
    <w:p>
      <w:pPr>
        <w:jc w:val="both"/>
        <w:ind w:left="980" w:right="600" w:hanging="324"/>
        <w:spacing w:after="0" w:line="342" w:lineRule="auto"/>
        <w:tabs>
          <w:tab w:leader="none" w:pos="975"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An $18.3 million increase in equipment, depreciation, and facility costs that was primarily due to the expansion of our manufacturing facilities in California and New York, which resulted in increases in lease expense, maintenance costs, and depreciation expense; and</w:t>
      </w:r>
    </w:p>
    <w:p>
      <w:pPr>
        <w:spacing w:after="0" w:line="69" w:lineRule="exact"/>
        <w:rPr>
          <w:rFonts w:ascii="Arial" w:cs="Arial" w:eastAsia="Arial" w:hAnsi="Arial"/>
          <w:sz w:val="16"/>
          <w:szCs w:val="16"/>
          <w:b w:val="1"/>
          <w:bCs w:val="1"/>
          <w:color w:val="auto"/>
        </w:rPr>
      </w:pPr>
    </w:p>
    <w:p>
      <w:pPr>
        <w:jc w:val="both"/>
        <w:ind w:left="980" w:right="80" w:hanging="324"/>
        <w:spacing w:after="0" w:line="311" w:lineRule="auto"/>
        <w:tabs>
          <w:tab w:leader="none" w:pos="975"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A $2.9 million decrease in other research and development costs that was primarily attributable to greater nonclinical collaboration expenses in the current period allocated to our joint venture, partially offset by an increase in application costs associated with submitting the BLA for our product candidate Anktiva, an increase in impairment costs associated with a group of long-lived assets, and an increase in license fees.</w:t>
      </w:r>
    </w:p>
    <w:p>
      <w:pPr>
        <w:spacing w:after="0" w:line="9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expect our research and development expenses to increase significantly for the foreseeable future as we continue to invest in research and development activities related to developing our product candidates and conduct our ongoing and planned clinical trials.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Selling, general and administrative expense decreased $32.5 million for the year ended December 31, 2022, as compared to the year ended December 31, 2021. The reduction in selling, general and administrative expense was primarily driven by a $29.5 million net decline in legal expenses as a result of greater insurance reimbursements received in the current period that offset current-period legal expenses, as well as $11.0 million in lower general consulting costs and insurance costs primarily due to Merger-related expenses incurred in the prior period. These decreases were partially offset by an increase of $4.7 million in personnel costs, including shared services costs and stock compensation costs as a result of a rise in headcount, recruiting costs and travel-related expenses, as well as an increase of $1.8 million in software license fees and an increase of $1.5 million in facility costs and other general administrative expenses.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11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Impairment of intangible assets increased $0.7 million for the year ended December 31, 2022, compared to the year ended December 31, 2021, due to the write off of the organized workforce with definite lives as a result of the workforce reduction at the Dunkirk Facility.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Other expense, net increased $46.4 million during the year ended December 31, 2022, as compared to the year ended December 31, 2021. The increase was due to a $48.7 million increase in interest expense driven by an increase in related</w:t>
      </w:r>
      <w:r>
        <w:rPr>
          <w:rFonts w:ascii="MS PGothic" w:cs="MS PGothic" w:eastAsia="MS PGothic" w:hAnsi="MS PGothic"/>
          <w:sz w:val="18"/>
          <w:szCs w:val="18"/>
          <w:color w:val="auto"/>
        </w:rPr>
        <w:t>‑</w:t>
      </w:r>
      <w:r>
        <w:rPr>
          <w:rFonts w:ascii="Arial" w:cs="Arial" w:eastAsia="Arial" w:hAnsi="Arial"/>
          <w:sz w:val="18"/>
          <w:szCs w:val="18"/>
          <w:color w:val="auto"/>
        </w:rPr>
        <w:t>party borrowings along with an increase in SOFR rates and amortization of debt discounts related to a gain on debt extinguishments, as well as an $11.3 million loss on our equity method investment in a joint venture, and an additional $0.9 million increase in other costs as a result of issuance costs allocated to the warrant liability. These increases were partially offset by a $13.5 million decrease in the fair value of our warrant liability and a $1.0 million decrease in net interest and investment losses as a result of higher interest income and lower unrealized losses related to marketable equity securities partially offset by amortization of premiums on our marketable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Part II, Item 7, “</w:t>
      </w:r>
      <w:r>
        <w:rPr>
          <w:rFonts w:ascii="Arial" w:cs="Arial" w:eastAsia="Arial" w:hAnsi="Arial"/>
          <w:sz w:val="16"/>
          <w:szCs w:val="16"/>
          <w:i w:val="1"/>
          <w:iCs w:val="1"/>
          <w:color w:val="auto"/>
        </w:rPr>
        <w:t>Management’s Discussion and Analysis of Financial Condition and Results of Operations—Results of Operations</w:t>
      </w:r>
      <w:r>
        <w:rPr>
          <w:rFonts w:ascii="Arial" w:cs="Arial" w:eastAsia="Arial" w:hAnsi="Arial"/>
          <w:sz w:val="16"/>
          <w:szCs w:val="16"/>
          <w:color w:val="auto"/>
        </w:rPr>
        <w:t>” of our</w:t>
      </w:r>
    </w:p>
    <w:p>
      <w:pPr>
        <w:spacing w:after="0" w:line="46" w:lineRule="exact"/>
        <w:rPr>
          <w:sz w:val="20"/>
          <w:szCs w:val="20"/>
          <w:color w:val="auto"/>
        </w:rPr>
      </w:pPr>
    </w:p>
    <w:p>
      <w:pPr>
        <w:spacing w:after="0"/>
        <w:rPr>
          <w:rFonts w:ascii="Arial" w:cs="Arial" w:eastAsia="Arial" w:hAnsi="Arial"/>
          <w:sz w:val="18"/>
          <w:szCs w:val="18"/>
          <w:color w:val="0000FF"/>
        </w:rPr>
      </w:pPr>
      <w:hyperlink r:id="rId152">
        <w:r>
          <w:rPr>
            <w:rFonts w:ascii="Arial" w:cs="Arial" w:eastAsia="Arial" w:hAnsi="Arial"/>
            <w:sz w:val="18"/>
            <w:szCs w:val="18"/>
            <w:u w:val="single" w:color="auto"/>
            <w:color w:val="0000FF"/>
          </w:rPr>
          <w:t>Annual Report on Form 10-K</w:t>
        </w:r>
        <w:r>
          <w:rPr>
            <w:rFonts w:ascii="Arial" w:cs="Arial" w:eastAsia="Arial" w:hAnsi="Arial"/>
            <w:sz w:val="18"/>
            <w:szCs w:val="18"/>
            <w:color w:val="0000FF"/>
          </w:rPr>
          <w:t xml:space="preserve">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with the SEC on March 1, 2022 for a discussion of the company’s results of operations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compared to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Our principal sources of liquidity are our existing cash, cash equivalents, and marketable securities. We have historically invested our cash primarily in investment grade short- to intermediate-term corporate debt securities, commercial paper, government-sponsored securities, U.S. treasury securities, and foreign government bonds and classify these investments as available-for-sale. Certain of these investments are subject to general credit, liquidity and other market risks. The general condition of the financial markets and the economy may increase those risks and may affect the value and liquidity of investments and restrict our ability to access the capital markets.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Marketable Securities on Hand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2022, we had cash and cash equivalents, and marketable securities of $108.0 million compared to $317.9 million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On April 30, 2021, we entered into an open market sale agreement (the Sale Agreement) with respect to an ATM offering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which we may offer and sell, from time to time at our sole discretion, shares of our common stock, having an aggregate offering price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 million through our sales agent, which was subsequently reduced by $92.0 million during December 2022 in connection with a sale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 As of December 31, 2022, we had $225.4 million available for future stock issuances under the ATM.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Deficit</w:t>
      </w:r>
      <w:r>
        <w:rPr>
          <w:rFonts w:ascii="Arial" w:cs="Arial" w:eastAsia="Arial" w:hAnsi="Arial"/>
          <w:sz w:val="16"/>
          <w:szCs w:val="16"/>
          <w:color w:val="auto"/>
        </w:rPr>
        <w: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to Consolidated Financial Statements” that appears in Part II, Item 8. “Financial Statements and Supplementary Data” of this Annual Report.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from the ATM</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year ended December 31, 2022, we received net proceeds totaling $13.1 million from the issuance of 2,051,894 shares under the ATM. We currently intend to use the net proceeds from this offering for pre-commercialization efforts and clinical development programs, other research and development activities, capital expenditures, and other general corporate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from Registered Direct Offerings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12, 2022, we entered into a securities purchase agreement with an institutional investor for the sale of 9,090,909 shares of our common stock, as well as warrants to purchase an additional 9,090,909 shares of common stock at an exercise price of $6.60 per share, for a purchase price of $5.50 per share and accompanying warrant, generating net proceeds of approximately $47.0 million, after deducting placement agent fees and other offering costs.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February 15, 2023, we entered into a securities purchase agreement with certain institutional investors for the sale of 14,072,615 shares of our common stock, as well as warrants to purchase an additional 14,072,615 shares of common stock at an exercise price of $4.2636 per share, for a purchase price of $3.5530 per share and accompanying warrant, generating net proceeds of approximately $47.0 million, after deducting placement agent fees and other estimated offering costs. The closing of the offering occurred on February 17, 2023.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 We may also use a portion of the net proceeds to license intellectual property or to make acquisitions or investments. See “</w:t>
      </w:r>
      <w:r>
        <w:rPr>
          <w:rFonts w:ascii="Arial" w:cs="Arial" w:eastAsia="Arial" w:hAnsi="Arial"/>
          <w:sz w:val="17"/>
          <w:szCs w:val="17"/>
          <w:u w:val="single" w:color="auto"/>
          <w:color w:val="0000FF"/>
        </w:rPr>
        <w:t>Subsequent Event</w:t>
      </w:r>
      <w:r>
        <w:rPr>
          <w:rFonts w:ascii="Arial" w:cs="Arial" w:eastAsia="Arial" w:hAnsi="Arial"/>
          <w:sz w:val="17"/>
          <w:szCs w:val="17"/>
          <w:color w:val="auto"/>
        </w:rPr>
        <w:t>” for further information.</w:t>
      </w:r>
    </w:p>
    <w:p>
      <w:pPr>
        <w:spacing w:after="0" w:line="17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order to complete the development of our current product candidates, and implement our business plan, we will require substantial additional funding. Furthermore, changing circumstances may cause us to increase our spending significantly faster than we currently anticipate, and we may need to raise even greater amounts of funds sooner if we choose to expand more rapidly than we presently anticipate. Moreover, our fixed expenses such as rent and other contractual commitments are substantial and are expected to increase in the future.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Liquidity</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cash used to fund our operating activities discussed in “</w:t>
      </w:r>
      <w:r>
        <w:rPr>
          <w:rFonts w:ascii="Arial" w:cs="Arial" w:eastAsia="Arial" w:hAnsi="Arial"/>
          <w:sz w:val="18"/>
          <w:szCs w:val="18"/>
          <w:i w:val="1"/>
          <w:iCs w:val="1"/>
          <w:color w:val="auto"/>
        </w:rPr>
        <w:t>—Future Funding Requirements</w:t>
      </w:r>
      <w:r>
        <w:rPr>
          <w:rFonts w:ascii="Arial" w:cs="Arial" w:eastAsia="Arial" w:hAnsi="Arial"/>
          <w:sz w:val="18"/>
          <w:szCs w:val="18"/>
          <w:color w:val="auto"/>
        </w:rPr>
        <w:t>” below, we will require cash to settle the following obligations:</w:t>
      </w:r>
    </w:p>
    <w:p>
      <w:pPr>
        <w:spacing w:after="0" w:line="116" w:lineRule="exact"/>
        <w:rPr>
          <w:sz w:val="20"/>
          <w:szCs w:val="20"/>
          <w:color w:val="auto"/>
        </w:rPr>
      </w:pPr>
    </w:p>
    <w:p>
      <w:pPr>
        <w:ind w:left="980" w:right="160" w:hanging="324"/>
        <w:spacing w:after="0" w:line="277" w:lineRule="auto"/>
        <w:tabs>
          <w:tab w:leader="none" w:pos="97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As of December 31, 2022, our indebtedness payable at maturity totals $737.4 million (excluding unamortized related-party notes discounts), held by entities affiliated with Dr. Soon-Shiong.</w:t>
      </w:r>
    </w:p>
    <w:p>
      <w:pPr>
        <w:spacing w:after="0" w:line="116" w:lineRule="exact"/>
        <w:rPr>
          <w:rFonts w:ascii="Arial" w:cs="Arial" w:eastAsia="Arial" w:hAnsi="Arial"/>
          <w:sz w:val="18"/>
          <w:szCs w:val="18"/>
          <w:b w:val="1"/>
          <w:bCs w:val="1"/>
          <w:color w:val="auto"/>
        </w:rPr>
      </w:pPr>
    </w:p>
    <w:p>
      <w:pPr>
        <w:ind w:left="980" w:right="2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Of this amount, $475.0 million is due and payable on December 31, 2023. In the event of a default on the $300.0 million loan (as defined in the promissory note), including if we do not repay the loan at maturity, the company has the right, at its sole option, to convert the outstanding principal amount and accrued and unpaid interest due under this note into shares of the company’s common stock at price of $5.67 per share. There can be no assurance that the company can refinance these promissory notes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118" w:lineRule="exact"/>
        <w:rPr>
          <w:rFonts w:ascii="Arial" w:cs="Arial" w:eastAsia="Arial" w:hAnsi="Arial"/>
          <w:sz w:val="18"/>
          <w:szCs w:val="18"/>
          <w:b w:val="1"/>
          <w:bCs w:val="1"/>
          <w:color w:val="auto"/>
        </w:rPr>
      </w:pPr>
    </w:p>
    <w:p>
      <w:pPr>
        <w:ind w:left="98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remaining $262.4 million is due and payable on September 30, 2025, including any accrued and unpaid interest. The company can prepay the outstanding principal (together with accrued and unpaid interest), in whole or in part, at any time without premium or penalty and without the prior consent of the lender. On August 31, 2022, the terms of each fixed-rate promissory note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23" w:lineRule="exact"/>
        <w:rPr>
          <w:rFonts w:ascii="Arial" w:cs="Arial" w:eastAsia="Arial" w:hAnsi="Arial"/>
          <w:sz w:val="18"/>
          <w:szCs w:val="18"/>
          <w:b w:val="1"/>
          <w:bCs w:val="1"/>
          <w:color w:val="auto"/>
        </w:rPr>
      </w:pPr>
    </w:p>
    <w:p>
      <w:pPr>
        <w:ind w:left="980" w:right="240" w:hanging="324"/>
        <w:spacing w:after="0" w:line="257" w:lineRule="auto"/>
        <w:tabs>
          <w:tab w:leader="none" w:pos="97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N-803 by December 31, 2022, and approximately $304.0 million of contingent consideration upon calendar-year worldwide net sales of N-803 exceeding $1.0 billion prior to December 31, 2026, with amounts payable in cash or shares of our common stock or a combination thereof.</w:t>
      </w:r>
    </w:p>
    <w:p>
      <w:pPr>
        <w:spacing w:after="0" w:line="133" w:lineRule="exact"/>
        <w:rPr>
          <w:rFonts w:ascii="Arial" w:cs="Arial" w:eastAsia="Arial" w:hAnsi="Arial"/>
          <w:sz w:val="18"/>
          <w:szCs w:val="18"/>
          <w:b w:val="1"/>
          <w:bCs w:val="1"/>
          <w:color w:val="auto"/>
        </w:rPr>
      </w:pPr>
    </w:p>
    <w:p>
      <w:pPr>
        <w:ind w:left="98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With respect to the regulatory milestone CVR agreement, in May 2022 we announced the submission of a BLA to the FDA for our product candidate, Anktiva (N-803) in combination with BCG for the treatment of patients with BCG-unresponsive NMIBC with CIS with or without Ta or T1 disease. In July 2022 we announced that the FDA had accepted our BLA for review and set a target PDUFA action date of</w:t>
      </w:r>
    </w:p>
    <w:p>
      <w:pPr>
        <w:spacing w:after="0" w:line="2" w:lineRule="exact"/>
        <w:rPr>
          <w:rFonts w:ascii="Arial" w:cs="Arial" w:eastAsia="Arial" w:hAnsi="Arial"/>
          <w:sz w:val="18"/>
          <w:szCs w:val="18"/>
          <w:b w:val="1"/>
          <w:bCs w:val="1"/>
          <w:color w:val="auto"/>
        </w:rPr>
      </w:pPr>
    </w:p>
    <w:p>
      <w:pPr>
        <w:ind w:left="980" w:righ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May 23, 2023. It is unclear when the FDA will approve our BLA, if at all. The FDA did not approve our BLA on or before December 31, 2022, and therefore the regulatory milestone was not met, and the regulatory milestone CVR agreement terminated in accordance with its terms.</w:t>
      </w:r>
    </w:p>
    <w:p>
      <w:pPr>
        <w:spacing w:after="0" w:line="135" w:lineRule="exact"/>
        <w:rPr>
          <w:rFonts w:ascii="Arial" w:cs="Arial" w:eastAsia="Arial" w:hAnsi="Arial"/>
          <w:sz w:val="18"/>
          <w:szCs w:val="18"/>
          <w:b w:val="1"/>
          <w:bCs w:val="1"/>
          <w:color w:val="auto"/>
        </w:rPr>
      </w:pPr>
    </w:p>
    <w:p>
      <w:pPr>
        <w:ind w:left="98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With respect to the net sales milestone CVR agreement, as of December 31, 2022,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spacing w:after="0" w:line="133"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In connection with our acquisition of VivaBioCell, we are obligated to pay the former owners approximately $2.1 million of contingent consideration upon the achievement of a regulatory milestone relating to the GMP-in-a-Box technology.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Cash Flows</w:t>
      </w:r>
    </w:p>
    <w:p>
      <w:pPr>
        <w:spacing w:after="0" w:line="121" w:lineRule="exact"/>
        <w:rPr>
          <w:sz w:val="20"/>
          <w:szCs w:val="20"/>
          <w:color w:val="auto"/>
        </w:rPr>
      </w:pPr>
    </w:p>
    <w:p>
      <w:pPr>
        <w:ind w:right="320" w:firstLine="648"/>
        <w:spacing w:after="0" w:line="224" w:lineRule="exact"/>
        <w:rPr>
          <w:sz w:val="20"/>
          <w:szCs w:val="20"/>
          <w:color w:val="auto"/>
        </w:rPr>
      </w:pPr>
      <w:r>
        <w:rPr>
          <w:rFonts w:ascii="Arial" w:cs="Arial" w:eastAsia="Arial" w:hAnsi="Arial"/>
          <w:sz w:val="16"/>
          <w:szCs w:val="16"/>
          <w:color w:val="auto"/>
        </w:rPr>
        <w:t>The following discussion of ImmunityBio’s cash flows is based on the consolidated statements of cash flows in Part II, Item 8. “Financial Statements and Supplementary Data” and is not meant to be an all</w:t>
      </w:r>
      <w:r>
        <w:rPr>
          <w:rFonts w:ascii="MS PGothic" w:cs="MS PGothic" w:eastAsia="MS PGothic" w:hAnsi="MS PGothic"/>
          <w:sz w:val="16"/>
          <w:szCs w:val="16"/>
          <w:color w:val="auto"/>
        </w:rPr>
        <w:t>‑</w:t>
      </w:r>
      <w:r>
        <w:rPr>
          <w:rFonts w:ascii="Arial" w:cs="Arial" w:eastAsia="Arial" w:hAnsi="Arial"/>
          <w:sz w:val="16"/>
          <w:szCs w:val="16"/>
          <w:color w:val="auto"/>
        </w:rPr>
        <w:t>inclusive discussion of the changes in its cash flows for the periods presented below.</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primary sources and uses of cash for the years indicated (in thousands):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320" w:right="2920" w:hanging="134"/>
        <w:spacing w:after="0" w:line="234" w:lineRule="auto"/>
        <w:rPr>
          <w:sz w:val="20"/>
          <w:szCs w:val="20"/>
          <w:color w:val="auto"/>
        </w:rPr>
      </w:pPr>
      <w:r>
        <w:rPr>
          <w:rFonts w:ascii="Arial" w:cs="Arial" w:eastAsia="Arial" w:hAnsi="Arial"/>
          <w:sz w:val="18"/>
          <w:szCs w:val="18"/>
          <w:color w:val="auto"/>
        </w:rPr>
        <w:t>Effects of exchange rate changes on cash, cash equivalents, and restricted cash</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change in cash, cash equivalents, and restricted cash</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49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(274,419)</w:t>
            </w:r>
          </w:p>
        </w:tc>
      </w:tr>
      <w:tr>
        <w:trPr>
          <w:trHeight w:val="229"/>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(84,886)</w:t>
            </w:r>
          </w:p>
        </w:tc>
      </w:tr>
      <w:tr>
        <w:trPr>
          <w:trHeight w:val="230"/>
        </w:trPr>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505,443</w:t>
            </w:r>
          </w:p>
        </w:tc>
      </w:tr>
      <w:tr>
        <w:trPr>
          <w:trHeight w:val="418"/>
        </w:trPr>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146,186</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28" w:lineRule="exact"/>
        <w:rPr>
          <w:sz w:val="20"/>
          <w:szCs w:val="20"/>
          <w:color w:val="auto"/>
        </w:rPr>
      </w:pPr>
    </w:p>
    <w:p>
      <w:pPr>
        <w:sectPr>
          <w:pgSz w:w="11900" w:h="16838" w:orient="portrait"/>
          <w:cols w:equalWidth="0" w:num="2">
            <w:col w:w="7380" w:space="720"/>
            <w:col w:w="3140"/>
          </w:cols>
          <w:pgMar w:left="320" w:top="449" w:right="3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For the year ended December 31, 2022, net cash used in operating activities of $337.5 million consisted of a net loss of $417.3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$8.0 million of cash used in net working capital, partially offset by $87.8 million in adjustments for non-cash items. The changes in net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consisted primarily of an increase of $16.6 million in prepaid expenses and other current assets, and decreases of $4.3 million in operating lease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$1.2 million with related parties, partially offset by an increase of $8.0 million in accounts payable, an increase of $4.1 million in accrued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and a decrease of $2.0 million in investment and other assets. Adjustments for non-cash items primarily consisted of $40.2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$18.3 million in depreciation and amortization expense, $16.3 million in amortization of debt issuance costs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accretion of discounts, $11.7 million in non-cash interest primarily related to related-party promissory notes, $5.9 million in non-cash lease expense related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to operating lease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assets, $4.2 million in unrealized loss on equity securities driven by a decrease in the value of our investments, $1.3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loss on impairment of fixed assets, $1.3 million in amortization of premiums, net of discounts, on marketable debt securities, $1.1 million in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allocable to warrant liability, a non-cash $0.7 million loss on the impairment of intangible assets, and $0.3 million in other non-cash items, reduced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$13.5 million change in fair value of warrant liability.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2021, net cash used in operating activities of $274.4 million consisted of a net loss of $349.8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$19.1 million of cash used in net working capital, partially offset by $94.5 million in adjustments for non-cash items. The change in net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consisted primarily of decreases of $10.2 million with related parties and $4.2 million in operating lease liabilities, an increase of $4.0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and other assets, a decrease of $3.7 million in accounts payable, and an increase of $2.2 million in prepaid and other current assets,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an increase of $5.2 million in accrued expenses and other liabilities. Adjustments for non-cash items primarily consisted of $57.2 million in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$14.2 million in depreciation and amortization, $12.4 million in non-cash interest primarily related to related-party loans,</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6"/>
          <w:szCs w:val="16"/>
          <w:color w:val="auto"/>
        </w:rPr>
        <w:t>$4.9 million in non</w:t>
      </w:r>
      <w:r>
        <w:rPr>
          <w:rFonts w:ascii="MS PGothic" w:cs="MS PGothic" w:eastAsia="MS PGothic" w:hAnsi="MS PGothic"/>
          <w:sz w:val="17"/>
          <w:szCs w:val="17"/>
          <w:color w:val="auto"/>
        </w:rPr>
        <w:t>‑</w:t>
      </w:r>
      <w:r>
        <w:rPr>
          <w:rFonts w:ascii="Arial" w:cs="Arial" w:eastAsia="Arial" w:hAnsi="Arial"/>
          <w:sz w:val="16"/>
          <w:szCs w:val="16"/>
          <w:color w:val="auto"/>
        </w:rPr>
        <w:t>cash lease expense related to operating lease right-of-use assets, $4.6 million in unrealized losses on equity securities driven primarily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by a decrease in the value of our investments, $0.8 million in other non-cash items, and $0.4 million in amortization of premiums, net of discounts, 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marketable debt securities.</w:t>
      </w:r>
    </w:p>
    <w:p>
      <w:pPr>
        <w:spacing w:after="0" w:line="21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We have historically experienced negative cash flows from operating activities, with such negative cash flows likely to continue for the foreseeable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year ended December 31, 2022, net cash provided by investing activities was $27.3 million, which included cash inflows of $162.0 million from maturities and sales of marketable debt and equity securities, partially offset by $78.2 million of purchases of property, plant and equipment (including construction in process and depreciable property acquired in the Dunkirk acquisition), $34.3 million of purchases of marketable debt securities, $21.2 million for purchase of intangible assets (related to the Dunkirk acquisition), and a $1.0 million investment in a joint venture. Our investments in property, plant and equipment are primarily related to acquisitions of equipment that will be used for the manufacturing of our product candidates and expenditures related to the build out of our manufacturing facilities.</w:t>
      </w:r>
    </w:p>
    <w:p>
      <w:pPr>
        <w:spacing w:after="0" w:line="19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year ended December 31, 2021, net cash used in investing activities was $84.9 million, which included $141.8 million in purchases of marketable debt securities and $33.6 million of purchases of property, plant and equipment, partially offset by cash inflows of $70.0 million from maturities and sales of marketable debt and equity securities and $20.5 million in proceeds from the sale of 557 Doug St, LLC that were allocated to the book value of the property. Our investments in property, plant and equipment are primarily related to acquisitions of equipment that will be used for the manufacturing of our product candidates and expenditures related to the build out of our manufacturing facilities.</w:t>
      </w:r>
    </w:p>
    <w:p>
      <w:pPr>
        <w:spacing w:after="0" w:line="17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expect to accelerate our capital spending as we scale our GMP manufacturing capabilities, which will require significant capital for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year ended December 31, 2022, net cash provided by financing activities was $233.6 million, which consisted of $174.1 million in net proceeds from issuances of related-party promissory notes, $47.3 million in net proceeds from a registered direct offering, and $13.1 million in net proceeds from the ATM offering, partially offset by $0.6 million related to net share settlement of vested RSUs for payment of payroll tax withholding and $0.3 million used in other financing activities.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the year ended December 31, 2021, net cash provided by financing activities was $505.4 million, which consisted of $338.5 million in net proceeds from issuances of related-party promissory notes, $164.5 million in net proceeds from the ATM offering, $5.5 million in proceeds from exercises of stock options and a $1.4 million capital contribution representing excess proceeds received over book value from the sale of 557 Doug St, LLC to an entity under common control. Net cash used in financing activities consisted of $4.1 million related to net share settlement of vested RSUs for payment of payroll tax withholding and a $0.4 million payment for contingent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Part II, Item 7, “</w:t>
      </w:r>
      <w:r>
        <w:rPr>
          <w:rFonts w:ascii="Arial" w:cs="Arial" w:eastAsia="Arial" w:hAnsi="Arial"/>
          <w:sz w:val="17"/>
          <w:szCs w:val="17"/>
          <w:i w:val="1"/>
          <w:iCs w:val="1"/>
          <w:color w:val="auto"/>
        </w:rPr>
        <w:t>Management’s Discussion and Analysis of Financial Condition and Results of Operations—Results of Operations</w:t>
      </w:r>
      <w:r>
        <w:rPr>
          <w:rFonts w:ascii="Arial" w:cs="Arial" w:eastAsia="Arial" w:hAnsi="Arial"/>
          <w:sz w:val="17"/>
          <w:szCs w:val="17"/>
          <w:color w:val="auto"/>
        </w:rPr>
        <w:t>” of our</w:t>
      </w:r>
    </w:p>
    <w:p>
      <w:pPr>
        <w:spacing w:after="0" w:line="35" w:lineRule="exact"/>
        <w:rPr>
          <w:sz w:val="20"/>
          <w:szCs w:val="20"/>
          <w:color w:val="auto"/>
        </w:rPr>
      </w:pPr>
    </w:p>
    <w:p>
      <w:pPr>
        <w:spacing w:after="0"/>
        <w:rPr>
          <w:rFonts w:ascii="Arial" w:cs="Arial" w:eastAsia="Arial" w:hAnsi="Arial"/>
          <w:sz w:val="17"/>
          <w:szCs w:val="17"/>
          <w:color w:val="0000FF"/>
        </w:rPr>
      </w:pPr>
      <w:hyperlink r:id="rId152">
        <w:r>
          <w:rPr>
            <w:rFonts w:ascii="Arial" w:cs="Arial" w:eastAsia="Arial" w:hAnsi="Arial"/>
            <w:sz w:val="17"/>
            <w:szCs w:val="17"/>
            <w:u w:val="single" w:color="auto"/>
            <w:color w:val="0000FF"/>
          </w:rPr>
          <w:t>Annual Report on Form 10-K</w:t>
        </w:r>
        <w:r>
          <w:rPr>
            <w:rFonts w:ascii="Arial" w:cs="Arial" w:eastAsia="Arial" w:hAnsi="Arial"/>
            <w:sz w:val="17"/>
            <w:szCs w:val="17"/>
            <w:color w:val="0000FF"/>
          </w:rPr>
          <w:t xml:space="preserve"> </w:t>
        </w:r>
      </w:hyperlink>
      <w:r>
        <w:rPr>
          <w:rFonts w:ascii="Arial" w:cs="Arial" w:eastAsia="Arial" w:hAnsi="Arial"/>
          <w:sz w:val="17"/>
          <w:szCs w:val="17"/>
          <w:color w:val="000000"/>
        </w:rPr>
        <w:t>filed</w:t>
      </w:r>
      <w:r>
        <w:rPr>
          <w:rFonts w:ascii="Arial" w:cs="Arial" w:eastAsia="Arial" w:hAnsi="Arial"/>
          <w:sz w:val="17"/>
          <w:szCs w:val="17"/>
          <w:color w:val="0000FF"/>
        </w:rPr>
        <w:t xml:space="preserve"> </w:t>
      </w:r>
      <w:r>
        <w:rPr>
          <w:rFonts w:ascii="Arial" w:cs="Arial" w:eastAsia="Arial" w:hAnsi="Arial"/>
          <w:sz w:val="17"/>
          <w:szCs w:val="17"/>
          <w:color w:val="000000"/>
        </w:rPr>
        <w:t>with the SEC on March 1, 2022 for a discussion of the company’s consolidated cash flows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compared to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From inception through the date of this Annual Report we have generated minimal revenue, we have no clinical products approved for commercial sale and we have not generated any revenue from therapeutic and vaccine product candidates that are under development. We do not expect to generate significant revenue unless and until we obtain regulatory approval of and commercialize any of our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product candidates. We have also incurred and expect that we will continue to incur in the future additional costs associated with operating as a public company as well as costs related to future fundraising efforts. In addition, subject to obtaining regulatory approval of our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our operating expenses will increase substantially if and as we:</w:t>
      </w:r>
    </w:p>
    <w:p>
      <w:pPr>
        <w:spacing w:after="0" w:line="171"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continue research and development, including preclinical and clinical development of our existing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potentially seek regulatory approval for our product candidates;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seek to discover and develop additional product candidates;</w:t>
      </w:r>
    </w:p>
    <w:p>
      <w:pPr>
        <w:spacing w:after="0" w:line="171" w:lineRule="exact"/>
        <w:rPr>
          <w:rFonts w:ascii="Arial" w:cs="Arial" w:eastAsia="Arial" w:hAnsi="Arial"/>
          <w:sz w:val="18"/>
          <w:szCs w:val="18"/>
          <w:b w:val="1"/>
          <w:bCs w:val="1"/>
          <w:color w:val="auto"/>
        </w:rPr>
      </w:pPr>
    </w:p>
    <w:p>
      <w:pPr>
        <w:ind w:left="980" w:right="80" w:hanging="324"/>
        <w:spacing w:after="0" w:line="277" w:lineRule="auto"/>
        <w:tabs>
          <w:tab w:leader="none" w:pos="975"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establish a commercialization infrastructure and scale up our manufacturing and distribution capabilities to commercialize any of our product candidates for which we may obtain regulatory approval;</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seek to comply with regulatory standards and laws;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maintain, leverage and expand our intellectual property portfolio;</w:t>
      </w:r>
    </w:p>
    <w:p>
      <w:pPr>
        <w:spacing w:after="0" w:line="171" w:lineRule="exact"/>
        <w:rPr>
          <w:rFonts w:ascii="Arial" w:cs="Arial" w:eastAsia="Arial" w:hAnsi="Arial"/>
          <w:sz w:val="18"/>
          <w:szCs w:val="18"/>
          <w:b w:val="1"/>
          <w:bCs w:val="1"/>
          <w:color w:val="auto"/>
        </w:rPr>
      </w:pPr>
    </w:p>
    <w:p>
      <w:pPr>
        <w:ind w:left="980" w:right="400" w:hanging="324"/>
        <w:spacing w:after="0" w:line="277" w:lineRule="auto"/>
        <w:tabs>
          <w:tab w:leader="none" w:pos="975"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hire clinical, manufacturing, scientific and other personnel to support our product candidates’ development and future commercialization efforts;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add operational, financial and management information systems and personnel; and</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incur additional legal, accounting and other expenses in operating as a public company.</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a result of continuing anticipated operating cash outflows, we believe that substantial doubt exists regarding our ability to continue as a going concern without additional funding or financial support. However, we believe our existing cash, cash equivalents, and investments in marketable securities, together with capital to be raised through equity offerings (including the ATM) and our potential ability to borrow from affiliated entities, will be sufficient to fund our operations through at least the next 12 months following the issuance date of the consolidated financial statements based primarily upon our Executive Chairman and Global Chief Scientific and Medical Officer’s intent and ability to support our operations with additional funds, including loans from affiliated entities, as required, which we believe alleviates such doubt. We may also seek to sell additional equity, through one or more follow-on public offerings, or in separate financings, or obtain a credit facility. However, we may not be able to secure such external financing in a timely manner or on favorable terms.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spacing w:after="0" w:line="18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71" w:lineRule="exact"/>
        <w:rPr>
          <w:sz w:val="20"/>
          <w:szCs w:val="20"/>
          <w:color w:val="auto"/>
        </w:rPr>
      </w:pPr>
    </w:p>
    <w:p>
      <w:pPr>
        <w:ind w:left="980" w:right="460" w:hanging="324"/>
        <w:spacing w:after="0" w:line="277" w:lineRule="auto"/>
        <w:tabs>
          <w:tab w:leader="none" w:pos="975"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progress, timing, number, scope and costs of researching and developing our product candidates and our ongoing, planned and potential clinical trials;</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time and cost of regulatory approvals;</w:t>
      </w:r>
    </w:p>
    <w:p>
      <w:pPr>
        <w:spacing w:after="0" w:line="171" w:lineRule="exact"/>
        <w:rPr>
          <w:rFonts w:ascii="Arial" w:cs="Arial" w:eastAsia="Arial" w:hAnsi="Arial"/>
          <w:sz w:val="18"/>
          <w:szCs w:val="18"/>
          <w:b w:val="1"/>
          <w:bCs w:val="1"/>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our ability to successfully commercialize any product candidates, if approved and the costs of such commercialization activities;</w:t>
      </w:r>
    </w:p>
    <w:p>
      <w:pPr>
        <w:spacing w:after="0" w:line="171" w:lineRule="exact"/>
        <w:rPr>
          <w:rFonts w:ascii="Arial" w:cs="Arial" w:eastAsia="Arial" w:hAnsi="Arial"/>
          <w:sz w:val="18"/>
          <w:szCs w:val="18"/>
          <w:b w:val="1"/>
          <w:bCs w:val="1"/>
          <w:color w:val="auto"/>
        </w:rPr>
      </w:pPr>
    </w:p>
    <w:p>
      <w:pPr>
        <w:ind w:left="980" w:right="780" w:hanging="324"/>
        <w:spacing w:after="0" w:line="277" w:lineRule="auto"/>
        <w:tabs>
          <w:tab w:leader="none" w:pos="975"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revenue from product candidates that we may commercialize, if any, including the selling prices for such potential products and the availability of adequate third-party coverage and reimbursement for patients;</w:t>
      </w:r>
    </w:p>
    <w:p>
      <w:pPr>
        <w:spacing w:after="0" w:line="116" w:lineRule="exact"/>
        <w:rPr>
          <w:rFonts w:ascii="Arial" w:cs="Arial" w:eastAsia="Arial" w:hAnsi="Arial"/>
          <w:sz w:val="18"/>
          <w:szCs w:val="18"/>
          <w:b w:val="1"/>
          <w:bCs w:val="1"/>
          <w:color w:val="auto"/>
        </w:rPr>
      </w:pPr>
    </w:p>
    <w:p>
      <w:pPr>
        <w:ind w:left="980" w:right="520" w:hanging="324"/>
        <w:spacing w:after="0" w:line="277" w:lineRule="auto"/>
        <w:tabs>
          <w:tab w:leader="none" w:pos="975"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cost of building, staffing and validating our own manufacturing facilities in the U.S., including having a product candidate successfully manufactured consistent with FDA and European Medicines Agency regulations;</w:t>
      </w:r>
    </w:p>
    <w:p>
      <w:pPr>
        <w:spacing w:after="0" w:line="116" w:lineRule="exact"/>
        <w:rPr>
          <w:rFonts w:ascii="Arial" w:cs="Arial" w:eastAsia="Arial" w:hAnsi="Arial"/>
          <w:sz w:val="18"/>
          <w:szCs w:val="18"/>
          <w:b w:val="1"/>
          <w:bCs w:val="1"/>
          <w:color w:val="auto"/>
        </w:rPr>
      </w:pPr>
    </w:p>
    <w:p>
      <w:pPr>
        <w:ind w:left="980" w:right="180" w:hanging="324"/>
        <w:spacing w:after="0" w:line="277" w:lineRule="auto"/>
        <w:tabs>
          <w:tab w:leader="none" w:pos="975"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terms, timing and costs of our current and any potential future collaborations, business or product acquisitions, CVRs, milestones, royalties, licensing or other arrangements that we have established or may establish;</w:t>
      </w:r>
    </w:p>
    <w:p>
      <w:pPr>
        <w:spacing w:after="0" w:line="116" w:lineRule="exact"/>
        <w:rPr>
          <w:rFonts w:ascii="Arial" w:cs="Arial" w:eastAsia="Arial" w:hAnsi="Arial"/>
          <w:sz w:val="18"/>
          <w:szCs w:val="18"/>
          <w:b w:val="1"/>
          <w:bCs w:val="1"/>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time and cost necessary to respond to technological, regulatory, political and market developments; and</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costs of filing, prosecuting, maintaining, defending and enforcing any patent claims and other intellectual property rights.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 including but not limited to the offering, issuance and sale by us of up to a maximum aggregate amount of $500.0 million of our common stock that may be issued and sold under the ATM, which was subsequently reduced by $92.0 million during December 2022 in connection with a sale of our common stock. As of December 31, 2022, we had $225.4 million available for future stock issuances under the ATM. See </w:t>
      </w:r>
      <w:r>
        <w:rPr>
          <w:rFonts w:ascii="Arial" w:cs="Arial" w:eastAsia="Arial" w:hAnsi="Arial"/>
          <w:sz w:val="17"/>
          <w:szCs w:val="17"/>
          <w:u w:val="single" w:color="auto"/>
          <w:color w:val="0000FF"/>
        </w:rPr>
        <w:t>Note 12</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Deficit</w:t>
      </w:r>
      <w:r>
        <w:rPr>
          <w:rFonts w:ascii="Arial" w:cs="Arial" w:eastAsia="Arial" w:hAnsi="Arial"/>
          <w:sz w:val="17"/>
          <w:szCs w:val="17"/>
          <w:color w:val="auto"/>
        </w:rPr>
        <w:t>, of the “Notes to Consolidated Financial Statements” that appears in Part II, Item 8. “Financial Statements and Supplementary Data” of this Annual Report.</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equity-linked securities, including convertible debt or through the ATM or other offerings,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material cash requirements to pay related-party affiliates and third parties under various contractual obligations discussed below:</w:t>
      </w:r>
    </w:p>
    <w:p>
      <w:pPr>
        <w:spacing w:after="0" w:line="183" w:lineRule="exact"/>
        <w:rPr>
          <w:sz w:val="20"/>
          <w:szCs w:val="20"/>
          <w:color w:val="auto"/>
        </w:rPr>
      </w:pPr>
    </w:p>
    <w:p>
      <w:pPr>
        <w:ind w:left="980" w:hanging="324"/>
        <w:spacing w:after="0" w:line="259" w:lineRule="auto"/>
        <w:tabs>
          <w:tab w:leader="none" w:pos="97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 xml:space="preserve">We are obligated to make payments to several related-party affiliates under written agreements and other informal arrangements. We are also obligated to pay interest and to repay principal under our related-party notes payable. For information regarding our financing obligations, see </w:t>
      </w:r>
      <w:r>
        <w:rPr>
          <w:rFonts w:ascii="Arial" w:cs="Arial" w:eastAsia="Arial" w:hAnsi="Arial"/>
          <w:sz w:val="18"/>
          <w:szCs w:val="18"/>
          <w:u w:val="single" w:color="auto"/>
          <w:color w:val="0000FF"/>
        </w:rPr>
        <w:t>Note 9</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Related-Party Debt,</w:t>
      </w:r>
      <w:r>
        <w:rPr>
          <w:rFonts w:ascii="Arial" w:cs="Arial" w:eastAsia="Arial" w:hAnsi="Arial"/>
          <w:sz w:val="18"/>
          <w:szCs w:val="18"/>
          <w:color w:val="0000FF"/>
        </w:rPr>
        <w:t xml:space="preserve"> </w:t>
      </w:r>
      <w:r>
        <w:rPr>
          <w:rFonts w:ascii="Arial" w:cs="Arial" w:eastAsia="Arial" w:hAnsi="Arial"/>
          <w:sz w:val="18"/>
          <w:szCs w:val="18"/>
          <w:color w:val="000000"/>
        </w:rPr>
        <w:t>of the “Notes to Consolidated Financial Statements” that appears in Part II, Item 8. “Financial Statements and</w:t>
      </w:r>
      <w:r>
        <w:rPr>
          <w:rFonts w:ascii="Arial" w:cs="Arial" w:eastAsia="Arial" w:hAnsi="Arial"/>
          <w:sz w:val="18"/>
          <w:szCs w:val="18"/>
          <w:color w:val="0000FF"/>
        </w:rPr>
        <w:t xml:space="preserve"> </w:t>
      </w:r>
      <w:r>
        <w:rPr>
          <w:rFonts w:ascii="Arial" w:cs="Arial" w:eastAsia="Arial" w:hAnsi="Arial"/>
          <w:sz w:val="18"/>
          <w:szCs w:val="18"/>
          <w:color w:val="000000"/>
        </w:rPr>
        <w:t>Supplementary Data” of this Annual Report.</w:t>
      </w:r>
    </w:p>
    <w:p>
      <w:pPr>
        <w:spacing w:after="0" w:line="132" w:lineRule="exact"/>
        <w:rPr>
          <w:rFonts w:ascii="Arial" w:cs="Arial" w:eastAsia="Arial" w:hAnsi="Arial"/>
          <w:sz w:val="18"/>
          <w:szCs w:val="18"/>
          <w:b w:val="1"/>
          <w:bCs w:val="1"/>
          <w:color w:val="auto"/>
        </w:rPr>
      </w:pPr>
    </w:p>
    <w:p>
      <w:pPr>
        <w:ind w:left="980" w:right="40" w:hanging="324"/>
        <w:spacing w:after="0" w:line="286" w:lineRule="auto"/>
        <w:tabs>
          <w:tab w:leader="none" w:pos="975"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 xml:space="preserve">We are obligated to make payments under our operating leases, which primarily consist of facility leases. For information regarding our lease obligations, see </w:t>
      </w:r>
      <w:r>
        <w:rPr>
          <w:rFonts w:ascii="Arial" w:cs="Arial" w:eastAsia="Arial" w:hAnsi="Arial"/>
          <w:sz w:val="17"/>
          <w:szCs w:val="17"/>
          <w:u w:val="single" w:color="auto"/>
          <w:color w:val="0000FF"/>
        </w:rPr>
        <w:t>Note 8</w:t>
      </w:r>
      <w:r>
        <w:rPr>
          <w:rFonts w:ascii="Arial" w:cs="Arial" w:eastAsia="Arial" w:hAnsi="Arial"/>
          <w:sz w:val="17"/>
          <w:szCs w:val="17"/>
          <w:color w:val="auto"/>
        </w:rPr>
        <w:t xml:space="preserve">, </w:t>
      </w:r>
      <w:r>
        <w:rPr>
          <w:rFonts w:ascii="Arial" w:cs="Arial" w:eastAsia="Arial" w:hAnsi="Arial"/>
          <w:sz w:val="17"/>
          <w:szCs w:val="17"/>
          <w:i w:val="1"/>
          <w:iCs w:val="1"/>
          <w:color w:val="auto"/>
        </w:rPr>
        <w:t>Lease Arrangements,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Related-Party Agreements,</w:t>
      </w:r>
      <w:r>
        <w:rPr>
          <w:rFonts w:ascii="Arial" w:cs="Arial" w:eastAsia="Arial" w:hAnsi="Arial"/>
          <w:sz w:val="17"/>
          <w:szCs w:val="17"/>
          <w:color w:val="auto"/>
        </w:rPr>
        <w:t xml:space="preserve"> of the “Notes to Consolidated Financial Statements” that appear in Part II, Item 8. “Financial Statements and Supplementary Data” of this Annual Report.</w:t>
      </w:r>
    </w:p>
    <w:p>
      <w:pPr>
        <w:spacing w:after="0" w:line="111" w:lineRule="exact"/>
        <w:rPr>
          <w:rFonts w:ascii="Arial" w:cs="Arial" w:eastAsia="Arial" w:hAnsi="Arial"/>
          <w:sz w:val="17"/>
          <w:szCs w:val="17"/>
          <w:b w:val="1"/>
          <w:bCs w:val="1"/>
          <w:color w:val="auto"/>
        </w:rPr>
      </w:pPr>
    </w:p>
    <w:p>
      <w:pPr>
        <w:ind w:left="980" w:right="340" w:hanging="324"/>
        <w:spacing w:after="0" w:line="279" w:lineRule="auto"/>
        <w:tabs>
          <w:tab w:leader="none" w:pos="975"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 xml:space="preserve">In connection with the acquisitions of Altor and VivaBioCell, we are obligated to pay contingent consideration upon the achievement of certain milestones. For information regarding our contingent consideration obligations,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Contingent Consideration Related to Business Combinations, </w:t>
      </w:r>
      <w:r>
        <w:rPr>
          <w:rFonts w:ascii="Arial" w:cs="Arial" w:eastAsia="Arial" w:hAnsi="Arial"/>
          <w:sz w:val="17"/>
          <w:szCs w:val="17"/>
          <w:color w:val="auto"/>
        </w:rPr>
        <w:t>of the “Notes to Consolidated Financial Statements” that appears in Part II,</w:t>
      </w:r>
      <w:r>
        <w:rPr>
          <w:rFonts w:ascii="Arial" w:cs="Arial" w:eastAsia="Arial" w:hAnsi="Arial"/>
          <w:sz w:val="17"/>
          <w:szCs w:val="17"/>
          <w:i w:val="1"/>
          <w:iCs w:val="1"/>
          <w:color w:val="auto"/>
        </w:rPr>
        <w:t xml:space="preserve"> </w:t>
      </w:r>
      <w:r>
        <w:rPr>
          <w:rFonts w:ascii="Arial" w:cs="Arial" w:eastAsia="Arial" w:hAnsi="Arial"/>
          <w:sz w:val="17"/>
          <w:szCs w:val="17"/>
          <w:color w:val="auto"/>
        </w:rPr>
        <w:t>Item 8. “Financial Statements and Supplementary Data” of this Annual Report.</w:t>
      </w:r>
    </w:p>
    <w:p>
      <w:pPr>
        <w:spacing w:after="0" w:line="63" w:lineRule="exact"/>
        <w:rPr>
          <w:rFonts w:ascii="Arial" w:cs="Arial" w:eastAsia="Arial" w:hAnsi="Arial"/>
          <w:sz w:val="17"/>
          <w:szCs w:val="17"/>
          <w:b w:val="1"/>
          <w:bCs w:val="1"/>
          <w:color w:val="auto"/>
        </w:rPr>
      </w:pPr>
    </w:p>
    <w:p>
      <w:pPr>
        <w:ind w:left="980" w:hanging="324"/>
        <w:spacing w:after="0" w:line="259" w:lineRule="auto"/>
        <w:tabs>
          <w:tab w:leader="none" w:pos="97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 xml:space="preserve">We have contractual obligations to make payments to related-party affiliates and third parties under unconditional purchase arrangements. For information on these unconditional purchase obligations,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Contingencies—Unconditional Purchase Obligations,</w:t>
      </w:r>
      <w:r>
        <w:rPr>
          <w:rFonts w:ascii="Arial" w:cs="Arial" w:eastAsia="Arial" w:hAnsi="Arial"/>
          <w:sz w:val="18"/>
          <w:szCs w:val="18"/>
          <w:color w:val="auto"/>
        </w:rPr>
        <w:t xml:space="preserve"> of the “Notes to Consolidated Financial Statements” that appears in Part II, Item 8. “Financial Statements and Supplementary Data” of this Annual Report.</w:t>
      </w:r>
    </w:p>
    <w:p>
      <w:pPr>
        <w:spacing w:after="0" w:line="132" w:lineRule="exact"/>
        <w:rPr>
          <w:rFonts w:ascii="Arial" w:cs="Arial" w:eastAsia="Arial" w:hAnsi="Arial"/>
          <w:sz w:val="18"/>
          <w:szCs w:val="18"/>
          <w:b w:val="1"/>
          <w:bCs w:val="1"/>
          <w:color w:val="auto"/>
        </w:rPr>
      </w:pPr>
    </w:p>
    <w:p>
      <w:pPr>
        <w:ind w:left="980" w:hanging="324"/>
        <w:spacing w:after="0" w:line="259" w:lineRule="auto"/>
        <w:tabs>
          <w:tab w:leader="none" w:pos="97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We have certain contractual commitments that are expected to be paid within one year, depending on the progress of build outs, completion of services, and the realization of milestones associated with third-party agreements. This amount totals $121.1 million and is primarily related to capital expenditures, open purchase orders as of December 31, 2022 for the acquisition of goods and services in the ordinary course of business, and near term upfront milestone payments to third parties.</w:t>
      </w:r>
    </w:p>
    <w:p>
      <w:pPr>
        <w:spacing w:after="0" w:line="132" w:lineRule="exact"/>
        <w:rPr>
          <w:rFonts w:ascii="Arial" w:cs="Arial" w:eastAsia="Arial" w:hAnsi="Arial"/>
          <w:sz w:val="18"/>
          <w:szCs w:val="18"/>
          <w:b w:val="1"/>
          <w:bCs w:val="1"/>
          <w:color w:val="auto"/>
        </w:rPr>
      </w:pPr>
    </w:p>
    <w:p>
      <w:pPr>
        <w:ind w:left="980" w:hanging="324"/>
        <w:spacing w:after="0" w:line="301" w:lineRule="auto"/>
        <w:tabs>
          <w:tab w:leader="none" w:pos="975"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In addition, we have contractual commitments that are expected to be paid in fiscal year 2024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December 31, 2022, the maximum amount that may be payable related to these commitments is $780.3 million.</w:t>
      </w:r>
    </w:p>
    <w:p>
      <w:pPr>
        <w:spacing w:after="0" w:line="103" w:lineRule="exact"/>
        <w:rPr>
          <w:rFonts w:ascii="Arial" w:cs="Arial" w:eastAsia="Arial" w:hAnsi="Arial"/>
          <w:sz w:val="16"/>
          <w:szCs w:val="16"/>
          <w:b w:val="1"/>
          <w:bCs w:val="1"/>
          <w:color w:val="auto"/>
        </w:rPr>
      </w:pPr>
    </w:p>
    <w:p>
      <w:pPr>
        <w:ind w:left="980" w:right="280" w:hanging="324"/>
        <w:spacing w:after="0" w:line="257" w:lineRule="auto"/>
        <w:tabs>
          <w:tab w:leader="none" w:pos="975"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connection with our leasehold interest in the Dunkirk Facility, we committed to spend an aggregate of $1.52 billion on operational expenses during the initial 10-year term, and an additional $1.50 billion on operational expenses if we elect to renew the lease for the additional 10-year term. These amounts are not included in the discussion above.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License Agreements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w:t>
      </w:r>
      <w:r>
        <w:rPr>
          <w:rFonts w:ascii="Arial" w:cs="Arial" w:eastAsia="Arial" w:hAnsi="Arial"/>
          <w:sz w:val="18"/>
          <w:szCs w:val="18"/>
          <w:color w:val="auto"/>
        </w:rPr>
        <w:t>, of the “Notes to Consolidated Financial Statements” that appears in Part II, Item 8. “Financial Statements and Supplementary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Data” of this Annual Report.</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which have been prepared in accordance with U.S. GAAP. The preparation of consolidated financial statements requires management to make certain estimates and assumptions that affect the reported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equity-based awards, deferred income taxes and related valuation allowances, preclinical and clinical trial accruals, impairment assessments, contingent value right measurement and assessments, the measurement of right-of-use assets and lease liabilities, useful lives of long-lived assets, loss contingencies, fair value calculation of warrants, fair value measurements, asset acquisition, and the assessment of our ability to fund our operations for at least the next 12 months from the date of issuance of these consolidated financial statements. We base our estimates on historical experience and on various other market-specific and relevant assumptions that we believe to be reasonable under the circumstances. Estimates are assessed each period and updated to reflect current information, such as the economic considerations related to the impact that the ongoing coronavirus pandemic could have on our significant accounting estimates. Actual results could differ from those estimates.</w:t>
      </w:r>
    </w:p>
    <w:p>
      <w:pPr>
        <w:spacing w:after="0" w:line="17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While our significant accounting policies are more fully described in the notes accompanying our consolidated financial statements that appear in Part II, Item 8. “Financial Statements and Supplementary Data” of this Annual Report, we believe the following accounting policies to be the most critical in understanding the judgments and estimates we use in preparing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primarily generated revenues from non-exclusive license agreements related to our cell lines, the sale of our bioreactors and related consumables and grant programs. The nonexclusive license agreements with a limited number of pharmaceutical and biotechnology companies grant them the right to use our cell lines and intellectual property for non-clinical use. These agreements generally include upfront fees and annual research license fees for such use, as well as commercial license fees for sales of the licensee products developed or manufactured using our intellectual property and cell lines. We have generated revenues from product sales of our proprietary GMP-in-a-Box bioreactors and related consumables to related parties. Additionally, we also generated revenues from grant programs.</w:t>
      </w:r>
    </w:p>
    <w:p>
      <w:pPr>
        <w:spacing w:after="0" w:line="1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A contract’s transaction price is allocated to each distinct performance obligation based on relative standalone selling price and recognized as revenue when, or as, the performance obligation is satisfied.</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Under our license agreements with customers, we typically promise to provide a license to use certain cell lines and related patents, the related know-how, and future research and development data that affect the license. We have concluded that these promises represent one performance obligation due to the highly interrelated nature of the promises. We provide the cell lines and know-how immediately upon entering into the contracts. Research and development data are provided throughout the term of the contract when and if available.</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license agreements may include non-refundable upfront payments, event-based milestone payments, sales-based royalty payments, or some combination of these. The event-based milestone payments represent variable consideration and we use the most likely amount method to estimate this variable consideration. Given the high degree of uncertainly around the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recognize revenue from sales-based royalty payments when or as the sales occur. On a quarterly basis, we re-evaluate our estimate of milestone variable consideration to determine whether any amount should be included in the transaction price and recorded in revenue prospectively.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also have sold our proprietary GMP-in-a-Box bioreactors and related consumables to affiliated companies. The arrangements typically include delivery of bioreactors, consumables, and providing installation service and perpetual software licenses for using the equipment. We recognize revenue when customers obtain control and can benefit from the promised goods or services, generally upon installation of the bioreactors,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161"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Grant revenue is typically paid for reimbursable costs incurred over the duration of the associated research project or clinical trial and is recognized when expenses reimbursable under the grants have been incurred and payments under the grants become contractually due.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w:t>
      </w:r>
      <w:r>
        <w:rPr>
          <w:rFonts w:ascii="Arial" w:cs="Arial" w:eastAsia="Arial" w:hAnsi="Arial"/>
          <w:sz w:val="16"/>
          <w:szCs w:val="16"/>
          <w:color w:val="auto"/>
        </w:rPr>
        <w:t>(ASC 815). The assessment considers whether the warrants are freestanding financial instruments pursuant to ASC 480, meet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warrants that meet all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w:t>
      </w:r>
      <w:r>
        <w:rPr>
          <w:rFonts w:ascii="Arial" w:cs="Arial" w:eastAsia="Arial" w:hAnsi="Arial"/>
          <w:sz w:val="18"/>
          <w:szCs w:val="18"/>
          <w:i w:val="1"/>
          <w:iCs w:val="1"/>
          <w:color w:val="auto"/>
        </w:rPr>
        <w:t>ther income (expense), net</w:t>
      </w:r>
      <w:r>
        <w:rPr>
          <w:rFonts w:ascii="Arial" w:cs="Arial" w:eastAsia="Arial" w:hAnsi="Arial"/>
          <w:sz w:val="18"/>
          <w:szCs w:val="18"/>
          <w:color w:val="auto"/>
        </w:rPr>
        <w:t>, on the consolidated statement of operations. The fair value of the warrants was estimated using the Black-Scholes option pricing model.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Business combinations are accounted for using the acquisition method of accounting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These standards require that the total cost of acquisition be allocated to the tangible and intangible assets acquired and liabilities assumed based on their respective fair values at the date of acquisition, with the excess purchase price recorded as goodwill. The allocation of the purchase price is dependent upon certain valuations and other studies. Acquisition costs are expensed as incurred.</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Contingent consideration incurred in connection with a business combination are recorded at their fair values on the acquisition date and re-measured at their fair values each subsequent reporting period until the related contingencies are resolved. The resulting changes in fair values are recorded as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xml:space="preserve"> on the consolidated statements of operations and comprehensive income (loss). Changes in fair values reflect changes to our assumptions regarding probabilities of successful achievement of related milestones, the timing in which the milestones are expected to be achieved, and the discount rate used to estimate the fair value of the obligation.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part of the process of preparing the consolidated financial statements, we are required to estimate expenses resulting from obligations under contracts with vendors, clinical research organizations and consultants. The financial terms of these contracts vary and may result in payment flows that do not match the periods over which materials or services are provided under such contracts.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clinical trial and research agreement-related expenses based on the services performed, pursuant to contracts with research institutions and clinical research organizations and other vendors that conduct clinical trials and research on our behalf. In accruing clinical and research-related fees, we estimate the time period over which services will be performed and activity expended in each period. If the actual timing of the performance of services or the level of effort varies from the estimate, we will adjust the accrual accordingly. Payments made under these arrangements in advance of the receipt of the related services are recorded as prepaid expenses until the services are rendered.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Major components of research and development costs include cash compensation and other personnel-related expenses, stock-based compensation, depreciation and amortization expense on research and development property and equipment and intangible assets, costs of preclinical studies, clinical trials costs, including CROs, and related clinical manufacturing, including CMOs,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7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Included in research and development costs are clinical trial and research expenses based on the services performed pursuant to contracts with research institutions and clinical research organizations and other vendors that conduct clinical trials and research on our behalf. We record accruals for estimated costs under these contracts. When evaluating the adequacy of the accrued liabilities, we analyze the progress of the preclinical studies or clinical trials, including the phase or completion of events, invoices received, contracted costs and purchase orders. Significant judgments and estimates are made in determining the accrued balances at the end of any reporting period based on the facts and circumstances known at that time. Although we do not expect the estimates to be materially different from the amounts actually incurred, if the estimates of the status and timing of services performed differ from the actual status and timing of services performed, we may report amounts that are too high or too low in any particular period. Actual results could differ from our estimates. We adjust the accruals in the period when actual costs become known.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We account for stock-based compensation under the provisions of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We estimate fair value of each stock option award on the date of grant using the Black-Scholes option pricing model. The Black-Scholes option pricing model requires the use of highly subjective assumptions, including, but not limited to, expected stock price volatility over the term of the awards and the expected term of the stock options. We measure the fair value of an equity-classified award at the grant date and recognize the stock-based compensation expense over the period of vesting on the straight-line basis for our outstanding share awards that do not contain a performance condition. For awards subject to performance-based vesting conditions, we assess the probability of the individual milestones under the award being achieved and stock-based compensation expense is recognized over the service period using the graded vesting method once management believes the performance criteria is probable of being met. If factors change and we employ different assumptions, share-based compensation expense may differ significantly from what we have recorded in the past. For awards with service or performance conditions, we recognize the effect of forfeitures in compensation cost in the period that the award was forfeited.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 accruals for loss contingencies to the extent that we conclude it is probable that a liability has been incurred and the amount of the related loss can be reasonably estimated. We accrue for the best estimate of a loss within a range; however, if no estimate in the range is better than any other, then we accrue the minimum amount in the range. If we determine that a material loss is reasonably possible, we disclose the possible loss or range of loss, or that the amount of loss cannot be estimated at this time.</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Because of the inherent uncertainty and unpredictability related to these matters, accruals are based on what we believe to be the best information available at the time of our assessment, including the legal facts and circumstances of the case, status of the proceedings, applicable law and the views of legal counsel. Upon the final resolution of such matters, it is possible that there may be a loss in excess of the amount recorded, and such amounts could have a material adverse effect on our results of operations, cash flows or financial position. We evaluate, on a quarterly basis, developments in legal proceedings and other matters that could cause a change in the potential amount of the liability recorded or the range of potential losses disclosed. Moreover, we record gain contingencies only when they are realizable and the amount is known. Additionally, we record our rights to insurance recoveries, limited to the extent of incurred or probable losses, as a receivable when such recoveries have been agreed to with our third-party insurers and when receipt is deemed probable. This includes instances when our third-party insurers have agreed to pay, on our behalf, certain legal defense costs and settlement amounts directly to applicable law firms and a settlement fund.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See further information in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Consolidated Financial Statements” that appears in Part II, Item 8. “Financial Statements and Supplementary Data” of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that appears in Part II, Item 8. “Financial Statements and Supplementary Data” of this Annual Report for a discussion of recent accounting pronouncements or changes in accounting pronouncements that are of significance, or potential significance, to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15, 2023, we entered into a securities purchase agreement with certain institutional investors for the sale of 14,072,615 shares of our common stock, as well as warrants to purchase an additional 14,072,615 shares of common stock at an exercise price of $4.2636 per share, for a purchase price of $3.5530 per share and accompanying warrant, generating net proceeds of approximately $47.0 million, after deducting placement agent fees and other estimated offering costs. The warrants are immediately exercisable after the issuance date and expire two years after the initial issuance date. The closing of the offering occurred on February 17, 2023.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 We may also use a portion of the net proceeds to license intellectual property or to make acquisitions or investments.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exposure to market risk for changes in interest rates relates primarily to interest earned on our cash equivalents, investments and variable interest rate debt.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December 31, 2022, we had $104.6 million in cash and cash equivalents and $3.4 million in our investment portfolio. Our cash equivalents are short-term investments with maturities of 90 days or less at the time of purchase. We maintain cash deposits in FDIC insured financial institutions in excess of federally insured limits. However, we believe that we are not exposed to significant credit risk due to the financial position of the depository institutions in which those deposits are held. As of December 31, 2022, our investment portfolio was comprised of available-for-sale securities, and we did not hold or issue financial instruments for trading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 Cash</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With the cash discussed above, our primary exposure to market risk is interest income sensitivity, which is affected by changes in the general level of U.S interest rates. However, we do not believe a sudden change in the interest rates would have a material impact on our financial condition or results of operations due to the short-term maturities on our cash equivalents. A hypothetical 100 basis point change in interest rates during any of the periods presented would not have had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 Cash Equivalents and Investment Portfolio</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invest a portion of our cash in a number of diversified fixed and floating rate securities, consisting of marketable debt securities and debt funds that are subject to interest rate risk. Changes in the general level of interest rates can affect the fair value of our investment portfolio. If interest rates in the general economy were to rise, our holdings could lose value. At December 31, 2022, a hypothetical increase in interest rates of 100 basis points across the entire yield curve on our holdings would not have resulted in a material impact on the fair value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 Variable-Rate Debt</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use of variable-rate debt exposes us to interest rate risk as changes in interest rates would affect interest expense. As of December 31, 2022, we have $475.0 million of variable-rate loans outstanding that mature on December 31, 2023. These loans bear interest at Term SOFR + 8.0%. As of December 31, 2022, the interest rate on these loans was 12.59%. A hypothetical 100-basis point increase in the Term SOFR rate as of December 31, 2022 would increase our future interest payment by $4.8 million. Similarly, a hypothetical 100-basis point decrease in the Term SOFR rate as of December 31, 2022 would decrease our future interest payment by $4.8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exposed to foreign currency exchange rate risk inherent in conducting business globally in numerous currencies. We contract with clinical research organizations, investigational sites and suppliers in foreign countries. We are, therefore, subject to fluctuations in foreign currency rates in connection with these agreements. We have not entered into any material foreign currency hedging contracts although we may do so in the future. From inception through the date of this Annual Report, we have not incurred any material effects from foreign currency changes on these contracts. The effect of a 10% adverse change in exchange rates on foreign currency denominated cash and payables as of December 31, 2022 would not have been material. However, fluctuations in currency exchange rates could harm our business in the future.</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We are also exposed to foreign currency fluctuations related to the operations of our subsidiary in Italy whose financial statements are denominated in the Euro. We translate all assets and liabilities denominated in foreign currency into U.S. dollars using the exchange rate as of the end of the reporting period, while the operating results are translated into U.S. dollars using the average exchange rates for the reporting periods. Gains and losses resulting from translating the financial statements from our subsidiary’s functional currency to U.S. dollars are recognized as a component of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 (loss)</w:t>
      </w:r>
      <w:r>
        <w:rPr>
          <w:rFonts w:ascii="Arial" w:cs="Arial" w:eastAsia="Arial" w:hAnsi="Arial"/>
          <w:sz w:val="17"/>
          <w:szCs w:val="17"/>
          <w:color w:val="auto"/>
        </w:rPr>
        <w:t>, on the consolidated statement of comprehensive loss. Foreign currency exchange rate fluctuations affect our reported net loss</w:t>
      </w:r>
      <w:r>
        <w:rPr>
          <w:rFonts w:ascii="Arial" w:cs="Arial" w:eastAsia="Arial" w:hAnsi="Arial"/>
          <w:sz w:val="17"/>
          <w:szCs w:val="17"/>
          <w:i w:val="1"/>
          <w:iCs w:val="1"/>
          <w:color w:val="auto"/>
        </w:rPr>
        <w:t xml:space="preserve"> </w:t>
      </w:r>
      <w:r>
        <w:rPr>
          <w:rFonts w:ascii="Arial" w:cs="Arial" w:eastAsia="Arial" w:hAnsi="Arial"/>
          <w:sz w:val="17"/>
          <w:szCs w:val="17"/>
          <w:color w:val="auto"/>
        </w:rPr>
        <w:t>and can make comparisons from period to period more difficult. Our foreign operations are not material to our operations as a whole. As such, we currently do not enter into currency forward exchange or option contracts to hedge foreign currency exposures.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As of December 31, 2022, 9,090,909 warrants from the direct registered offering remained outstanding at a fair value of $21.6 million. The fair value of this warrant liability is determined using the Black-Scholes option pricing model and is therefore sensitive to changes in the market price and volatility of our common stock among other factors. In the event of a hypothetical 10% increase in the market price of our common stock ($5.58 based on the $5.07 market price of our stock at December 31, 2022) on which the December 31, 2022 valuation was based, the fair value of the warrant liability would have increased by $3.3 million. Similarly, based on the fair value of the warrants outstanding as of December 31, 2022, a hypothetical decrease of 10% in the market price of our common stock would have the fair value of the warrant liability decreased by $3.3 million. Such increase or decrease would have been reflected as change in fair value of warrant liability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in our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Inflation may affect us by increasing our cost of labor, clinical trial, and other costs. We do not believe that inflation has had a material effect on our business, financial condition or results of operations for any period presented herein.</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720" w:type="dxa"/>
            <w:vAlign w:val="bottom"/>
          </w:tcPr>
          <w:p>
            <w:pPr>
              <w:jc w:val="right"/>
              <w:ind w:right="6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5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42)</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5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10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500" w:type="dxa"/>
            <w:vAlign w:val="bottom"/>
            <w:gridSpan w:val="9"/>
            <w:shd w:val="clear" w:color="auto" w:fill="CCEEFF"/>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5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10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 for the years ended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4100" w:type="dxa"/>
            <w:vAlign w:val="bottom"/>
            <w:tcBorders>
              <w:top w:val="single" w:sz="8" w:color="0000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rPr>
              <w:t>December 31, 2022, 2021 and 2020</w:t>
            </w: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580" w:type="dxa"/>
            <w:vAlign w:val="bottom"/>
            <w:tcBorders>
              <w:top w:val="single" w:sz="8" w:color="0000FF"/>
            </w:tcBorders>
          </w:tcPr>
          <w:p>
            <w:pPr>
              <w:spacing w:after="0"/>
              <w:rPr>
                <w:sz w:val="9"/>
                <w:szCs w:val="9"/>
                <w:color w:val="auto"/>
              </w:rPr>
            </w:pPr>
          </w:p>
        </w:tc>
        <w:tc>
          <w:tcPr>
            <w:tcW w:w="440" w:type="dxa"/>
            <w:vAlign w:val="bottom"/>
            <w:tcBorders>
              <w:top w:val="single" w:sz="8" w:color="CCEEFF"/>
            </w:tcBorders>
          </w:tcPr>
          <w:p>
            <w:pPr>
              <w:spacing w:after="0"/>
              <w:rPr>
                <w:sz w:val="9"/>
                <w:szCs w:val="9"/>
                <w:color w:val="auto"/>
              </w:rPr>
            </w:pPr>
          </w:p>
        </w:tc>
        <w:tc>
          <w:tcPr>
            <w:tcW w:w="10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Comprehensive Loss for the years ended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58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w w:val="99"/>
              </w:rPr>
              <w:t>December 31, 2022, 2021 and 2020</w:t>
            </w:r>
          </w:p>
        </w:tc>
        <w:tc>
          <w:tcPr>
            <w:tcW w:w="440" w:type="dxa"/>
            <w:vAlign w:val="bottom"/>
            <w:tcBorders>
              <w:top w:val="single" w:sz="8" w:color="0000FF"/>
              <w:bottom w:val="single" w:sz="8" w:color="CCEEFF"/>
            </w:tcBorders>
            <w:shd w:val="clear" w:color="auto" w:fill="CCEEFF"/>
          </w:tcPr>
          <w:p>
            <w:pPr>
              <w:spacing w:after="0"/>
              <w:rPr>
                <w:sz w:val="16"/>
                <w:szCs w:val="16"/>
                <w:color w:val="auto"/>
              </w:rPr>
            </w:pPr>
          </w:p>
        </w:tc>
        <w:tc>
          <w:tcPr>
            <w:tcW w:w="1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5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580" w:type="dxa"/>
            <w:vAlign w:val="bottom"/>
            <w:tcBorders>
              <w:top w:val="single" w:sz="8" w:color="CCEEFF"/>
            </w:tcBorders>
          </w:tcPr>
          <w:p>
            <w:pPr>
              <w:spacing w:after="0"/>
              <w:rPr>
                <w:sz w:val="9"/>
                <w:szCs w:val="9"/>
                <w:color w:val="auto"/>
              </w:rPr>
            </w:pPr>
          </w:p>
        </w:tc>
        <w:tc>
          <w:tcPr>
            <w:tcW w:w="440" w:type="dxa"/>
            <w:vAlign w:val="bottom"/>
            <w:tcBorders>
              <w:top w:val="single" w:sz="8" w:color="CCEEFF"/>
            </w:tcBorders>
          </w:tcPr>
          <w:p>
            <w:pPr>
              <w:spacing w:after="0"/>
              <w:rPr>
                <w:sz w:val="9"/>
                <w:szCs w:val="9"/>
                <w:color w:val="auto"/>
              </w:rPr>
            </w:pPr>
          </w:p>
        </w:tc>
        <w:tc>
          <w:tcPr>
            <w:tcW w:w="10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Stockholders’ Deficit for the years ended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4860" w:type="dxa"/>
            <w:vAlign w:val="bottom"/>
            <w:tcBorders>
              <w:top w:val="single" w:sz="8" w:color="0000FF"/>
            </w:tcBorders>
            <w:gridSpan w:val="7"/>
            <w:shd w:val="clear" w:color="auto" w:fill="CCEEFF"/>
          </w:tcPr>
          <w:p>
            <w:pPr>
              <w:spacing w:after="0" w:line="142" w:lineRule="exact"/>
              <w:rPr>
                <w:sz w:val="20"/>
                <w:szCs w:val="20"/>
                <w:color w:val="auto"/>
              </w:rPr>
            </w:pPr>
            <w:r>
              <w:rPr>
                <w:rFonts w:ascii="Arial" w:cs="Arial" w:eastAsia="Arial" w:hAnsi="Arial"/>
                <w:sz w:val="16"/>
                <w:szCs w:val="16"/>
                <w:color w:val="0000FF"/>
              </w:rPr>
              <w:t>December 31, 2022, 2021 and 2020</w:t>
            </w:r>
          </w:p>
        </w:tc>
        <w:tc>
          <w:tcPr>
            <w:tcW w:w="45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580" w:type="dxa"/>
            <w:vAlign w:val="bottom"/>
            <w:tcBorders>
              <w:top w:val="single" w:sz="8" w:color="0000FF"/>
            </w:tcBorders>
          </w:tcPr>
          <w:p>
            <w:pPr>
              <w:spacing w:after="0"/>
              <w:rPr>
                <w:sz w:val="9"/>
                <w:szCs w:val="9"/>
                <w:color w:val="auto"/>
              </w:rPr>
            </w:pPr>
          </w:p>
        </w:tc>
        <w:tc>
          <w:tcPr>
            <w:tcW w:w="440" w:type="dxa"/>
            <w:vAlign w:val="bottom"/>
            <w:tcBorders>
              <w:top w:val="single" w:sz="8" w:color="CCEEFF"/>
            </w:tcBorders>
          </w:tcPr>
          <w:p>
            <w:pPr>
              <w:spacing w:after="0"/>
              <w:rPr>
                <w:sz w:val="9"/>
                <w:szCs w:val="9"/>
                <w:color w:val="auto"/>
              </w:rPr>
            </w:pPr>
          </w:p>
        </w:tc>
        <w:tc>
          <w:tcPr>
            <w:tcW w:w="10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 for the years ended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4160" w:type="dxa"/>
            <w:vAlign w:val="bottom"/>
            <w:tcBorders>
              <w:top w:val="single" w:sz="8" w:color="0000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rPr>
              <w:t>December 31, 2022, 2021 and 2020</w:t>
            </w:r>
          </w:p>
        </w:tc>
        <w:tc>
          <w:tcPr>
            <w:tcW w:w="5200" w:type="dxa"/>
            <w:vAlign w:val="bottom"/>
            <w:tcBorders>
              <w:top w:val="single" w:sz="8" w:color="CCEEFF"/>
            </w:tcBorders>
            <w:gridSpan w:val="4"/>
            <w:shd w:val="clear" w:color="auto" w:fill="CCEEFF"/>
          </w:tcPr>
          <w:p>
            <w:pPr>
              <w:spacing w:after="0"/>
              <w:rPr>
                <w:sz w:val="16"/>
                <w:szCs w:val="16"/>
                <w:color w:val="auto"/>
              </w:rPr>
            </w:pPr>
          </w:p>
        </w:tc>
        <w:tc>
          <w:tcPr>
            <w:tcW w:w="172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580" w:type="dxa"/>
            <w:vAlign w:val="bottom"/>
            <w:tcBorders>
              <w:top w:val="single" w:sz="8" w:color="0000FF"/>
            </w:tcBorders>
          </w:tcPr>
          <w:p>
            <w:pPr>
              <w:spacing w:after="0"/>
              <w:rPr>
                <w:sz w:val="9"/>
                <w:szCs w:val="9"/>
                <w:color w:val="auto"/>
              </w:rPr>
            </w:pPr>
          </w:p>
        </w:tc>
        <w:tc>
          <w:tcPr>
            <w:tcW w:w="440" w:type="dxa"/>
            <w:vAlign w:val="bottom"/>
            <w:tcBorders>
              <w:top w:val="single" w:sz="8" w:color="CCEEFF"/>
            </w:tcBorders>
          </w:tcPr>
          <w:p>
            <w:pPr>
              <w:spacing w:after="0"/>
              <w:rPr>
                <w:sz w:val="9"/>
                <w:szCs w:val="9"/>
                <w:color w:val="auto"/>
              </w:rPr>
            </w:pPr>
          </w:p>
        </w:tc>
        <w:tc>
          <w:tcPr>
            <w:tcW w:w="108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500" w:type="dxa"/>
            <w:vAlign w:val="bottom"/>
            <w:tcBorders>
              <w:top w:val="single" w:sz="8" w:color="CCEEFF"/>
            </w:tcBorders>
          </w:tcPr>
          <w:p>
            <w:pPr>
              <w:spacing w:after="0"/>
              <w:rPr>
                <w:sz w:val="9"/>
                <w:szCs w:val="9"/>
                <w:color w:val="auto"/>
              </w:rPr>
            </w:pPr>
          </w:p>
        </w:tc>
        <w:tc>
          <w:tcPr>
            <w:tcW w:w="17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9"/>
              </w:rPr>
              <w:t>Notes to Consolidated Financial Statements</w:t>
            </w:r>
          </w:p>
        </w:tc>
        <w:tc>
          <w:tcPr>
            <w:tcW w:w="6340" w:type="dxa"/>
            <w:vAlign w:val="bottom"/>
            <w:tcBorders>
              <w:bottom w:val="single" w:sz="8" w:color="CCEEFF"/>
            </w:tcBorders>
            <w:gridSpan w:val="6"/>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905"/>
        </w:trPr>
        <w:tc>
          <w:tcPr>
            <w:tcW w:w="9520" w:type="dxa"/>
            <w:vAlign w:val="bottom"/>
            <w:gridSpan w:val="10"/>
          </w:tcPr>
          <w:p>
            <w:pPr>
              <w:jc w:val="right"/>
              <w:ind w:right="3760"/>
              <w:spacing w:after="0"/>
              <w:rPr>
                <w:sz w:val="20"/>
                <w:szCs w:val="20"/>
                <w:color w:val="auto"/>
              </w:rPr>
            </w:pPr>
            <w:r>
              <w:rPr>
                <w:rFonts w:ascii="Arial" w:cs="Arial" w:eastAsia="Arial" w:hAnsi="Arial"/>
                <w:sz w:val="18"/>
                <w:szCs w:val="18"/>
                <w:color w:val="auto"/>
              </w:rPr>
              <w:t>144</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ImmunityBio, Inc. and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ImmunityBio, Inc. and Subsidiaries (the Company) as of December 31, 2022 and 2021, the related consolidated statements of operations, comprehensive loss, stockholders’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6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right="140" w:firstLine="8"/>
        <w:spacing w:after="0" w:line="255"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Related party transactions and disclosures</w:t>
      </w:r>
    </w:p>
    <w:p>
      <w:pPr>
        <w:sectPr>
          <w:pgSz w:w="11900" w:h="16838" w:orient="portrait"/>
          <w:cols w:equalWidth="0" w:num="1">
            <w:col w:w="11220"/>
          </w:cols>
          <w:pgMar w:left="320" w:top="449" w:right="359" w:bottom="1440" w:gutter="0" w:footer="0" w:header="0"/>
        </w:sectPr>
      </w:pPr>
    </w:p>
    <w:p>
      <w:pPr>
        <w:spacing w:after="0" w:line="192"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right="240"/>
        <w:spacing w:after="0" w:line="264" w:lineRule="auto"/>
        <w:rPr>
          <w:sz w:val="20"/>
          <w:szCs w:val="20"/>
          <w:color w:val="auto"/>
        </w:rPr>
      </w:pPr>
      <w:r>
        <w:rPr>
          <w:rFonts w:ascii="Arial" w:cs="Arial" w:eastAsia="Arial" w:hAnsi="Arial"/>
          <w:sz w:val="15"/>
          <w:szCs w:val="15"/>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9 and 10 to the consolidated financial statements, the Company’s Executive Chairman, Global Chief Scientific and Medical Officer and principal stockholder Dr. Patrick Soon-Shiong has a controlling interest in certain entities with which the Company has entered into material transactions including related party debt transactions with Nant Capital, LLC, NantWorks, NantMobile, LLC and NantCancerStemCell. Affiliates of such entities are also affiliates of the Company due to the common control of the Company’s Executive Chairman, Global Chief Scientific and Medical Officer and principal stockholder.</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Assessing the sufficiency of procedures performed to identify related parties and significant related party transactions and determining the identified significant related party transactions were properly recorded, presented and disclosed was challenging due to the nature, volume and the significance of related party transactions.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Company’s related party process. This included testing controls over management’s identification, review, recognition and disclosure of significant related party transactions.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audit procedures we performed included, among others, testing the completeness and accuracy of the listing of related parties identified and significant related party transactions provided by management, and testing the manner in which significant related party transactions were recorded, presented and disclosed. We performed journal entry searches of identified related parties to verify completeness and accuracy of the Company’s significant related party transactions. We inquired of management and members of the Company’s audit committee regarding the completeness of the significant related party transactions identified. We also inspected questionnaires received from the Company’s directors and officers, read minutes of the meetings of Board of Directors and its various Committees, read employment and compensation contracts, proxy statements and other relevant filings with the Securities and Exchange Commission that relate to the Company’s financial relationships and transactions with the Company’s executive officers and with other entities controlled by the Company’s Executive Chairman, Global Chief Scientific and Medical Officer and principal stockholder. We confirmed the significant transactions and/or balances, as applicable, with the related parties. We also obtained the underlying agreements for significant related party transactions and assessed the associated accounting and recognition. We involved a valuation specialist to assist in evaluating the appropriateness of the valuation methodologies and reasonableness of the assumptions used in the valuation of the related party debt, as described in Note 9 to the consolidated financial statements.</w:t>
      </w:r>
    </w:p>
    <w:p>
      <w:pPr>
        <w:spacing w:after="0" w:line="200" w:lineRule="exact"/>
        <w:rPr>
          <w:sz w:val="20"/>
          <w:szCs w:val="20"/>
          <w:color w:val="auto"/>
        </w:rPr>
      </w:pPr>
    </w:p>
    <w:p>
      <w:pPr>
        <w:sectPr>
          <w:pgSz w:w="11900" w:h="16838" w:orient="portrait"/>
          <w:cols w:equalWidth="0" w:num="2">
            <w:col w:w="1660" w:space="720"/>
            <w:col w:w="8840"/>
          </w:cols>
          <w:pgMar w:left="320" w:top="449" w:right="3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ImmunityBio,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audited ImmunityBio,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ImmunityBio, Inc. and Subsidiaries (the Company) maintained, in all material respects, effective internal control over financial reporting as of December 31, 2022, based on the COSO criteria.</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stockholders’ deficit and cash flows for each of the three years in the period ended December 31, 2022, and the related notes and our report dated March 1, 2023 expressed an unqualified opinion thereon.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7"/>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104,641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181,101</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136,015</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Due from related parties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Prepaid expenses and other current assets (including amounts with related parties)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15,898</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140,577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334,347</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0"/>
              <w:spacing w:after="0"/>
              <w:rPr>
                <w:sz w:val="20"/>
                <w:szCs w:val="20"/>
                <w:color w:val="auto"/>
              </w:rPr>
            </w:pPr>
            <w:r>
              <w:rPr>
                <w:rFonts w:ascii="Arial" w:cs="Arial" w:eastAsia="Arial" w:hAnsi="Arial"/>
                <w:sz w:val="16"/>
                <w:szCs w:val="16"/>
                <w:color w:val="auto"/>
              </w:rPr>
              <w:t>Marketable securities, noncurrent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82,863</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0"/>
              <w:spacing w:after="0"/>
              <w:rPr>
                <w:sz w:val="20"/>
                <w:szCs w:val="20"/>
                <w:color w:val="auto"/>
              </w:rPr>
            </w:pPr>
            <w:r>
              <w:rPr>
                <w:rFonts w:ascii="Arial" w:cs="Arial" w:eastAsia="Arial" w:hAnsi="Arial"/>
                <w:sz w:val="16"/>
                <w:szCs w:val="16"/>
                <w:color w:val="auto"/>
              </w:rPr>
              <w:t>Intangible asset,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Convertible note receivable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0"/>
              <w:spacing w:after="0"/>
              <w:rPr>
                <w:sz w:val="20"/>
                <w:szCs w:val="20"/>
                <w:color w:val="auto"/>
              </w:rPr>
            </w:pPr>
            <w:r>
              <w:rPr>
                <w:rFonts w:ascii="Arial" w:cs="Arial" w:eastAsia="Arial" w:hAnsi="Arial"/>
                <w:sz w:val="16"/>
                <w:szCs w:val="16"/>
                <w:color w:val="auto"/>
              </w:rPr>
              <w:t>Operating lease right-of-use assets, net (including amounts with related parties)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36,304</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Investment and other assets (including amounts with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6,775</w:t>
            </w:r>
          </w:p>
        </w:tc>
        <w:tc>
          <w:tcPr>
            <w:tcW w:w="0" w:type="dxa"/>
            <w:vAlign w:val="bottom"/>
          </w:tcPr>
          <w:p>
            <w:pPr>
              <w:spacing w:after="0"/>
              <w:rPr>
                <w:sz w:val="1"/>
                <w:szCs w:val="1"/>
                <w:color w:val="auto"/>
              </w:rPr>
            </w:pPr>
          </w:p>
        </w:tc>
      </w:tr>
      <w:tr>
        <w:trPr>
          <w:trHeight w:val="231"/>
        </w:trPr>
        <w:tc>
          <w:tcPr>
            <w:tcW w:w="8100" w:type="dxa"/>
            <w:vAlign w:val="bottom"/>
            <w:gridSpan w:val="7"/>
          </w:tcPr>
          <w:p>
            <w:pPr>
              <w:ind w:left="46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362,356</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468,910</w:t>
            </w:r>
          </w:p>
        </w:tc>
        <w:tc>
          <w:tcPr>
            <w:tcW w:w="0" w:type="dxa"/>
            <w:vAlign w:val="bottom"/>
          </w:tcPr>
          <w:p>
            <w:pPr>
              <w:spacing w:after="0"/>
              <w:rPr>
                <w:sz w:val="1"/>
                <w:szCs w:val="1"/>
                <w:color w:val="auto"/>
              </w:rPr>
            </w:pPr>
          </w:p>
        </w:tc>
      </w:tr>
      <w:tr>
        <w:trPr>
          <w:trHeight w:val="27"/>
        </w:trPr>
        <w:tc>
          <w:tcPr>
            <w:tcW w:w="810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100" w:type="dxa"/>
            <w:vAlign w:val="bottom"/>
            <w:gridSpan w:val="7"/>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21,016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41,825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51,387</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Related-party promissory notes, net of discounts and deferred issuance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431,901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299,236</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Due to related parties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Operating lease liabilities (including amounts with related parties)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500,861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368,995</w:t>
            </w:r>
          </w:p>
        </w:tc>
        <w:tc>
          <w:tcPr>
            <w:tcW w:w="0" w:type="dxa"/>
            <w:vAlign w:val="bottom"/>
          </w:tcPr>
          <w:p>
            <w:pPr>
              <w:spacing w:after="0"/>
              <w:rPr>
                <w:sz w:val="1"/>
                <w:szCs w:val="1"/>
                <w:color w:val="auto"/>
              </w:rPr>
            </w:pPr>
          </w:p>
        </w:tc>
      </w:tr>
      <w:tr>
        <w:trPr>
          <w:trHeight w:val="175"/>
        </w:trPr>
        <w:tc>
          <w:tcPr>
            <w:tcW w:w="81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Related-party promissory notes, less current portion (</w:t>
            </w:r>
            <w:r>
              <w:rPr>
                <w:rFonts w:ascii="Arial" w:cs="Arial" w:eastAsia="Arial" w:hAnsi="Arial"/>
                <w:sz w:val="16"/>
                <w:szCs w:val="16"/>
                <w:color w:val="0000FF"/>
              </w:rPr>
              <w:t>Note 9</w:t>
            </w: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5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306,349</w:t>
            </w: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860" w:type="dxa"/>
            <w:vAlign w:val="bottom"/>
            <w:tcBorders>
              <w:bottom w:val="single" w:sz="8" w:color="CCEEFF"/>
            </w:tcBorders>
            <w:gridSpan w:val="5"/>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Related-party convertible notes and accrued interest, net of discount, less current portion (</w:t>
            </w: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6"/>
                <w:szCs w:val="16"/>
                <w:color w:val="0000FF"/>
                <w:w w:val="88"/>
              </w:rPr>
              <w:t>Note 9</w:t>
            </w:r>
          </w:p>
        </w:tc>
        <w:tc>
          <w:tcPr>
            <w:tcW w:w="1800" w:type="dxa"/>
            <w:vAlign w:val="bottom"/>
            <w:tcBorders>
              <w:bottom w:val="single" w:sz="8" w:color="CCEEFF"/>
            </w:tcBorders>
            <w:shd w:val="clear" w:color="auto" w:fill="CCEEFF"/>
          </w:tcPr>
          <w:p>
            <w:pPr>
              <w:jc w:val="right"/>
              <w:ind w:right="1720"/>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241,271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gridSpan w:val="7"/>
          </w:tcPr>
          <w:p>
            <w:pPr>
              <w:ind w:left="20"/>
              <w:spacing w:after="0"/>
              <w:rPr>
                <w:sz w:val="20"/>
                <w:szCs w:val="20"/>
                <w:color w:val="auto"/>
              </w:rPr>
            </w:pPr>
            <w:r>
              <w:rPr>
                <w:rFonts w:ascii="Arial" w:cs="Arial" w:eastAsia="Arial" w:hAnsi="Arial"/>
                <w:sz w:val="16"/>
                <w:szCs w:val="16"/>
                <w:color w:val="auto"/>
              </w:rPr>
              <w:t>Operating lease liabilities, less current portion (including amounts with related parties)</w:t>
            </w: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47,951</w:t>
            </w: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37,068</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812,176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712,823</w:t>
            </w:r>
          </w:p>
        </w:tc>
        <w:tc>
          <w:tcPr>
            <w:tcW w:w="0" w:type="dxa"/>
            <w:vAlign w:val="bottom"/>
          </w:tcPr>
          <w:p>
            <w:pPr>
              <w:spacing w:after="0"/>
              <w:rPr>
                <w:sz w:val="1"/>
                <w:szCs w:val="1"/>
                <w:color w:val="auto"/>
              </w:rPr>
            </w:pPr>
          </w:p>
        </w:tc>
      </w:tr>
      <w:tr>
        <w:trPr>
          <w:trHeight w:val="156"/>
        </w:trPr>
        <w:tc>
          <w:tcPr>
            <w:tcW w:w="8100" w:type="dxa"/>
            <w:vAlign w:val="bottom"/>
            <w:gridSpan w:val="7"/>
          </w:tcPr>
          <w:p>
            <w:pPr>
              <w:ind w:left="20"/>
              <w:spacing w:after="0" w:line="155" w:lineRule="exact"/>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color w:val="0000FF"/>
              </w:rPr>
              <w:t>Note 7</w:t>
            </w:r>
            <w:r>
              <w:rPr>
                <w:rFonts w:ascii="Arial" w:cs="Arial" w:eastAsia="Arial" w:hAnsi="Arial"/>
                <w:sz w:val="16"/>
                <w:szCs w:val="16"/>
                <w:color w:val="auto"/>
              </w:rPr>
              <w:t>)</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00" w:type="dxa"/>
            <w:vAlign w:val="bottom"/>
            <w:gridSpan w:val="7"/>
          </w:tcPr>
          <w:p>
            <w:pPr>
              <w:ind w:left="260"/>
              <w:spacing w:after="0"/>
              <w:rPr>
                <w:sz w:val="20"/>
                <w:szCs w:val="20"/>
                <w:color w:val="auto"/>
              </w:rPr>
            </w:pPr>
            <w:r>
              <w:rPr>
                <w:rFonts w:ascii="Arial" w:cs="Arial" w:eastAsia="Arial" w:hAnsi="Arial"/>
                <w:sz w:val="16"/>
                <w:szCs w:val="16"/>
                <w:color w:val="auto"/>
              </w:rPr>
              <w:t>Common stock, $0.0001 par value; 900,000,000 and 500,000,000 shares authorized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gridSpan w:val="7"/>
          </w:tcPr>
          <w:p>
            <w:pPr>
              <w:ind w:left="380"/>
              <w:spacing w:after="0"/>
              <w:rPr>
                <w:sz w:val="20"/>
                <w:szCs w:val="20"/>
                <w:color w:val="auto"/>
              </w:rPr>
            </w:pPr>
            <w:r>
              <w:rPr>
                <w:rFonts w:ascii="Arial" w:cs="Arial" w:eastAsia="Arial" w:hAnsi="Arial"/>
                <w:sz w:val="16"/>
                <w:szCs w:val="16"/>
                <w:color w:val="auto"/>
              </w:rPr>
              <w:t>as of December 31, 2022 and 2021, respectively; 421,569,115 and 397,830,044 shares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100" w:type="dxa"/>
            <w:vAlign w:val="bottom"/>
            <w:gridSpan w:val="7"/>
          </w:tcPr>
          <w:p>
            <w:pPr>
              <w:ind w:left="380"/>
              <w:spacing w:after="0" w:line="175" w:lineRule="exact"/>
              <w:rPr>
                <w:sz w:val="20"/>
                <w:szCs w:val="20"/>
                <w:color w:val="auto"/>
              </w:rPr>
            </w:pPr>
            <w:r>
              <w:rPr>
                <w:rFonts w:ascii="Arial" w:cs="Arial" w:eastAsia="Arial" w:hAnsi="Arial"/>
                <w:sz w:val="16"/>
                <w:szCs w:val="16"/>
                <w:color w:val="auto"/>
              </w:rPr>
              <w:t>issued and outstanding as of December 31, 2022 and 2021, respectively;</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gridSpan w:val="7"/>
          </w:tcPr>
          <w:p>
            <w:pPr>
              <w:ind w:left="380"/>
              <w:spacing w:after="0"/>
              <w:rPr>
                <w:sz w:val="20"/>
                <w:szCs w:val="20"/>
                <w:color w:val="auto"/>
              </w:rPr>
            </w:pPr>
            <w:r>
              <w:rPr>
                <w:rFonts w:ascii="Arial" w:cs="Arial" w:eastAsia="Arial" w:hAnsi="Arial"/>
                <w:sz w:val="16"/>
                <w:szCs w:val="16"/>
                <w:color w:val="auto"/>
              </w:rPr>
              <w:t>excluding treasury stock, 163,800 shares outstanding as of December 31, 2022 and 2021,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00" w:type="dxa"/>
            <w:vAlign w:val="bottom"/>
            <w:gridSpan w:val="7"/>
          </w:tcPr>
          <w:p>
            <w:pPr>
              <w:ind w:left="38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1,930,936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1,719,704</w:t>
            </w:r>
          </w:p>
        </w:tc>
        <w:tc>
          <w:tcPr>
            <w:tcW w:w="0" w:type="dxa"/>
            <w:vAlign w:val="bottom"/>
          </w:tcPr>
          <w:p>
            <w:pPr>
              <w:spacing w:after="0"/>
              <w:rPr>
                <w:sz w:val="1"/>
                <w:szCs w:val="1"/>
                <w:color w:val="auto"/>
              </w:rPr>
            </w:pPr>
          </w:p>
        </w:tc>
      </w:tr>
      <w:tr>
        <w:trPr>
          <w:trHeight w:val="210"/>
        </w:trPr>
        <w:tc>
          <w:tcPr>
            <w:tcW w:w="8100" w:type="dxa"/>
            <w:vAlign w:val="bottom"/>
            <w:gridSpan w:val="7"/>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(2,378,488)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(1,961,921)</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8100" w:type="dxa"/>
            <w:vAlign w:val="bottom"/>
            <w:gridSpan w:val="7"/>
          </w:tcPr>
          <w:p>
            <w:pPr>
              <w:ind w:left="460"/>
              <w:spacing w:after="0"/>
              <w:rPr>
                <w:sz w:val="20"/>
                <w:szCs w:val="20"/>
                <w:color w:val="auto"/>
              </w:rPr>
            </w:pPr>
            <w:r>
              <w:rPr>
                <w:rFonts w:ascii="Arial" w:cs="Arial" w:eastAsia="Arial" w:hAnsi="Arial"/>
                <w:sz w:val="16"/>
                <w:szCs w:val="16"/>
                <w:color w:val="auto"/>
              </w:rPr>
              <w:t>Total ImmunityBio stockholders’ deficit</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(447,327)</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(242,173)</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03"/>
        </w:trPr>
        <w:tc>
          <w:tcPr>
            <w:tcW w:w="8100" w:type="dxa"/>
            <w:vAlign w:val="bottom"/>
            <w:gridSpan w:val="7"/>
          </w:tcPr>
          <w:p>
            <w:pPr>
              <w:ind w:left="460"/>
              <w:spacing w:after="0"/>
              <w:rPr>
                <w:sz w:val="20"/>
                <w:szCs w:val="20"/>
                <w:color w:val="auto"/>
              </w:rPr>
            </w:pPr>
            <w:r>
              <w:rPr>
                <w:rFonts w:ascii="Arial" w:cs="Arial" w:eastAsia="Arial" w:hAnsi="Arial"/>
                <w:sz w:val="16"/>
                <w:szCs w:val="16"/>
                <w:color w:val="auto"/>
              </w:rPr>
              <w:t>Total stockholders’ deficit</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(449,820)</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(243,913)</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362,356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468,910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4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Research and development (including amounts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related parties)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139,507</w:t>
            </w:r>
          </w:p>
        </w:tc>
        <w:tc>
          <w:tcPr>
            <w:tcW w:w="0" w:type="dxa"/>
            <w:vAlign w:val="bottom"/>
          </w:tcPr>
          <w:p>
            <w:pPr>
              <w:spacing w:after="0"/>
              <w:rPr>
                <w:sz w:val="1"/>
                <w:szCs w:val="1"/>
                <w:color w:val="auto"/>
              </w:rPr>
            </w:pPr>
          </w:p>
        </w:tc>
      </w:tr>
      <w:tr>
        <w:trPr>
          <w:trHeight w:val="176"/>
        </w:trPr>
        <w:tc>
          <w:tcPr>
            <w:tcW w:w="6480" w:type="dxa"/>
            <w:vAlign w:val="bottom"/>
          </w:tcPr>
          <w:p>
            <w:pPr>
              <w:ind w:left="240"/>
              <w:spacing w:after="0" w:line="176" w:lineRule="exact"/>
              <w:rPr>
                <w:sz w:val="20"/>
                <w:szCs w:val="20"/>
                <w:color w:val="auto"/>
              </w:rPr>
            </w:pPr>
            <w:r>
              <w:rPr>
                <w:rFonts w:ascii="Arial" w:cs="Arial" w:eastAsia="Arial" w:hAnsi="Arial"/>
                <w:sz w:val="18"/>
                <w:szCs w:val="18"/>
                <w:color w:val="auto"/>
              </w:rPr>
              <w:t>Selling, general and administrative (including amounts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with related parties)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71,318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351,538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331,214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221,485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(220,880)</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and investment (loss)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Interest expense (including amounts with related parties)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equity method investment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(expense) income, net (including amounts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related parties)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 and noncontrolling interests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(224,187)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interests, net of tax</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ImmunityBio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ImmunityBio common share –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number of common shares used in computing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399,900,374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389,234,156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377,067,527</w:t>
            </w:r>
          </w:p>
        </w:tc>
        <w:tc>
          <w:tcPr>
            <w:tcW w:w="0" w:type="dxa"/>
            <w:vAlign w:val="bottom"/>
          </w:tcPr>
          <w:p>
            <w:pPr>
              <w:spacing w:after="0"/>
              <w:rPr>
                <w:sz w:val="1"/>
                <w:szCs w:val="1"/>
                <w:color w:val="auto"/>
              </w:rPr>
            </w:pPr>
          </w:p>
        </w:tc>
      </w:tr>
      <w:tr>
        <w:trPr>
          <w:trHeight w:val="216"/>
        </w:trPr>
        <w:tc>
          <w:tcPr>
            <w:tcW w:w="6480" w:type="dxa"/>
            <w:vAlign w:val="bottom"/>
          </w:tcPr>
          <w:p>
            <w:pPr>
              <w:ind w:left="16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(224,187)</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(losses) gains on available-for-sale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76"/>
        </w:trPr>
        <w:tc>
          <w:tcPr>
            <w:tcW w:w="6480" w:type="dxa"/>
            <w:vAlign w:val="bottom"/>
          </w:tcPr>
          <w:p>
            <w:pPr>
              <w:ind w:left="180"/>
              <w:spacing w:after="0" w:line="176" w:lineRule="exact"/>
              <w:rPr>
                <w:sz w:val="20"/>
                <w:szCs w:val="20"/>
                <w:color w:val="auto"/>
              </w:rPr>
            </w:pPr>
            <w:r>
              <w:rPr>
                <w:rFonts w:ascii="Arial" w:cs="Arial" w:eastAsia="Arial" w:hAnsi="Arial"/>
                <w:sz w:val="18"/>
                <w:szCs w:val="18"/>
                <w:color w:val="auto"/>
              </w:rPr>
              <w:t>Reclassification of net realized gains on</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20"/>
              <w:spacing w:after="0"/>
              <w:rPr>
                <w:sz w:val="20"/>
                <w:szCs w:val="20"/>
                <w:color w:val="auto"/>
              </w:rPr>
            </w:pPr>
            <w:r>
              <w:rPr>
                <w:rFonts w:ascii="Arial" w:cs="Arial" w:eastAsia="Arial" w:hAnsi="Arial"/>
                <w:sz w:val="18"/>
                <w:szCs w:val="18"/>
                <w:color w:val="auto"/>
              </w:rPr>
              <w:t>available-for-sale securities included in net loss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(223,978)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56"/>
        </w:trPr>
        <w:tc>
          <w:tcPr>
            <w:tcW w:w="6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loss attributable to ImmunityBio</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(416,388)</w:t>
            </w:r>
          </w:p>
        </w:tc>
        <w:tc>
          <w:tcPr>
            <w:tcW w:w="4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(346,908)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(221,642)</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3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ImmunityBio</w:t>
            </w:r>
          </w:p>
        </w:tc>
        <w:tc>
          <w:tcPr>
            <w:tcW w:w="10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09"/>
        </w:trPr>
        <w:tc>
          <w:tcPr>
            <w:tcW w:w="1640" w:type="dxa"/>
            <w:vAlign w:val="bottom"/>
            <w:gridSpan w:val="2"/>
            <w:vMerge w:val="continue"/>
          </w:tcPr>
          <w:p>
            <w:pPr>
              <w:spacing w:after="0"/>
              <w:rPr>
                <w:sz w:val="9"/>
                <w:szCs w:val="9"/>
                <w:color w:val="auto"/>
              </w:rPr>
            </w:pPr>
          </w:p>
        </w:tc>
        <w:tc>
          <w:tcPr>
            <w:tcW w:w="10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5"/>
              </w:rPr>
              <w:t>(Loss)</w:t>
            </w:r>
          </w:p>
        </w:tc>
        <w:tc>
          <w:tcPr>
            <w:tcW w:w="9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9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371,976,995</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176"/>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net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20" w:type="dxa"/>
            <w:vAlign w:val="bottom"/>
          </w:tcPr>
          <w:p>
            <w:pPr>
              <w:ind w:left="300"/>
              <w:spacing w:after="0"/>
              <w:rPr>
                <w:sz w:val="20"/>
                <w:szCs w:val="20"/>
                <w:color w:val="auto"/>
              </w:rPr>
            </w:pPr>
            <w:r>
              <w:rPr>
                <w:rFonts w:ascii="Arial" w:cs="Arial" w:eastAsia="Arial" w:hAnsi="Arial"/>
                <w:sz w:val="18"/>
                <w:szCs w:val="18"/>
                <w:color w:val="auto"/>
              </w:rPr>
              <w:t>offering costs of $4,373</w:t>
            </w:r>
          </w:p>
        </w:tc>
        <w:tc>
          <w:tcPr>
            <w:tcW w:w="980" w:type="dxa"/>
            <w:vAlign w:val="bottom"/>
          </w:tcPr>
          <w:p>
            <w:pPr>
              <w:jc w:val="right"/>
              <w:spacing w:after="0"/>
              <w:rPr>
                <w:sz w:val="20"/>
                <w:szCs w:val="20"/>
                <w:color w:val="auto"/>
              </w:rPr>
            </w:pPr>
            <w:r>
              <w:rPr>
                <w:rFonts w:ascii="Arial" w:cs="Arial" w:eastAsia="Arial" w:hAnsi="Arial"/>
                <w:sz w:val="18"/>
                <w:szCs w:val="18"/>
                <w:color w:val="auto"/>
              </w:rPr>
              <w:t>8,521,500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1,272,273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Vesting of restricted stock units (RSUs)</w:t>
            </w:r>
          </w:p>
        </w:tc>
        <w:tc>
          <w:tcPr>
            <w:tcW w:w="980" w:type="dxa"/>
            <w:vAlign w:val="bottom"/>
          </w:tcPr>
          <w:p>
            <w:pPr>
              <w:jc w:val="right"/>
              <w:spacing w:after="0"/>
              <w:rPr>
                <w:sz w:val="20"/>
                <w:szCs w:val="20"/>
                <w:color w:val="auto"/>
              </w:rPr>
            </w:pPr>
            <w:r>
              <w:rPr>
                <w:rFonts w:ascii="Arial" w:cs="Arial" w:eastAsia="Arial" w:hAnsi="Arial"/>
                <w:sz w:val="18"/>
                <w:szCs w:val="18"/>
                <w:color w:val="auto"/>
              </w:rPr>
              <w:t>648,336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share settlement for RSUs vesting</w:t>
            </w:r>
          </w:p>
        </w:tc>
        <w:tc>
          <w:tcPr>
            <w:tcW w:w="980" w:type="dxa"/>
            <w:vAlign w:val="bottom"/>
          </w:tcPr>
          <w:p>
            <w:pPr>
              <w:jc w:val="right"/>
              <w:spacing w:after="0"/>
              <w:rPr>
                <w:sz w:val="20"/>
                <w:szCs w:val="20"/>
                <w:color w:val="auto"/>
              </w:rPr>
            </w:pPr>
            <w:r>
              <w:rPr>
                <w:rFonts w:ascii="Arial" w:cs="Arial" w:eastAsia="Arial" w:hAnsi="Arial"/>
                <w:sz w:val="18"/>
                <w:szCs w:val="18"/>
                <w:color w:val="auto"/>
              </w:rPr>
              <w:t>(175,962)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w w:val="95"/>
              </w:rPr>
              <w:t>Other comprehensive income (loss), net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20" w:type="dxa"/>
            <w:vAlign w:val="bottom"/>
          </w:tcPr>
          <w:p>
            <w:pPr>
              <w:ind w:left="160"/>
              <w:spacing w:after="0"/>
              <w:rPr>
                <w:sz w:val="20"/>
                <w:szCs w:val="20"/>
                <w:color w:val="auto"/>
              </w:rPr>
            </w:pPr>
            <w:r>
              <w:rPr>
                <w:rFonts w:ascii="Arial" w:cs="Arial" w:eastAsia="Arial" w:hAnsi="Arial"/>
                <w:sz w:val="18"/>
                <w:szCs w:val="18"/>
                <w:color w:val="auto"/>
              </w:rPr>
              <w:t>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382,243,142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155"/>
        </w:trPr>
        <w:tc>
          <w:tcPr>
            <w:tcW w:w="3420" w:type="dxa"/>
            <w:vAlign w:val="bottom"/>
          </w:tcPr>
          <w:p>
            <w:pPr>
              <w:ind w:left="160"/>
              <w:spacing w:after="0" w:line="156" w:lineRule="exact"/>
              <w:rPr>
                <w:sz w:val="20"/>
                <w:szCs w:val="20"/>
                <w:color w:val="auto"/>
              </w:rPr>
            </w:pPr>
            <w:r>
              <w:rPr>
                <w:rFonts w:ascii="Arial" w:cs="Arial" w:eastAsia="Arial" w:hAnsi="Arial"/>
                <w:sz w:val="18"/>
                <w:szCs w:val="18"/>
                <w:color w:val="auto"/>
                <w:w w:val="96"/>
              </w:rPr>
              <w:t>Issuance of common stock “at-the-market”</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8"/>
        </w:trPr>
        <w:tc>
          <w:tcPr>
            <w:tcW w:w="3420" w:type="dxa"/>
            <w:vAlign w:val="bottom"/>
          </w:tcPr>
          <w:p>
            <w:pPr>
              <w:ind w:left="300"/>
              <w:spacing w:after="0" w:line="189" w:lineRule="exact"/>
              <w:rPr>
                <w:sz w:val="20"/>
                <w:szCs w:val="20"/>
                <w:color w:val="auto"/>
              </w:rPr>
            </w:pPr>
            <w:r>
              <w:rPr>
                <w:rFonts w:ascii="Arial" w:cs="Arial" w:eastAsia="Arial" w:hAnsi="Arial"/>
                <w:sz w:val="18"/>
                <w:szCs w:val="18"/>
                <w:color w:val="auto"/>
              </w:rPr>
              <w:t>offering, net of commissions and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0"/>
        </w:trPr>
        <w:tc>
          <w:tcPr>
            <w:tcW w:w="3420" w:type="dxa"/>
            <w:vAlign w:val="bottom"/>
          </w:tcPr>
          <w:p>
            <w:pPr>
              <w:ind w:left="300"/>
              <w:spacing w:after="0"/>
              <w:rPr>
                <w:sz w:val="20"/>
                <w:szCs w:val="20"/>
                <w:color w:val="auto"/>
              </w:rPr>
            </w:pPr>
            <w:r>
              <w:rPr>
                <w:rFonts w:ascii="Arial" w:cs="Arial" w:eastAsia="Arial" w:hAnsi="Arial"/>
                <w:sz w:val="18"/>
                <w:szCs w:val="18"/>
                <w:color w:val="auto"/>
              </w:rPr>
              <w:t>offering costs of $4,674</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13,295,817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1,695,638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Vesting of RSUs</w:t>
            </w:r>
          </w:p>
        </w:tc>
        <w:tc>
          <w:tcPr>
            <w:tcW w:w="980" w:type="dxa"/>
            <w:vAlign w:val="bottom"/>
          </w:tcPr>
          <w:p>
            <w:pPr>
              <w:jc w:val="right"/>
              <w:spacing w:after="0"/>
              <w:rPr>
                <w:sz w:val="20"/>
                <w:szCs w:val="20"/>
                <w:color w:val="auto"/>
              </w:rPr>
            </w:pPr>
            <w:r>
              <w:rPr>
                <w:rFonts w:ascii="Arial" w:cs="Arial" w:eastAsia="Arial" w:hAnsi="Arial"/>
                <w:sz w:val="18"/>
                <w:szCs w:val="18"/>
                <w:color w:val="auto"/>
              </w:rPr>
              <w:t>873,058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share settlement for RSUs vesting</w:t>
            </w:r>
          </w:p>
        </w:tc>
        <w:tc>
          <w:tcPr>
            <w:tcW w:w="980" w:type="dxa"/>
            <w:vAlign w:val="bottom"/>
          </w:tcPr>
          <w:p>
            <w:pPr>
              <w:jc w:val="right"/>
              <w:spacing w:after="0"/>
              <w:rPr>
                <w:sz w:val="20"/>
                <w:szCs w:val="20"/>
                <w:color w:val="auto"/>
              </w:rPr>
            </w:pPr>
            <w:r>
              <w:rPr>
                <w:rFonts w:ascii="Arial" w:cs="Arial" w:eastAsia="Arial" w:hAnsi="Arial"/>
                <w:sz w:val="18"/>
                <w:szCs w:val="18"/>
                <w:color w:val="auto"/>
              </w:rPr>
              <w:t>(277,611)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w w:val="95"/>
              </w:rPr>
              <w:t>Sales of assets to an entity under common</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20" w:type="dxa"/>
            <w:vAlign w:val="bottom"/>
          </w:tcPr>
          <w:p>
            <w:pPr>
              <w:ind w:left="160"/>
              <w:spacing w:after="0"/>
              <w:rPr>
                <w:sz w:val="20"/>
                <w:szCs w:val="20"/>
                <w:color w:val="auto"/>
              </w:rPr>
            </w:pPr>
            <w:r>
              <w:rPr>
                <w:rFonts w:ascii="Arial" w:cs="Arial" w:eastAsia="Arial" w:hAnsi="Arial"/>
                <w:sz w:val="18"/>
                <w:szCs w:val="18"/>
                <w:color w:val="auto"/>
              </w:rPr>
              <w:t>control</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w w:val="95"/>
              </w:rPr>
              <w:t>Other comprehensive income (loss), net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20" w:type="dxa"/>
            <w:vAlign w:val="bottom"/>
          </w:tcPr>
          <w:p>
            <w:pPr>
              <w:ind w:left="160"/>
              <w:spacing w:after="0"/>
              <w:rPr>
                <w:sz w:val="20"/>
                <w:szCs w:val="20"/>
                <w:color w:val="auto"/>
              </w:rPr>
            </w:pPr>
            <w:r>
              <w:rPr>
                <w:rFonts w:ascii="Arial" w:cs="Arial" w:eastAsia="Arial" w:hAnsi="Arial"/>
                <w:sz w:val="18"/>
                <w:szCs w:val="18"/>
                <w:color w:val="auto"/>
              </w:rPr>
              <w:t>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397,830,044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$1,406,002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$(1,393,280)</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12,672</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16,326</w:t>
            </w:r>
          </w:p>
        </w:tc>
      </w:tr>
      <w:tr>
        <w:trPr>
          <w:trHeight w:val="417"/>
        </w:trPr>
        <w:tc>
          <w:tcPr>
            <w:tcW w:w="900" w:type="dxa"/>
            <w:vAlign w:val="bottom"/>
          </w:tcPr>
          <w:p>
            <w:pPr>
              <w:jc w:val="right"/>
              <w:spacing w:after="0"/>
              <w:rPr>
                <w:sz w:val="20"/>
                <w:szCs w:val="20"/>
                <w:color w:val="auto"/>
              </w:rPr>
            </w:pPr>
            <w:r>
              <w:rPr>
                <w:rFonts w:ascii="Arial" w:cs="Arial" w:eastAsia="Arial" w:hAnsi="Arial"/>
                <w:sz w:val="18"/>
                <w:szCs w:val="18"/>
                <w:color w:val="auto"/>
              </w:rPr>
              <w:t>86,301</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86,302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86,302</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29"/>
        </w:trPr>
        <w:tc>
          <w:tcPr>
            <w:tcW w:w="9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2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418"/>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(221,851)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(221,851)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(224,187)</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1,495,163</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(1,615,131)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(119,808)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(118,490)</w:t>
            </w:r>
          </w:p>
        </w:tc>
      </w:tr>
      <w:tr>
        <w:trPr>
          <w:trHeight w:val="573"/>
        </w:trPr>
        <w:tc>
          <w:tcPr>
            <w:tcW w:w="900" w:type="dxa"/>
            <w:vAlign w:val="bottom"/>
          </w:tcPr>
          <w:p>
            <w:pPr>
              <w:jc w:val="right"/>
              <w:spacing w:after="0"/>
              <w:rPr>
                <w:sz w:val="20"/>
                <w:szCs w:val="20"/>
                <w:color w:val="auto"/>
              </w:rPr>
            </w:pPr>
            <w:r>
              <w:rPr>
                <w:rFonts w:ascii="Arial" w:cs="Arial" w:eastAsia="Arial" w:hAnsi="Arial"/>
                <w:sz w:val="18"/>
                <w:szCs w:val="18"/>
                <w:color w:val="auto"/>
              </w:rPr>
              <w:t>164,528</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164,530</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57,181</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57,181</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2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(4,064)</w:t>
            </w:r>
          </w:p>
        </w:tc>
      </w:tr>
      <w:tr>
        <w:trPr>
          <w:trHeight w:val="418"/>
        </w:trPr>
        <w:tc>
          <w:tcPr>
            <w:tcW w:w="9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418"/>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(346,790)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(346,790)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(349,848)</w:t>
            </w:r>
          </w:p>
        </w:tc>
      </w:tr>
      <w:tr>
        <w:trPr>
          <w:trHeight w:val="224"/>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1,719,704</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(1,961,921)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(242,173)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-2940050</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-2648585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-2357120</wp:posOffset>
            </wp:positionV>
            <wp:extent cx="7132320" cy="266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-1945640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-1414145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-1122680</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-831215</wp:posOffset>
            </wp:positionV>
            <wp:extent cx="7132320" cy="265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-299720</wp:posOffset>
            </wp:positionV>
            <wp:extent cx="71323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80"/>
            <w:col w:w="6080"/>
          </w:cols>
          <w:pgMar w:left="320" w:top="449" w:right="339" w:bottom="1440" w:gutter="0" w:footer="0" w:header="0"/>
          <w:type w:val="continuous"/>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ImmunityBio</w:t>
            </w:r>
          </w:p>
        </w:tc>
        <w:tc>
          <w:tcPr>
            <w:tcW w:w="10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09"/>
        </w:trPr>
        <w:tc>
          <w:tcPr>
            <w:tcW w:w="1620" w:type="dxa"/>
            <w:vAlign w:val="bottom"/>
            <w:gridSpan w:val="2"/>
            <w:vMerge w:val="continue"/>
          </w:tcPr>
          <w:p>
            <w:pPr>
              <w:spacing w:after="0"/>
              <w:rPr>
                <w:sz w:val="9"/>
                <w:szCs w:val="9"/>
                <w:color w:val="auto"/>
              </w:rPr>
            </w:pPr>
          </w:p>
        </w:tc>
        <w:tc>
          <w:tcPr>
            <w:tcW w:w="10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5"/>
              </w:rPr>
              <w:t>(Loss)</w:t>
            </w:r>
          </w:p>
        </w:tc>
        <w:tc>
          <w:tcPr>
            <w:tcW w:w="9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9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449" w:right="339" w:bottom="1440" w:gutter="0" w:footer="0" w:header="0"/>
        </w:sectPr>
      </w:pPr>
    </w:p>
    <w:p>
      <w:pPr>
        <w:ind w:left="180" w:right="2040"/>
        <w:spacing w:after="0" w:line="220" w:lineRule="auto"/>
        <w:rPr>
          <w:sz w:val="20"/>
          <w:szCs w:val="20"/>
          <w:color w:val="auto"/>
        </w:rPr>
      </w:pPr>
      <w:r>
        <w:rPr>
          <w:rFonts w:ascii="Arial" w:cs="Arial" w:eastAsia="Arial" w:hAnsi="Arial"/>
          <w:sz w:val="18"/>
          <w:szCs w:val="18"/>
          <w:color w:val="auto"/>
        </w:rPr>
        <w:t>Conversion of related-party convertible note and</w:t>
      </w: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220" w:type="dxa"/>
            <w:vAlign w:val="bottom"/>
            <w:gridSpan w:val="2"/>
          </w:tcPr>
          <w:p>
            <w:pPr>
              <w:ind w:left="80"/>
              <w:spacing w:after="0" w:line="162" w:lineRule="exact"/>
              <w:rPr>
                <w:sz w:val="20"/>
                <w:szCs w:val="20"/>
                <w:color w:val="auto"/>
              </w:rPr>
            </w:pPr>
            <w:r>
              <w:rPr>
                <w:rFonts w:ascii="Arial" w:cs="Arial" w:eastAsia="Arial" w:hAnsi="Arial"/>
                <w:sz w:val="18"/>
                <w:szCs w:val="18"/>
                <w:color w:val="auto"/>
                <w:w w:val="95"/>
              </w:rPr>
              <w:t>accrued interest, net of unamortized debt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6"/>
        </w:trPr>
        <w:tc>
          <w:tcPr>
            <w:tcW w:w="34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discount,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220" w:type="dxa"/>
            <w:vAlign w:val="bottom"/>
          </w:tcPr>
          <w:p>
            <w:pPr>
              <w:spacing w:after="0"/>
              <w:rPr>
                <w:sz w:val="21"/>
                <w:szCs w:val="21"/>
                <w:color w:val="auto"/>
              </w:rPr>
            </w:pPr>
          </w:p>
        </w:tc>
        <w:tc>
          <w:tcPr>
            <w:tcW w:w="3220" w:type="dxa"/>
            <w:vAlign w:val="bottom"/>
            <w:gridSpan w:val="2"/>
          </w:tcPr>
          <w:p>
            <w:pPr>
              <w:ind w:left="80"/>
              <w:spacing w:after="0"/>
              <w:rPr>
                <w:sz w:val="20"/>
                <w:szCs w:val="20"/>
                <w:color w:val="auto"/>
              </w:rPr>
            </w:pPr>
            <w:r>
              <w:rPr>
                <w:rFonts w:ascii="Arial" w:cs="Arial" w:eastAsia="Arial" w:hAnsi="Arial"/>
                <w:sz w:val="18"/>
                <w:szCs w:val="18"/>
                <w:color w:val="auto"/>
              </w:rPr>
              <w:t>into equity</w:t>
            </w:r>
          </w:p>
        </w:tc>
        <w:tc>
          <w:tcPr>
            <w:tcW w:w="960" w:type="dxa"/>
            <w:vAlign w:val="bottom"/>
          </w:tcPr>
          <w:p>
            <w:pPr>
              <w:jc w:val="right"/>
              <w:spacing w:after="0"/>
              <w:rPr>
                <w:sz w:val="20"/>
                <w:szCs w:val="20"/>
                <w:color w:val="auto"/>
              </w:rPr>
            </w:pPr>
            <w:r>
              <w:rPr>
                <w:rFonts w:ascii="Arial" w:cs="Arial" w:eastAsia="Arial" w:hAnsi="Arial"/>
                <w:sz w:val="18"/>
                <w:szCs w:val="18"/>
                <w:color w:val="auto"/>
              </w:rPr>
              <w:t>9,986,920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76"/>
        </w:trPr>
        <w:tc>
          <w:tcPr>
            <w:tcW w:w="34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Issuance of shares in a registered direct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8"/>
        </w:trPr>
        <w:tc>
          <w:tcPr>
            <w:tcW w:w="34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offering,</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6"/>
        </w:trPr>
        <w:tc>
          <w:tcPr>
            <w:tcW w:w="220" w:type="dxa"/>
            <w:vAlign w:val="bottom"/>
          </w:tcPr>
          <w:p>
            <w:pPr>
              <w:spacing w:after="0"/>
              <w:rPr>
                <w:sz w:val="15"/>
                <w:szCs w:val="15"/>
                <w:color w:val="auto"/>
              </w:rPr>
            </w:pPr>
          </w:p>
        </w:tc>
        <w:tc>
          <w:tcPr>
            <w:tcW w:w="32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net of discount and offering costs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8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$1,897</w:t>
            </w:r>
          </w:p>
        </w:tc>
        <w:tc>
          <w:tcPr>
            <w:tcW w:w="2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8"/>
        </w:trPr>
        <w:tc>
          <w:tcPr>
            <w:tcW w:w="220" w:type="dxa"/>
            <w:vAlign w:val="bottom"/>
          </w:tcPr>
          <w:p>
            <w:pPr>
              <w:spacing w:after="0"/>
              <w:rPr>
                <w:sz w:val="16"/>
                <w:szCs w:val="16"/>
                <w:color w:val="auto"/>
              </w:rPr>
            </w:pPr>
          </w:p>
        </w:tc>
        <w:tc>
          <w:tcPr>
            <w:tcW w:w="3220" w:type="dxa"/>
            <w:vAlign w:val="bottom"/>
            <w:gridSpan w:val="2"/>
          </w:tcPr>
          <w:p>
            <w:pPr>
              <w:ind w:left="80"/>
              <w:spacing w:after="0" w:line="189" w:lineRule="exact"/>
              <w:rPr>
                <w:sz w:val="20"/>
                <w:szCs w:val="20"/>
                <w:color w:val="auto"/>
              </w:rPr>
            </w:pPr>
            <w:r>
              <w:rPr>
                <w:rFonts w:ascii="Arial" w:cs="Arial" w:eastAsia="Arial" w:hAnsi="Arial"/>
                <w:sz w:val="18"/>
                <w:szCs w:val="18"/>
                <w:color w:val="auto"/>
                <w:w w:val="92"/>
              </w:rPr>
              <w:t>and value ascribed to associated warrants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0"/>
        </w:trPr>
        <w:tc>
          <w:tcPr>
            <w:tcW w:w="3440" w:type="dxa"/>
            <w:vAlign w:val="bottom"/>
            <w:gridSpan w:val="3"/>
          </w:tcPr>
          <w:p>
            <w:pPr>
              <w:ind w:left="160"/>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Note 11</w:t>
            </w:r>
            <w:r>
              <w:rPr>
                <w:rFonts w:ascii="Arial" w:cs="Arial" w:eastAsia="Arial" w:hAnsi="Arial"/>
                <w:sz w:val="18"/>
                <w:szCs w:val="18"/>
                <w:color w:val="auto"/>
              </w:rPr>
              <w:t>)</w:t>
            </w:r>
          </w:p>
        </w:tc>
        <w:tc>
          <w:tcPr>
            <w:tcW w:w="960" w:type="dxa"/>
            <w:vAlign w:val="bottom"/>
          </w:tcPr>
          <w:p>
            <w:pPr>
              <w:jc w:val="right"/>
              <w:spacing w:after="0" w:line="190" w:lineRule="exact"/>
              <w:rPr>
                <w:sz w:val="20"/>
                <w:szCs w:val="20"/>
                <w:color w:val="auto"/>
              </w:rPr>
            </w:pPr>
            <w:r>
              <w:rPr>
                <w:rFonts w:ascii="Arial" w:cs="Arial" w:eastAsia="Arial" w:hAnsi="Arial"/>
                <w:sz w:val="18"/>
                <w:szCs w:val="18"/>
                <w:color w:val="auto"/>
              </w:rPr>
              <w:t>9,090,909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4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6"/>
              </w:rPr>
              <w:t>Issuance of common stock “at-the market”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8"/>
        </w:trPr>
        <w:tc>
          <w:tcPr>
            <w:tcW w:w="220" w:type="dxa"/>
            <w:vAlign w:val="bottom"/>
          </w:tcPr>
          <w:p>
            <w:pPr>
              <w:spacing w:after="0"/>
              <w:rPr>
                <w:sz w:val="16"/>
                <w:szCs w:val="16"/>
                <w:color w:val="auto"/>
              </w:rPr>
            </w:pPr>
          </w:p>
        </w:tc>
        <w:tc>
          <w:tcPr>
            <w:tcW w:w="32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offering, net of commissions and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9"/>
        </w:trPr>
        <w:tc>
          <w:tcPr>
            <w:tcW w:w="220" w:type="dxa"/>
            <w:vAlign w:val="bottom"/>
          </w:tcPr>
          <w:p>
            <w:pPr>
              <w:spacing w:after="0"/>
              <w:rPr>
                <w:sz w:val="19"/>
                <w:szCs w:val="19"/>
                <w:color w:val="auto"/>
              </w:rPr>
            </w:pPr>
          </w:p>
        </w:tc>
        <w:tc>
          <w:tcPr>
            <w:tcW w:w="3220" w:type="dxa"/>
            <w:vAlign w:val="bottom"/>
            <w:gridSpan w:val="2"/>
          </w:tcPr>
          <w:p>
            <w:pPr>
              <w:ind w:left="80"/>
              <w:spacing w:after="0"/>
              <w:rPr>
                <w:sz w:val="20"/>
                <w:szCs w:val="20"/>
                <w:color w:val="auto"/>
              </w:rPr>
            </w:pPr>
            <w:r>
              <w:rPr>
                <w:rFonts w:ascii="Arial" w:cs="Arial" w:eastAsia="Arial" w:hAnsi="Arial"/>
                <w:sz w:val="18"/>
                <w:szCs w:val="18"/>
                <w:color w:val="auto"/>
              </w:rPr>
              <w:t>offering costs of $302</w:t>
            </w:r>
          </w:p>
        </w:tc>
        <w:tc>
          <w:tcPr>
            <w:tcW w:w="960" w:type="dxa"/>
            <w:vAlign w:val="bottom"/>
          </w:tcPr>
          <w:p>
            <w:pPr>
              <w:jc w:val="right"/>
              <w:spacing w:after="0"/>
              <w:rPr>
                <w:sz w:val="20"/>
                <w:szCs w:val="20"/>
                <w:color w:val="auto"/>
              </w:rPr>
            </w:pPr>
            <w:r>
              <w:rPr>
                <w:rFonts w:ascii="Arial" w:cs="Arial" w:eastAsia="Arial" w:hAnsi="Arial"/>
                <w:sz w:val="18"/>
                <w:szCs w:val="18"/>
                <w:color w:val="auto"/>
              </w:rPr>
              <w:t>2,051,894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14,767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Vesting of RSUs</w:t>
            </w:r>
          </w:p>
        </w:tc>
        <w:tc>
          <w:tcPr>
            <w:tcW w:w="960" w:type="dxa"/>
            <w:vAlign w:val="bottom"/>
          </w:tcPr>
          <w:p>
            <w:pPr>
              <w:jc w:val="right"/>
              <w:spacing w:after="0"/>
              <w:rPr>
                <w:sz w:val="20"/>
                <w:szCs w:val="20"/>
                <w:color w:val="auto"/>
              </w:rPr>
            </w:pPr>
            <w:r>
              <w:rPr>
                <w:rFonts w:ascii="Arial" w:cs="Arial" w:eastAsia="Arial" w:hAnsi="Arial"/>
                <w:sz w:val="18"/>
                <w:szCs w:val="18"/>
                <w:color w:val="auto"/>
              </w:rPr>
              <w:t>521,296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Net share settlement for RSUs vesting</w:t>
            </w:r>
          </w:p>
        </w:tc>
        <w:tc>
          <w:tcPr>
            <w:tcW w:w="960" w:type="dxa"/>
            <w:vAlign w:val="bottom"/>
          </w:tcPr>
          <w:p>
            <w:pPr>
              <w:jc w:val="right"/>
              <w:spacing w:after="0"/>
              <w:rPr>
                <w:sz w:val="20"/>
                <w:szCs w:val="20"/>
                <w:color w:val="auto"/>
              </w:rPr>
            </w:pPr>
            <w:r>
              <w:rPr>
                <w:rFonts w:ascii="Arial" w:cs="Arial" w:eastAsia="Arial" w:hAnsi="Arial"/>
                <w:sz w:val="18"/>
                <w:szCs w:val="18"/>
                <w:color w:val="auto"/>
              </w:rPr>
              <w:t>(156,011)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Shares issued pursuant to litigation</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settlement</w:t>
            </w:r>
          </w:p>
        </w:tc>
        <w:tc>
          <w:tcPr>
            <w:tcW w:w="960" w:type="dxa"/>
            <w:vAlign w:val="bottom"/>
          </w:tcPr>
          <w:p>
            <w:pPr>
              <w:jc w:val="right"/>
              <w:spacing w:after="0"/>
              <w:rPr>
                <w:sz w:val="20"/>
                <w:szCs w:val="20"/>
                <w:color w:val="auto"/>
              </w:rPr>
            </w:pPr>
            <w:r>
              <w:rPr>
                <w:rFonts w:ascii="Arial" w:cs="Arial" w:eastAsia="Arial" w:hAnsi="Arial"/>
                <w:sz w:val="18"/>
                <w:szCs w:val="18"/>
                <w:color w:val="auto"/>
              </w:rPr>
              <w:t>2,229,296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4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Gain on extinguishment of debt with</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8"/>
        </w:trPr>
        <w:tc>
          <w:tcPr>
            <w:tcW w:w="344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related parties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0"/>
        </w:trPr>
        <w:tc>
          <w:tcPr>
            <w:tcW w:w="220" w:type="dxa"/>
            <w:vAlign w:val="bottom"/>
          </w:tcPr>
          <w:p>
            <w:pPr>
              <w:spacing w:after="0"/>
              <w:rPr>
                <w:sz w:val="19"/>
                <w:szCs w:val="19"/>
                <w:color w:val="auto"/>
              </w:rPr>
            </w:pPr>
          </w:p>
        </w:tc>
        <w:tc>
          <w:tcPr>
            <w:tcW w:w="3220" w:type="dxa"/>
            <w:vAlign w:val="bottom"/>
            <w:gridSpan w:val="2"/>
          </w:tcPr>
          <w:p>
            <w:pPr>
              <w:ind w:left="80"/>
              <w:spacing w:after="0"/>
              <w:rPr>
                <w:sz w:val="20"/>
                <w:szCs w:val="20"/>
                <w:color w:val="auto"/>
              </w:rPr>
            </w:pPr>
            <w:r>
              <w:rPr>
                <w:rFonts w:ascii="Arial" w:cs="Arial" w:eastAsia="Arial" w:hAnsi="Arial"/>
                <w:sz w:val="18"/>
                <w:szCs w:val="18"/>
                <w:color w:val="auto"/>
              </w:rPr>
              <w:t>under common control</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4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6"/>
              </w:rPr>
              <w:t>Other comprehensive income (loss), net of</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tax</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3"/>
          </w:tcPr>
          <w:p>
            <w:pPr>
              <w:ind w:left="16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gridSpan w:val="3"/>
          </w:tcPr>
          <w:p>
            <w:pPr>
              <w:spacing w:after="0"/>
              <w:rPr>
                <w:sz w:val="20"/>
                <w:szCs w:val="20"/>
                <w:color w:val="auto"/>
              </w:rPr>
            </w:pPr>
            <w:r>
              <w:rPr>
                <w:rFonts w:ascii="Arial" w:cs="Arial" w:eastAsia="Arial" w:hAnsi="Arial"/>
                <w:sz w:val="18"/>
                <w:szCs w:val="18"/>
                <w:color w:val="auto"/>
              </w:rPr>
              <w:t>Balance as of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421,569,115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tabs>
          <w:tab w:leader="none" w:pos="1700" w:val="left"/>
          <w:tab w:leader="none" w:pos="2780" w:val="left"/>
          <w:tab w:leader="none" w:pos="3460" w:val="left"/>
          <w:tab w:leader="none" w:pos="4820" w:val="left"/>
          <w:tab w:leader="none" w:pos="5500" w:val="left"/>
        </w:tabs>
        <w:rPr>
          <w:sz w:val="20"/>
          <w:szCs w:val="20"/>
          <w:color w:val="auto"/>
        </w:rPr>
      </w:pPr>
      <w:r>
        <w:rPr>
          <w:rFonts w:ascii="Arial" w:cs="Arial" w:eastAsia="Arial" w:hAnsi="Arial"/>
          <w:sz w:val="18"/>
          <w:szCs w:val="18"/>
          <w:color w:val="auto"/>
        </w:rPr>
        <w:t>51,946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51,947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51,947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-593090</wp:posOffset>
            </wp:positionV>
            <wp:extent cx="7132320" cy="6083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13,007</w:t>
            </w:r>
          </w:p>
        </w:tc>
      </w:tr>
      <w:tr>
        <w:trPr>
          <w:trHeight w:val="593"/>
        </w:trPr>
        <w:tc>
          <w:tcPr>
            <w:tcW w:w="900" w:type="dxa"/>
            <w:vAlign w:val="bottom"/>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13,129</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40,179</w:t>
            </w:r>
          </w:p>
        </w:tc>
      </w:tr>
      <w:tr>
        <w:trPr>
          <w:trHeight w:val="229"/>
        </w:trPr>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418"/>
        </w:trPr>
        <w:tc>
          <w:tcPr>
            <w:tcW w:w="900" w:type="dxa"/>
            <w:vAlign w:val="bottom"/>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10,656</w:t>
            </w:r>
          </w:p>
        </w:tc>
      </w:tr>
      <w:tr>
        <w:trPr>
          <w:trHeight w:val="594"/>
        </w:trPr>
        <w:tc>
          <w:tcPr>
            <w:tcW w:w="900" w:type="dxa"/>
            <w:vAlign w:val="bottom"/>
          </w:tcPr>
          <w:p>
            <w:pPr>
              <w:jc w:val="right"/>
              <w:spacing w:after="0"/>
              <w:rPr>
                <w:sz w:val="20"/>
                <w:szCs w:val="20"/>
                <w:color w:val="auto"/>
              </w:rPr>
            </w:pPr>
            <w:r>
              <w:rPr>
                <w:rFonts w:ascii="Arial" w:cs="Arial" w:eastAsia="Arial" w:hAnsi="Arial"/>
                <w:sz w:val="18"/>
                <w:szCs w:val="18"/>
                <w:color w:val="auto"/>
              </w:rPr>
              <w:t>82,858</w:t>
            </w:r>
          </w:p>
        </w:tc>
        <w:tc>
          <w:tcPr>
            <w:tcW w:w="10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82,858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82,858</w:t>
            </w:r>
          </w:p>
        </w:tc>
      </w:tr>
      <w:tr>
        <w:trPr>
          <w:trHeight w:val="418"/>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(416,567)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(416,567)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(417,320)</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1,930,936</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(2,378,488)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(447,327)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(449,820)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-2202180</wp:posOffset>
            </wp:positionV>
            <wp:extent cx="713232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-1679575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-1388110</wp:posOffset>
            </wp:positionV>
            <wp:extent cx="71323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-976630</wp:posOffset>
            </wp:positionV>
            <wp:extent cx="7132320"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-333375</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80"/>
            <w:col w:w="6080"/>
          </w:cols>
          <w:pgMar w:left="320" w:top="449" w:right="339" w:bottom="1440"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(417,320)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(349,848)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(224,187)</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Transaction costs allocated to warrant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Non-cash interest items, net (including amounts with related parties)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8,531</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related-party notes discounts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Non-cash lease expense related to operating lease right-of-use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5,155</w:t>
            </w:r>
          </w:p>
        </w:tc>
      </w:tr>
      <w:tr>
        <w:trPr>
          <w:trHeight w:val="176"/>
        </w:trPr>
        <w:tc>
          <w:tcPr>
            <w:tcW w:w="6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Amortization of premiums, net of discounts, on marketable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securities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Unrealized losses (gains) on 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(2,876)</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non-marketable equity investment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10,660</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fixed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Deferred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(2,938)</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Investment and other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12,495</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30"/>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r>
      <w:tr>
        <w:trPr>
          <w:trHeight w:val="223"/>
        </w:trPr>
        <w:tc>
          <w:tcPr>
            <w:tcW w:w="6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(171,724)</w:t>
            </w: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Purchases of marketable debt securities, available-for-sale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(91,765)</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marketable debt securities, available for sale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65,350</w:t>
            </w: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Proceeds from sales of marketable debt and 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joint venture – an equity method investment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76"/>
        </w:trPr>
        <w:tc>
          <w:tcPr>
            <w:tcW w:w="6520" w:type="dxa"/>
            <w:vAlign w:val="bottom"/>
          </w:tcPr>
          <w:p>
            <w:pPr>
              <w:ind w:left="180"/>
              <w:spacing w:after="0" w:line="176" w:lineRule="exact"/>
              <w:rPr>
                <w:sz w:val="20"/>
                <w:szCs w:val="20"/>
                <w:color w:val="auto"/>
              </w:rPr>
            </w:pPr>
            <w:r>
              <w:rPr>
                <w:rFonts w:ascii="Arial" w:cs="Arial" w:eastAsia="Arial" w:hAnsi="Arial"/>
                <w:sz w:val="18"/>
                <w:szCs w:val="18"/>
                <w:color w:val="auto"/>
              </w:rPr>
              <w:t>Proceeds from issuance of related-party promissory notes,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of issuance costs paid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174,125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338,500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63,700</w:t>
            </w:r>
          </w:p>
        </w:tc>
      </w:tr>
      <w:tr>
        <w:trPr>
          <w:trHeight w:val="176"/>
        </w:trPr>
        <w:tc>
          <w:tcPr>
            <w:tcW w:w="6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Proceeds from equity offerings,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discounts and issuance costs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86,302</w:t>
            </w: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Proceeds from exercises of stock options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assets to an entity under common control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Net share settlement for RSUs vesting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finance leases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 for contingent consideration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505,443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150,675</w:t>
            </w:r>
          </w:p>
        </w:tc>
      </w:tr>
      <w:tr>
        <w:trPr>
          <w:trHeight w:val="155"/>
        </w:trPr>
        <w:tc>
          <w:tcPr>
            <w:tcW w:w="6520" w:type="dxa"/>
            <w:vAlign w:val="bottom"/>
          </w:tcPr>
          <w:p>
            <w:pPr>
              <w:ind w:left="180"/>
              <w:spacing w:after="0" w:line="156" w:lineRule="exact"/>
              <w:rPr>
                <w:sz w:val="20"/>
                <w:szCs w:val="20"/>
                <w:color w:val="auto"/>
              </w:rPr>
            </w:pPr>
            <w:r>
              <w:rPr>
                <w:rFonts w:ascii="Arial" w:cs="Arial" w:eastAsia="Arial" w:hAnsi="Arial"/>
                <w:sz w:val="18"/>
                <w:szCs w:val="18"/>
                <w:color w:val="auto"/>
              </w:rPr>
              <w:t>Effect of exchange rate changes on cash, cash equivalents, and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652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(40,886)</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11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62"/>
        </w:trPr>
        <w:tc>
          <w:tcPr>
            <w:tcW w:w="652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65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end of year:</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104,641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181,101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34,915</w:t>
            </w:r>
          </w:p>
        </w:tc>
      </w:tr>
      <w:tr>
        <w:trPr>
          <w:trHeight w:val="189"/>
        </w:trPr>
        <w:tc>
          <w:tcPr>
            <w:tcW w:w="65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0000FF"/>
              </w:rPr>
              <w:t>(Note 2</w:t>
            </w: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w:t>
            </w: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6520" w:type="dxa"/>
            <w:vAlign w:val="bottom"/>
            <w:gridSpan w:val="3"/>
          </w:tcPr>
          <w:p>
            <w:pPr>
              <w:ind w:left="180"/>
              <w:spacing w:after="0"/>
              <w:rPr>
                <w:sz w:val="20"/>
                <w:szCs w:val="20"/>
                <w:color w:val="auto"/>
              </w:rPr>
            </w:pPr>
            <w:r>
              <w:rPr>
                <w:rFonts w:ascii="Arial" w:cs="Arial" w:eastAsia="Arial" w:hAnsi="Arial"/>
                <w:sz w:val="18"/>
                <w:szCs w:val="18"/>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181,280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35,094</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520" w:type="dxa"/>
            <w:vAlign w:val="bottom"/>
            <w:gridSpan w:val="3"/>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35,442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6"/>
        </w:trPr>
        <w:tc>
          <w:tcPr>
            <w:tcW w:w="652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Gain on extinguishment of debt with related parties under</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520" w:type="dxa"/>
            <w:vAlign w:val="bottom"/>
            <w:gridSpan w:val="3"/>
          </w:tcPr>
          <w:p>
            <w:pPr>
              <w:ind w:left="320"/>
              <w:spacing w:after="0"/>
              <w:rPr>
                <w:sz w:val="20"/>
                <w:szCs w:val="20"/>
                <w:color w:val="auto"/>
              </w:rPr>
            </w:pPr>
            <w:r>
              <w:rPr>
                <w:rFonts w:ascii="Arial" w:cs="Arial" w:eastAsia="Arial" w:hAnsi="Arial"/>
                <w:sz w:val="18"/>
                <w:szCs w:val="18"/>
                <w:color w:val="auto"/>
              </w:rPr>
              <w:t>common control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82,858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52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Conversion of related-party convertible note and accrued interest,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net of unamortized discount, into equity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52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Initial measurement of warrants issued in connection with the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520" w:type="dxa"/>
            <w:vAlign w:val="bottom"/>
            <w:gridSpan w:val="3"/>
          </w:tcPr>
          <w:p>
            <w:pPr>
              <w:ind w:left="320"/>
              <w:spacing w:after="0"/>
              <w:rPr>
                <w:sz w:val="20"/>
                <w:szCs w:val="20"/>
                <w:color w:val="auto"/>
              </w:rPr>
            </w:pPr>
            <w:r>
              <w:rPr>
                <w:rFonts w:ascii="Arial" w:cs="Arial" w:eastAsia="Arial" w:hAnsi="Arial"/>
                <w:sz w:val="18"/>
                <w:szCs w:val="18"/>
                <w:color w:val="auto"/>
              </w:rPr>
              <w:t>registered direct offering accounted for as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52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Right-of-use assets obtained in exchange for operating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175"/>
        </w:trPr>
        <w:tc>
          <w:tcPr>
            <w:tcW w:w="652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Property and equipment purchases included in accounts payable,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520" w:type="dxa"/>
            <w:vAlign w:val="bottom"/>
            <w:gridSpan w:val="3"/>
          </w:tcPr>
          <w:p>
            <w:pPr>
              <w:ind w:left="320"/>
              <w:spacing w:after="0"/>
              <w:rPr>
                <w:sz w:val="20"/>
                <w:szCs w:val="20"/>
                <w:color w:val="auto"/>
              </w:rPr>
            </w:pPr>
            <w:r>
              <w:rPr>
                <w:rFonts w:ascii="Arial" w:cs="Arial" w:eastAsia="Arial" w:hAnsi="Arial"/>
                <w:sz w:val="18"/>
                <w:szCs w:val="18"/>
                <w:color w:val="auto"/>
              </w:rPr>
              <w:t>accrued expenses and due to related parties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6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 issued pursuant to litigation settlement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52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Right-of-use assets obtained in exchange for finance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520" w:type="dxa"/>
            <w:vAlign w:val="bottom"/>
            <w:gridSpan w:val="3"/>
          </w:tcPr>
          <w:p>
            <w:pPr>
              <w:ind w:left="32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Unrealized losses on marketable debt securities,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520" w:type="dxa"/>
            <w:vAlign w:val="bottom"/>
            <w:gridSpan w:val="3"/>
          </w:tcPr>
          <w:p>
            <w:pPr>
              <w:ind w:left="180"/>
              <w:spacing w:after="0"/>
              <w:rPr>
                <w:sz w:val="20"/>
                <w:szCs w:val="20"/>
                <w:color w:val="auto"/>
              </w:rPr>
            </w:pPr>
            <w:r>
              <w:rPr>
                <w:rFonts w:ascii="Arial" w:cs="Arial" w:eastAsia="Arial" w:hAnsi="Arial"/>
                <w:sz w:val="18"/>
                <w:szCs w:val="18"/>
                <w:color w:val="auto"/>
              </w:rPr>
              <w:t>Cashless exercise of stock options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6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investment in joint venture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ImmunityBio,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these notes to the consolidated financial statements, the terms “ImmunityBio,” “the company,” “the combined company,” “we,” “us,” and “our” refer to ImmunityBio and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ImmunityBio, Inc. is a clinical-stage biotechnology company developing next-generation therapies and vaccines that complement, harness, and amplify the immune system to defeat cancers and infectious diseases. We strive to be a vertically-integrated immunotherapy company designing and manufacturing our products so they are more effective, accessible, more conveniently stored, and more easily administered to patients.</w:t>
      </w:r>
    </w:p>
    <w:p>
      <w:pPr>
        <w:spacing w:after="0" w:line="14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broad immunotherapy and cell therapy platforms are designed to attack cancer and infectious pathogens by activating both the innate immune system—natural killer (NK) cells, dendritic cells, and macrophages—and the adaptive immune system—B cells and T cells—in an orchestrated manner. The goal of this potentially best-in-class approach is to generate immunogenic cell death thereby eliminating rogue cells from the body whether they are cancerous or virally infected and to ultimately establish an “immunological memory” that confers long-term benefit for the patient.</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Although such designations may not lead to a faster development process or regulatory review and may not increase the likelihood that a product candidate will receive approval, Anktiva</w:t>
      </w:r>
      <w:r>
        <w:rPr>
          <w:rFonts w:ascii="Arial" w:cs="Arial" w:eastAsia="Arial" w:hAnsi="Arial"/>
          <w:sz w:val="22"/>
          <w:szCs w:val="22"/>
          <w:color w:val="auto"/>
          <w:vertAlign w:val="superscript"/>
        </w:rPr>
        <w:t>™</w:t>
      </w:r>
      <w:r>
        <w:rPr>
          <w:rFonts w:ascii="Arial" w:cs="Arial" w:eastAsia="Arial" w:hAnsi="Arial"/>
          <w:sz w:val="17"/>
          <w:szCs w:val="17"/>
          <w:color w:val="auto"/>
        </w:rPr>
        <w:t xml:space="preserve">(N-803), our novel antibody cytokine fusion protein, has received </w:t>
      </w:r>
      <w:r>
        <w:rPr>
          <w:rFonts w:ascii="Arial" w:cs="Arial" w:eastAsia="Arial" w:hAnsi="Arial"/>
          <w:sz w:val="17"/>
          <w:szCs w:val="17"/>
          <w:i w:val="1"/>
          <w:iCs w:val="1"/>
          <w:color w:val="auto"/>
        </w:rPr>
        <w:t>Breakthrough Therapy</w:t>
      </w:r>
      <w:r>
        <w:rPr>
          <w:rFonts w:ascii="Arial" w:cs="Arial" w:eastAsia="Arial" w:hAnsi="Arial"/>
          <w:sz w:val="17"/>
          <w:szCs w:val="17"/>
          <w:color w:val="auto"/>
        </w:rPr>
        <w:t xml:space="preserve"> and </w:t>
      </w:r>
      <w:r>
        <w:rPr>
          <w:rFonts w:ascii="Arial" w:cs="Arial" w:eastAsia="Arial" w:hAnsi="Arial"/>
          <w:sz w:val="17"/>
          <w:szCs w:val="17"/>
          <w:i w:val="1"/>
          <w:iCs w:val="1"/>
          <w:color w:val="auto"/>
        </w:rPr>
        <w:t>Fast Track</w:t>
      </w:r>
      <w:r>
        <w:rPr>
          <w:rFonts w:ascii="Arial" w:cs="Arial" w:eastAsia="Arial" w:hAnsi="Arial"/>
          <w:sz w:val="17"/>
          <w:szCs w:val="17"/>
          <w:color w:val="auto"/>
        </w:rPr>
        <w:t xml:space="preserve"> designations in combination with BCG from the U.S. Food and Drug Administration (FDA) for bacillus Calmette-Guérin (BCG)-unresponsive non-muscle invasive bladder cancer (NMIBC) with carcinoma in situ (CIS). I</w:t>
      </w:r>
      <w:r>
        <w:rPr>
          <w:rFonts w:ascii="Arial" w:cs="Arial" w:eastAsia="Arial" w:hAnsi="Arial"/>
          <w:sz w:val="17"/>
          <w:szCs w:val="17"/>
          <w:color w:val="231F20"/>
        </w:rPr>
        <w:t>n</w:t>
      </w:r>
      <w:r>
        <w:rPr>
          <w:rFonts w:ascii="Arial" w:cs="Arial" w:eastAsia="Arial" w:hAnsi="Arial"/>
          <w:sz w:val="17"/>
          <w:szCs w:val="17"/>
          <w:color w:val="auto"/>
        </w:rPr>
        <w:t xml:space="preserve"> May 2022, we announced the submission of a Biologics License Application (BLA) to the FDA for our product candidate, Anktiva in combination with BCG for the treatment of patients with BCG-unresponsive NMIBC with CIS with or without Ta or T1 disease. In July 2022, we announced that the FDA had accepted our BLA for review and set a target Prescription Drug User Fee Act (PDUFA) action date of May 23, 2023. It is unclear when the FDA will approve our BLA, if at all.</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platforms, which include 9 first-in-human therapeutic agents, are being studied in 26 actively recruiting clinical trials—17 of which are in Phase 2 or 3 development—across 12 indications in liquid and solid tumors, including bladder, pancreatic and lung cancers. These are among the most frequent and lethal cancer types for which there are high failure rates for existing standards of care or, in some cases, no available effective treatment. In infectious diseases, our pipeline currently targets such pathogens as the novel strain of the coronavirus (SARS-CoV-2) and human immunodeficiency virus (HIV).</w:t>
      </w:r>
    </w:p>
    <w:p>
      <w:pPr>
        <w:spacing w:after="0" w:line="188"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We have established Good Manufacturing Process (GMP) manufacturing capacity at scale with cutting-edge cell manufacturing expertise and ready-to-scale facilities, as well as extensive and seasoned research and development (R&amp;D), clinical trial, and regulatory operations, and development teams.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December 21, 2020, NantKwest, Inc. (NantKwest) and NantCell, Inc. (formerly known as ImmunityBio, Inc., a private company) (NantCell) entered into an Agreement and Plan of Merger (the Merger Agreement), pursuant to which NantKwest and NantCell agreed to combine their businesses. The Merger Agreement provided that a wholly-owned subsidiary of the company would merge with and into NantCell (the Merger), with NantCell surviving the Merger as a wholly-owned subsidiary of the company.</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On March 9, 2021, we completed the Merger pursuant to the terms of the Merger Agreement. Under the terms of the Merger Agreement, at the effective time of the Merger (the Effective Time), each share of NantCell common stock, par value $0.001 per share, issued and outstanding immediately prior to the Effective Time, subject to certain exceptions as set forth in the Merger Agreement, was converted automatically into a right to receive 0.8190 (the Exchange Ratio) newly issued shares of common stock, par value $0.0001 per share, of the company (Company Common Stock), with cash paid in lieu of any fractional shares. At the Effective Time, each share of the company’s common stock issued and outstanding immediately prior to the Effective Time, remained an issued and outstanding share of the combined company. At the Effective Time, each outstanding option, RSU or warrant to purchase NantCell common stock was converted using the Exchange Ratio into an option, RSU or warrant, respectively, on the same terms and conditions immediately prior to the Effective Time, to purchase shares of Company Common Stock.</w:t>
      </w:r>
    </w:p>
    <w:p>
      <w:pPr>
        <w:spacing w:after="0" w:line="17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Immediately following the Effective Time, the former stockholders of NantCell held approximately 71.5% of the outstanding shares of Company Common Stock and the stockholders of NantKwest as of immediately prior to the Merger held approximately 28.5% of the outstanding shares of Company Common Stock. As a result of the Merger and immediately following the Effective Time, Dr. Patrick Soon-Shiong, our Executive Chairman and Global Chief Scientific and Medical Officer, and his affiliates beneficially owned, in the aggregate, approximately 81.8% of the outstanding shares of Company Common Stock. Following the consummation of the Merger, the symbol for shares of the company’s common stock was changed to “IBRX.”</w:t>
      </w:r>
    </w:p>
    <w:p>
      <w:pPr>
        <w:spacing w:after="0" w:line="16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We incurred costs totaling $23.3 million in connection with the Merger, consisting of financial advisory, legal and other professional fees, of which $13.0 million and $10.3 million were recorded for the years ended December 31, 2021 and 2020, respectively. Merger-related costs are reported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on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 of the Merger</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Merger represents a business combination pursuant to Financial Accounting Standards Board (FASB) Accounting Standards Codification (ASC) Topic 805-50, </w:t>
      </w:r>
      <w:r>
        <w:rPr>
          <w:rFonts w:ascii="Arial" w:cs="Arial" w:eastAsia="Arial" w:hAnsi="Arial"/>
          <w:sz w:val="16"/>
          <w:szCs w:val="16"/>
          <w:i w:val="1"/>
          <w:iCs w:val="1"/>
          <w:color w:val="auto"/>
        </w:rPr>
        <w:t>Mergers</w:t>
      </w:r>
      <w:r>
        <w:rPr>
          <w:rFonts w:ascii="Arial" w:cs="Arial" w:eastAsia="Arial" w:hAnsi="Arial"/>
          <w:sz w:val="16"/>
          <w:szCs w:val="16"/>
          <w:color w:val="auto"/>
        </w:rPr>
        <w:t>, which was accounted for as a transaction between entities under common control as Dr. Soon-Shiong and his affiliates were the controlling stockholders of both the company and NantCell for all of the periods presented in this report. As a result, all of the assets and liabilities of NantCell were combined with ours at their historical carrying amounts on the closing date of the Merger. We recast our prior period financial statements for the years ended December 31, 2021 and 2020 to reflect the conveyance of NantCell’s common shares as if the Merger had occurred as of the earliest date of the consolidated financial statements presented. All material intercompany accounts and transactions have been eliminated in consolidation.</w:t>
      </w:r>
    </w:p>
    <w:p>
      <w:pPr>
        <w:spacing w:after="0" w:line="16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following tables provide the impact of the change in reporting entity on our unaudited condensed consolidated statement of operations for the three months ended March 31, 2021 and our consolidated statement of operations for the year ended December 31, 2021 (in thousands):</w:t>
      </w:r>
    </w:p>
    <w:p>
      <w:pPr>
        <w:spacing w:after="0" w:line="192"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30480</wp:posOffset>
            </wp:positionV>
            <wp:extent cx="3497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3"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32385</wp:posOffset>
            </wp:positionV>
            <wp:extent cx="3497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16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ImmunityBio,</w:t>
            </w:r>
          </w:p>
        </w:tc>
        <w:tc>
          <w:tcPr>
            <w:tcW w:w="0" w:type="dxa"/>
            <w:vAlign w:val="bottom"/>
          </w:tcPr>
          <w:p>
            <w:pPr>
              <w:spacing w:after="0"/>
              <w:rPr>
                <w:sz w:val="1"/>
                <w:szCs w:val="1"/>
                <w:color w:val="auto"/>
              </w:rPr>
            </w:pPr>
          </w:p>
        </w:tc>
      </w:tr>
      <w:tr>
        <w:trPr>
          <w:trHeight w:val="200"/>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NantCell</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NantKwest</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7"/>
                <w:szCs w:val="17"/>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Research and development (including amounts</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41,128</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related parties)</w:t>
            </w: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180"/>
              <w:spacing w:after="0" w:line="176" w:lineRule="exact"/>
              <w:rPr>
                <w:sz w:val="20"/>
                <w:szCs w:val="20"/>
                <w:color w:val="auto"/>
              </w:rPr>
            </w:pPr>
            <w:r>
              <w:rPr>
                <w:rFonts w:ascii="Arial" w:cs="Arial" w:eastAsia="Arial" w:hAnsi="Arial"/>
                <w:sz w:val="18"/>
                <w:szCs w:val="18"/>
                <w:color w:val="auto"/>
              </w:rPr>
              <w:t>Selling, general and administrative (including amounts</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24,382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20,903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45,275</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with related parties)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(86,264)</w:t>
            </w:r>
          </w:p>
        </w:tc>
        <w:tc>
          <w:tcPr>
            <w:tcW w:w="0" w:type="dxa"/>
            <w:vAlign w:val="bottom"/>
          </w:tcPr>
          <w:p>
            <w:pPr>
              <w:spacing w:after="0"/>
              <w:rPr>
                <w:sz w:val="1"/>
                <w:szCs w:val="1"/>
                <w:color w:val="auto"/>
              </w:rPr>
            </w:pPr>
          </w:p>
        </w:tc>
      </w:tr>
      <w:tr>
        <w:trPr>
          <w:trHeight w:val="155"/>
        </w:trPr>
        <w:tc>
          <w:tcPr>
            <w:tcW w:w="5700" w:type="dxa"/>
            <w:vAlign w:val="bottom"/>
          </w:tcPr>
          <w:p>
            <w:pPr>
              <w:ind w:left="20"/>
              <w:spacing w:after="0" w:line="156" w:lineRule="exact"/>
              <w:rPr>
                <w:sz w:val="20"/>
                <w:szCs w:val="20"/>
                <w:color w:val="auto"/>
              </w:rPr>
            </w:pPr>
            <w:r>
              <w:rPr>
                <w:rFonts w:ascii="Arial" w:cs="Arial" w:eastAsia="Arial" w:hAnsi="Arial"/>
                <w:sz w:val="18"/>
                <w:szCs w:val="18"/>
                <w:color w:val="auto"/>
              </w:rPr>
              <w:t>Other (expense) income, net (including amounts</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with related parties)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(80,481)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Year ended December 31, 2020</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16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ImmunityBio,</w:t>
            </w:r>
          </w:p>
        </w:tc>
        <w:tc>
          <w:tcPr>
            <w:tcW w:w="0" w:type="dxa"/>
            <w:vAlign w:val="bottom"/>
          </w:tcPr>
          <w:p>
            <w:pPr>
              <w:spacing w:after="0"/>
              <w:rPr>
                <w:sz w:val="1"/>
                <w:szCs w:val="1"/>
                <w:color w:val="auto"/>
              </w:rPr>
            </w:pPr>
          </w:p>
        </w:tc>
      </w:tr>
      <w:tr>
        <w:trPr>
          <w:trHeight w:val="200"/>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NantCell</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NantKwest</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7"/>
                <w:szCs w:val="17"/>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Research and development (including amounts</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139,507</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 related parties)</w:t>
            </w: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700" w:type="dxa"/>
            <w:vAlign w:val="bottom"/>
          </w:tcPr>
          <w:p>
            <w:pPr>
              <w:ind w:left="180"/>
              <w:spacing w:after="0" w:line="176" w:lineRule="exact"/>
              <w:rPr>
                <w:sz w:val="20"/>
                <w:szCs w:val="20"/>
                <w:color w:val="auto"/>
              </w:rPr>
            </w:pPr>
            <w:r>
              <w:rPr>
                <w:rFonts w:ascii="Arial" w:cs="Arial" w:eastAsia="Arial" w:hAnsi="Arial"/>
                <w:sz w:val="18"/>
                <w:szCs w:val="18"/>
                <w:color w:val="auto"/>
              </w:rPr>
              <w:t>Selling, general and administrative (including amounts</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44,099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71,318</w:t>
            </w:r>
          </w:p>
        </w:tc>
        <w:tc>
          <w:tcPr>
            <w:tcW w:w="0" w:type="dxa"/>
            <w:vAlign w:val="bottom"/>
          </w:tcPr>
          <w:p>
            <w:pPr>
              <w:spacing w:after="0"/>
              <w:rPr>
                <w:sz w:val="1"/>
                <w:szCs w:val="1"/>
                <w:color w:val="auto"/>
              </w:rPr>
            </w:pPr>
          </w:p>
        </w:tc>
      </w:tr>
      <w:tr>
        <w:trPr>
          <w:trHeight w:val="237"/>
        </w:trPr>
        <w:tc>
          <w:tcPr>
            <w:tcW w:w="5700" w:type="dxa"/>
            <w:vAlign w:val="bottom"/>
          </w:tcPr>
          <w:p>
            <w:pPr>
              <w:ind w:left="320"/>
              <w:spacing w:after="0"/>
              <w:rPr>
                <w:sz w:val="20"/>
                <w:szCs w:val="20"/>
                <w:color w:val="auto"/>
              </w:rPr>
            </w:pPr>
            <w:r>
              <w:rPr>
                <w:rFonts w:ascii="Arial" w:cs="Arial" w:eastAsia="Arial" w:hAnsi="Arial"/>
                <w:sz w:val="18"/>
                <w:szCs w:val="18"/>
                <w:color w:val="auto"/>
              </w:rPr>
              <w:t>with related parties)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(128,827)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(91,626)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(220,880)</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Other (expense) income, net (including amounts</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related parties)</w:t>
            </w: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6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(224,187)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of America (U.S. GAAP) and pursuant to the rules and regulations of the SEC. The consolidated financial statements reflect all adjustments which are, in the opinion of management, necessary for a fair presentation of our financial position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subsidiaries in which the company has a controlling financial interest. The consolidated financial statements also include certain variable interest entities in which we are the primary beneficiary (as described in more detail below). For consolidated entities where we have less than 100% of ownership, we record net loss attributable to noncontrolling interest on the consolidated statement of operations equal to the percentage of the ownership interest retained in such entities by the respective noncontrolling parties. Any material intercompany transactions and balances have been eliminated upon consolidation.</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assess whether we are the primary beneficiary of a VIE at the inception of the arrangement and at each reporting date. This assessment is based on our power to direct the activities of the VIE that most significantly impact the VIE’s economic performance and our obligation to absorb losses or the right to receive benefits from the VIE that could potentially be significant to the VIE.</w:t>
      </w:r>
    </w:p>
    <w:p>
      <w:pPr>
        <w:spacing w:after="0" w:line="18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If the entity is within the scope of the variable interest model and meets the definition of a variable interest entity (VIE), we consider whether we must consolidate the VIE or provide additional disclosures regarding our involvement with the VIE. If we determine that we are the primary beneficiary of the VIE, we will consolidate the VIE. This analysis is performed at the initial investment in the entity or upon any reconsideration event.</w:t>
      </w:r>
    </w:p>
    <w:p>
      <w:pPr>
        <w:spacing w:after="0" w:line="16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For entities we hold as an equity investment that are not consolidated under the VIE model, we consider whether our investment constitutes a controlling financial interest in the entity and therefore should be considered for consolidation under the voting interest model.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2022, the company had an accumulated deficit of $2.4 billion. We also had negative cash flows from operations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$337.5 million for the year ended December 31, 2022. The company will likely need additional capital to further fund the development of, and to seek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approvals for, our product candidates, and to begin to commercialize any approved products.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financial statements have been prepared assuming the company will continue as a going concern, which contemplates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realization of assets and the satisfaction of liabilities in the normal course of business, and do not include any adjustments to reflect the possible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effects on the recoverability and classification of assets or amounts and classification of liabilities that may result from the outcome of the uncertainty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continue as a going concern. As a result of continuing anticipated operating cash outflows, we believe that substantial doubt exists regarding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continue as a going concern without additional funding or financial support. However, we believe our existing cash, cash equivalents,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marketable securities, together with capital to be raised through equity offerings (including but not limited to the offering, issuance and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us of our common stock that may be issued and sold under an “at-the-market” sales agreement with Jefferies LLC (the ATM), of which we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$225.4 million available for future issuance as of December 31, 2022), and our potential ability to borrow from affiliated entities, will be sufficient to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through at least the next 12 months following the issuance date of the consolidated financial statements based primarily upon our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Chairman and Global Chief Scientific and Medical Officer’s intent and ability to support our operations with additional funds, including loans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affiliated entities, as required, which we believe alleviates such doubt. We may also seek to sell additional equity, through one or more follow-on offerings,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in separate financings, or obtain a credit facility. However, we may not be able to secure such external financing in a timely manner or on favorable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terms. Without additional funds, we may choose to delay or reduce our operating or investment expenditures. Further, because of the risk and uncertainties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potential commercialization of our product candidates in development, we may need additional funds to meet our needs sooner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planned.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equity-based awards, deferred income taxes and related valuation allowances, preclinical and clinical trial accruals, impairment assessments, contingent value right measurement and assessments, the measurement of right-of-use assets and lease liabilities, useful lives of long-lived assets, loss contingencies, fair value calculation of warrants, fair value measurements, and the assessment of our ability to fund our operations for at least the next 12 months from the date of issuance of these consolidated financial statements. We base our estimates on historical experience and on various other market-specific and relevant assumptions that we believe to be reasonable under the circumstances. Estimates are assessed each period and updated to reflect current information, such as the economic considerations related to the impact that the ongoing coronavirus pandemic could have on our significant accounting estimates. Actual results could differ from those estimates.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account for business combinations using the acquisition method of accounting, which requires that assets acquired and liabilities assumed generally be recorded at their fair values as of the acquisition date. Excess of consideration over the fair value of net assets acquired is recorded as goodwill. Estimating fair value requires us to make significant judgments and assumptions. We perform impairment testing of goodwill annually or more frequently if events or changes in circumstances indicate that it is more likely than not that the asset is impaired.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In an asset acquisition, upfront payments allocated to in-process research and development projects at the acquisition date are expensed unless there is an alternative future use. In addition, product development milestones are expensed upon achievement. Any contingent consideration, such as payments upon achievement of various developmental, regulatory and commercial milestones, generally is not recognized at the acquisition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record accruals for loss contingencies to the extent that we conclude it is probable that a liability has been incurred and the amount of the related loss can be reasonably estimated. We accrue for the best estimate of a loss within a range; however, if no estimate in the range is better than any other, then we accrue the minimum amount in the range. If we determine that a material loss is reasonably possible, we disclose the possible loss or range of loss, or that the amount of loss cannot be estimated at this time. We evaluate, on a quarterly basis, developments in legal proceedings and other matters that could cause a change in the potential amount of the liability recorded or the range of potential losses disclosed. Moreover, we record gain contingencies only when they are realizable and the amount is known. Additionally, we record our rights to insurance recoveries, limited to the extent of incurred or probable losses, as a receivable when such recoveries have been agreed to with our third-party insurers and when receipt is deemed probable. This includes instances when our third-party insurers have agreed to pay, on our behalf, certain legal defense costs and settlement amounts directly to applicable law firms and a settlement fund.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Financial instruments that potentially subject us to concentrations of risk consist principally of cash and cash equivalents, marketable securities, and a convertible note receivable.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attempt to minimize credit risk associated with our cash and cash equivalents by periodically evaluating the credit quality of our primary financial institutions. Our investment portfolio is maintained in accordance with our investment policy. While we maintain cash deposits in FDIC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w:t>
      </w:r>
    </w:p>
    <w:p>
      <w:pPr>
        <w:spacing w:after="0" w:line="171"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We also monitor the creditworthiness of the borrower of the convertible promissory note. We believe that any concentration of credit risk in its convertible note receivable was mitigated in part by our ability to convert, if necessary, at the qualifying financing event or upon a payment default into shares of the senior class of equity securities of the borrower.</w:t>
      </w:r>
    </w:p>
    <w:p>
      <w:pPr>
        <w:spacing w:after="0" w:line="18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Product candidates developed by us will require approvals or clearances from the FDA or international regulatory agencies prior to commercial sales. There can be no assurance that any of our product candidates will receive any of the required approvals or clearances. If we were to be denied approval or clearance or any such approval or clearance was to be delayed, it would have a material adverse impact on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include highly liquid investments with an original maturity of three months or less from the date of purchase.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Restricted cash includes a certificate of deposit held as a substitute letter of credit for one of our leased properties. This certificate of deposit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consolidated balance sheet as the landlord is the beneficiary of the account and we are not able to access the funds during the term of the lease.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of cash, cash equivalents, and restricted cash is included on the consolidated statements of cash flows as of December 31, 2022, 2021 and 2020.</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Debt Securities</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We invest our excess funds in investment grade short- to intermediate-term corporate debt securities, government-sponsored securities, and foreign government bonds and classify these investments as available-for-sale. Marketable debt securities with remaining maturities of 12 months or less are classified as short-term and marketable securities with remaining maturities greater than 12 months are classified as long-term. All marketable debt securities are reported at fair value and any unrealized gains and losses are reported as a component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on the consolidated statement of stockholders’ deficit, with the exception of unrealized losses believed to be other-than-temporary, which are recorded 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and investment income, net</w:t>
      </w:r>
      <w:r>
        <w:rPr>
          <w:rFonts w:ascii="Arial" w:cs="Arial" w:eastAsia="Arial" w:hAnsi="Arial"/>
          <w:sz w:val="16"/>
          <w:szCs w:val="16"/>
          <w:color w:val="auto"/>
        </w:rPr>
        <w:t>, on the consolidated statement of operations. Realized gains and losses from sales of securities and the amounts, net of tax,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reclassified out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if any, are determined on a specific identification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Equity Securities</w:t>
      </w:r>
    </w:p>
    <w:p>
      <w:pPr>
        <w:spacing w:after="0" w:line="11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Investments in mutual funds and equity securities, other than equity method investments, are recorded at fair market value, if fair value is readily determinable and any unrealized gains and losses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on the consolidated statement of operations. Realized gains and losses from the sale of the securities are determined on a specific identification basis and the amounts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on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Evaluating Investments for Other-than-Temporary Impairments</w:t>
      </w:r>
    </w:p>
    <w:p>
      <w:pPr>
        <w:spacing w:after="0" w:line="11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periodically evaluate whether declines in fair values of our investments below their book value are other-than-temporary. This evaluation consists of several qualitative and quantitative factors regarding the severity and duration of the unrealized loss, as well as our ability and intent to hold the investment until a forecasted recovery occurs. Additionally, we assess whether we have plans to sell the security or whether it is more likely than not we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our investments, duration and severity of the decline in value, and our strategy and intentions for holding the investment. There were no other-than-temporary impairments recorded during the years ended December 31, 2022,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our share of the income or loss of the other company as g</w:t>
      </w:r>
      <w:r>
        <w:rPr>
          <w:rFonts w:ascii="Arial" w:cs="Arial" w:eastAsia="Arial" w:hAnsi="Arial"/>
          <w:sz w:val="16"/>
          <w:szCs w:val="16"/>
          <w:i w:val="1"/>
          <w:iCs w:val="1"/>
          <w:color w:val="auto"/>
        </w:rPr>
        <w:t>ain (loss) on equity method investment</w:t>
      </w:r>
      <w:r>
        <w:rPr>
          <w:rFonts w:ascii="Arial" w:cs="Arial" w:eastAsia="Arial" w:hAnsi="Arial"/>
          <w:sz w:val="16"/>
          <w:szCs w:val="16"/>
          <w:color w:val="auto"/>
        </w:rPr>
        <w:t>, in our consolidated statement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Property, plant and equipment are stated at historical cost less accumulated depreciation. Historical cost includes expenditures that are directly attributable to the acquisition of the items. All repairs and maintenance are charged to net loss during the financial period in which they are incurred. Depreciation of property, plant and equipment is calculated using the straight-line method over the estimated useful lives of the assets,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8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39 years</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Software</w:t>
            </w:r>
          </w:p>
        </w:tc>
        <w:tc>
          <w:tcPr>
            <w:tcW w:w="6880" w:type="dxa"/>
            <w:vAlign w:val="bottom"/>
          </w:tcPr>
          <w:p>
            <w:pPr>
              <w:ind w:left="2520"/>
              <w:spacing w:after="0"/>
              <w:rPr>
                <w:sz w:val="20"/>
                <w:szCs w:val="20"/>
                <w:color w:val="auto"/>
              </w:rPr>
            </w:pPr>
            <w:r>
              <w:rPr>
                <w:rFonts w:ascii="Arial" w:cs="Arial" w:eastAsia="Arial" w:hAnsi="Arial"/>
                <w:sz w:val="18"/>
                <w:szCs w:val="18"/>
                <w:color w:val="auto"/>
              </w:rPr>
              <w:t>3 years</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68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5 to 7 years</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Furniture &amp; fixtures</w:t>
            </w:r>
          </w:p>
        </w:tc>
        <w:tc>
          <w:tcPr>
            <w:tcW w:w="6880" w:type="dxa"/>
            <w:vAlign w:val="bottom"/>
          </w:tcPr>
          <w:p>
            <w:pPr>
              <w:ind w:left="2520"/>
              <w:spacing w:after="0"/>
              <w:rPr>
                <w:sz w:val="20"/>
                <w:szCs w:val="20"/>
                <w:color w:val="auto"/>
              </w:rPr>
            </w:pPr>
            <w:r>
              <w:rPr>
                <w:rFonts w:ascii="Arial" w:cs="Arial" w:eastAsia="Arial" w:hAnsi="Arial"/>
                <w:sz w:val="18"/>
                <w:szCs w:val="18"/>
                <w:color w:val="auto"/>
              </w:rPr>
              <w:t>5 years</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equipment</w:t>
            </w:r>
          </w:p>
        </w:tc>
        <w:tc>
          <w:tcPr>
            <w:tcW w:w="68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3 years</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880" w:type="dxa"/>
            <w:vAlign w:val="bottom"/>
          </w:tcPr>
          <w:p>
            <w:pPr>
              <w:ind w:left="2520"/>
              <w:spacing w:after="0"/>
              <w:rPr>
                <w:sz w:val="20"/>
                <w:szCs w:val="20"/>
                <w:color w:val="auto"/>
              </w:rPr>
            </w:pPr>
            <w:r>
              <w:rPr>
                <w:rFonts w:ascii="Arial" w:cs="Arial" w:eastAsia="Arial" w:hAnsi="Arial"/>
                <w:sz w:val="18"/>
                <w:szCs w:val="18"/>
                <w:color w:val="auto"/>
              </w:rPr>
              <w:t>The lesser of the lease term or life of the asset</w:t>
            </w:r>
          </w:p>
        </w:tc>
      </w:tr>
    </w:tbl>
    <w:p>
      <w:pPr>
        <w:spacing w:after="0" w:line="29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 xml:space="preserve">Upon disposal of property, plant and equipment, the cost and related accumulated depreciation are removed from the consolidated financial statements and the net amount, less any proceeds, is included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on the consolidated statement of operations.</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review impairment of property, plant and equipment for impairment whenever events or changes in circumstances indicate that the carrying amount of an asset may not be recoverable. Recoverability is measured by a comparison of the carrying amount to the future net cash flows that the assets are expected to generate. If such assets are considered to be impaired, the impairment to be recognized is measured by the amount by which the carrying amount of the assets exceeds the projected undiscounted future cash flows arising from the assets using a discount rate determined by management to be commensurate with the risk inherent to our current business model.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Business combinations are accounted for using the acquisition method of accounting in accordance with ASC Topic 805, B</w:t>
      </w:r>
      <w:r>
        <w:rPr>
          <w:rFonts w:ascii="Arial" w:cs="Arial" w:eastAsia="Arial" w:hAnsi="Arial"/>
          <w:sz w:val="17"/>
          <w:szCs w:val="17"/>
          <w:i w:val="1"/>
          <w:iCs w:val="1"/>
          <w:color w:val="auto"/>
        </w:rPr>
        <w:t>usiness Combinations</w:t>
      </w:r>
      <w:r>
        <w:rPr>
          <w:rFonts w:ascii="Arial" w:cs="Arial" w:eastAsia="Arial" w:hAnsi="Arial"/>
          <w:sz w:val="17"/>
          <w:szCs w:val="17"/>
          <w:color w:val="auto"/>
        </w:rPr>
        <w:t xml:space="preserve"> (ASC 805). These standards require that the total cost of acquisition be allocated to the tangible and intangible assets acquired and liabilities assumed based on their respective fair values at the date of acquisition, with the excess purchase price recorded as goodwill. The allocation of the purchase price is dependent upon certain valuations and other studies. Acquisition costs are expensed as incurred.</w:t>
      </w:r>
    </w:p>
    <w:p>
      <w:pPr>
        <w:spacing w:after="0" w:line="17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 xml:space="preserve">Contingent consideration incurred in connection with a business combination are recorded at their fair values on the acquisition date and re-measured at their fair values each subsequent reporting period until the related contingencies are resolved. The resulting changes in fair value are recorded as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xml:space="preserve"> on the consolidated statements of operations and comprehensive loss. Changes in fair value reflect changes to our assumptions regarding probabilities of successful achievement of related milestones, the timing in which the milestones are expected to be achieved, and the discount rate used to estimate the fair value of the obligation.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Control Transactions</w:t>
      </w:r>
    </w:p>
    <w:p>
      <w:pPr>
        <w:spacing w:after="0" w:line="11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Transactions between us and entities where Dr. Soon-Shiong and his affiliates are the controlling stockholders are accounted for as common control transactions whereby the net assets acquired or transferred are accounted at their carrying value. Any difference between the carrying value and consideration recognized is treated as a capital transaction. Cash consideration up to the carrying value of the net assets acquired or transferred is presented as an investing activity in our consolidated statement of cash flows. Cash consideration in excess of the carrying value of the net assets acquired or transferred is presented as a financing activity in our consolidated statement of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Intangible assets acquired in a business combination or an asset acquisition are initially recognized at their fair value on the acquisition date. Acquired indefinite-lived assets, such as in-process research and development (IPR&amp;D), are not amortized until they become definite-lived assets, upon the successful completion of the associated research and development effort. At that time, we evaluate whether the recorded amounts are impaired and make any necessary adjustments, and then determine the useful life of the asset and begin amortization. If the associated research and development effort is abandoned, the related IPR&amp;D assets is written-off and an impairment charge recorded.</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Acquired definite-lived intangible assets are amortized using the straight-line method over their respective estimated useful lives. The amortization of these intangible assets is included in </w:t>
      </w:r>
      <w:r>
        <w:rPr>
          <w:rFonts w:ascii="Arial" w:cs="Arial" w:eastAsia="Arial" w:hAnsi="Arial"/>
          <w:sz w:val="16"/>
          <w:szCs w:val="16"/>
          <w:i w:val="1"/>
          <w:iCs w:val="1"/>
          <w:color w:val="auto"/>
        </w:rPr>
        <w:t>amortization expense,</w:t>
      </w:r>
      <w:r>
        <w:rPr>
          <w:rFonts w:ascii="Arial" w:cs="Arial" w:eastAsia="Arial" w:hAnsi="Arial"/>
          <w:sz w:val="16"/>
          <w:szCs w:val="16"/>
          <w:color w:val="auto"/>
        </w:rPr>
        <w:t xml:space="preserve"> on the consolidated statement of operations. Intangible assets are tested for impairment at least annually or more frequently if indicators of potential impairment exist. In connection with a workforce reduction at the Dunkirk Facility, we wrote off the remaining unamortized organized workforce intangible asset totaling $0.7 million during the year ended December 31, 2022 in </w:t>
      </w:r>
      <w:r>
        <w:rPr>
          <w:rFonts w:ascii="Arial" w:cs="Arial" w:eastAsia="Arial" w:hAnsi="Arial"/>
          <w:sz w:val="16"/>
          <w:szCs w:val="16"/>
          <w:i w:val="1"/>
          <w:iCs w:val="1"/>
          <w:color w:val="auto"/>
        </w:rPr>
        <w:t>impairment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on the consolidated statement of operations. See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Note 6</w:t>
      </w:r>
      <w:r>
        <w:rPr>
          <w:rFonts w:ascii="Arial" w:cs="Arial" w:eastAsia="Arial" w:hAnsi="Arial"/>
          <w:sz w:val="16"/>
          <w:szCs w:val="16"/>
          <w:color w:val="auto"/>
        </w:rPr>
        <w:t>,</w:t>
      </w:r>
      <w:r>
        <w:rPr>
          <w:rFonts w:ascii="Arial" w:cs="Arial" w:eastAsia="Arial" w:hAnsi="Arial"/>
          <w:sz w:val="16"/>
          <w:szCs w:val="16"/>
          <w:i w:val="1"/>
          <w:iCs w:val="1"/>
          <w:color w:val="auto"/>
        </w:rPr>
        <w:t xml:space="preserve"> Collaboration and License Agreements and Acquisition, </w:t>
      </w:r>
      <w:r>
        <w:rPr>
          <w:rFonts w:ascii="Arial" w:cs="Arial" w:eastAsia="Arial" w:hAnsi="Arial"/>
          <w:sz w:val="16"/>
          <w:szCs w:val="16"/>
          <w:color w:val="auto"/>
        </w:rPr>
        <w:t>for further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in selling, general and administrative expense on the consolidated statement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tiers are defined as follows:</w:t>
      </w:r>
    </w:p>
    <w:p>
      <w:pPr>
        <w:spacing w:after="0" w:line="171" w:lineRule="exact"/>
        <w:rPr>
          <w:sz w:val="20"/>
          <w:szCs w:val="20"/>
          <w:color w:val="auto"/>
        </w:rPr>
      </w:pPr>
    </w:p>
    <w:p>
      <w:pPr>
        <w:ind w:left="1300" w:right="120" w:hanging="644"/>
        <w:spacing w:after="0" w:line="259" w:lineRule="auto"/>
        <w:tabs>
          <w:tab w:leader="none" w:pos="1295" w:val="left"/>
        </w:tabs>
        <w:numPr>
          <w:ilvl w:val="0"/>
          <w:numId w:val="89"/>
        </w:numPr>
        <w:rPr>
          <w:rFonts w:ascii="Arial" w:cs="Arial" w:eastAsia="Arial" w:hAnsi="Arial"/>
          <w:sz w:val="18"/>
          <w:szCs w:val="18"/>
          <w:b w:val="1"/>
          <w:b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that reflect quoted market prices (unadjusted) for identical assets or liabilities in active markets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Since valuations are based on quoted prices that are readily and regularly available in an active market, the valuation of these products does not entail a significant degree of judgment. Our Level 1 assets consist of bank deposits, money market funds, and marketable equity securities.</w:t>
      </w:r>
    </w:p>
    <w:p>
      <w:pPr>
        <w:spacing w:after="0" w:line="78" w:lineRule="exact"/>
        <w:rPr>
          <w:rFonts w:ascii="Arial" w:cs="Arial" w:eastAsia="Arial" w:hAnsi="Arial"/>
          <w:sz w:val="18"/>
          <w:szCs w:val="18"/>
          <w:b w:val="1"/>
          <w:bCs w:val="1"/>
          <w:color w:val="auto"/>
        </w:rPr>
      </w:pPr>
    </w:p>
    <w:p>
      <w:pPr>
        <w:ind w:left="1300" w:right="120" w:hanging="644"/>
        <w:spacing w:after="0" w:line="263" w:lineRule="auto"/>
        <w:tabs>
          <w:tab w:leader="none" w:pos="1295" w:val="left"/>
        </w:tabs>
        <w:numPr>
          <w:ilvl w:val="0"/>
          <w:numId w:val="89"/>
        </w:numPr>
        <w:rPr>
          <w:rFonts w:ascii="Arial" w:cs="Arial" w:eastAsia="Arial" w:hAnsi="Arial"/>
          <w:sz w:val="18"/>
          <w:szCs w:val="18"/>
          <w:b w:val="1"/>
          <w:b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that are observable either directly or indirectly in the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and liabilities. Our Level 2 assets consist of corporate debt securities including commercial paper, government-sponsored securities and corporate bonds, as well as foreign municipal securities.</w:t>
      </w:r>
    </w:p>
    <w:p>
      <w:pPr>
        <w:spacing w:after="0" w:line="7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89"/>
        </w:numPr>
        <w:rPr>
          <w:rFonts w:ascii="Arial" w:cs="Arial" w:eastAsia="Arial" w:hAnsi="Arial"/>
          <w:sz w:val="18"/>
          <w:szCs w:val="18"/>
          <w:b w:val="1"/>
          <w:b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unobservable and significant to the overall fair value measurement.</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utilize a third-party pricing service to assist in obtaining fair value pricing for our investments in marketable debt securities. Inputs are documented in accordance with the fair value disclosure hierarchy. The fair values of financial instruments other than marketable securities and cash and cash equivalents are determined through a combination of management estimates and third-party valuations.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years ended December 31, 2022, 2021 and 2020, no transfers were made into or out of the Level 1, 2 or 3 categories. We will continue to review the fair value inputs on a quarterly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Arrangements</w:t>
      </w:r>
    </w:p>
    <w:p>
      <w:pPr>
        <w:spacing w:after="0" w:line="11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We analyze our collaboration arrangements to assess whether they are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A collaborative arrangement is a contractual arrangement that involves a joint operating activity. These arrangements involve two or more parties who are active participants in the activity, and are exposed to significant risks and rewards dependent on the commercial success of the activity. This assessment is performed throughout the life of the arrangement based on changes in the responsibilities of all parties in the arrangement. To the extent the collaboration agreement is within the scope of ASC 808, we also assess whether the arrangement contains multiple elements that are within the scope of other accounting literature. If we conclude that some or all aspects of the agreement are distinct and represent a transaction with a customer, we account for those aspects of the arrangement within the scope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Amounts that are owed by collaboration partners within the scope of ASC 808 are recognized as an offset to research and development expense as such amounts are incurred by the collaboration partner. The amounts owed to a collaboration partner are classified as research and development expense.</w:t>
      </w:r>
    </w:p>
    <w:p>
      <w:pPr>
        <w:spacing w:after="0" w:line="166"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Our collaboration arrangements require us to acquire certain equipment for exclusive use in the joint operating activities. These equipment purchases do not have an alternative use and are therefore expensed as incurred within research and development expense.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Our collaboration arrangements are further discussed in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License Agreements and Acquisition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part of the process of preparing the consolidated financial statements, we are required to estimate expenses resulting from obligations under contracts with vendors, clinical research organizations and consultants. The financial terms of these contracts vary and may result in payment flows that do not match the periods over which materials or services are provided under such contracts.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clinical trial and research agreement-related expenses based on the services performed, pursuant to contracts with research institutions and clinical research organizations and other vendors that conduct clinical trials and research on our behalf. In accruing clinical and research-related fees, we estimate the time period over which services will be performed and activity expended in each period. If the actual timing of the performance of services or the level of effort varies from the estimate, we will adjust the accrual accordingly. Payments made under these arrangements in advance of the receipt of the related services are recorded as prepaid expenses until the services are rendered.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As outlined in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Related-Party Debt</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Related-Party Agreements</w:t>
      </w:r>
      <w:r>
        <w:rPr>
          <w:rFonts w:ascii="Arial" w:cs="Arial" w:eastAsia="Arial" w:hAnsi="Arial"/>
          <w:sz w:val="17"/>
          <w:szCs w:val="17"/>
          <w:color w:val="auto"/>
        </w:rPr>
        <w:t>, we have various agreements with related parties. These arrangements can be billed and settled in cash monthly, billed quarterly and settled in cash the following month, or estimated in advance and collected or paid upfront based on expected utilization. Monthly accruals are made for all quarterly billing arrangements.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For all leases other than short-term leases, at the lease commencement date, a right-of-use asset and a lease liability are recognized and included in </w:t>
      </w:r>
      <w:r>
        <w:rPr>
          <w:rFonts w:ascii="Arial" w:cs="Arial" w:eastAsia="Arial" w:hAnsi="Arial"/>
          <w:sz w:val="17"/>
          <w:szCs w:val="17"/>
          <w:i w:val="1"/>
          <w:iCs w:val="1"/>
          <w:color w:val="auto"/>
        </w:rPr>
        <w:t>operating lease right-of-use assets, net</w:t>
      </w:r>
      <w:r>
        <w:rPr>
          <w:rFonts w:ascii="Arial" w:cs="Arial" w:eastAsia="Arial" w:hAnsi="Arial"/>
          <w:sz w:val="17"/>
          <w:szCs w:val="17"/>
          <w:color w:val="auto"/>
        </w:rPr>
        <w:t>, and</w:t>
      </w:r>
      <w:r>
        <w:rPr>
          <w:rFonts w:ascii="Arial" w:cs="Arial" w:eastAsia="Arial" w:hAnsi="Arial"/>
          <w:sz w:val="17"/>
          <w:szCs w:val="17"/>
          <w:i w:val="1"/>
          <w:iCs w:val="1"/>
          <w:color w:val="auto"/>
        </w:rPr>
        <w:t xml:space="preserve"> current and non-current operating lease liabilities</w:t>
      </w:r>
      <w:r>
        <w:rPr>
          <w:rFonts w:ascii="Arial" w:cs="Arial" w:eastAsia="Arial" w:hAnsi="Arial"/>
          <w:sz w:val="17"/>
          <w:szCs w:val="17"/>
          <w:color w:val="auto"/>
        </w:rPr>
        <w:t>, respectively, on the consolidated balance sheet. The right-of-use asset represents the right to use the leased asset for the lease term. At the commencement date, operating lease right-of-use assets and operating lease liabilities are determined based on the present value of lease payments to be made over the lease term. Leases are classified as either finance leases or operating leases. We do not currently have any leases classified as finance leases.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As the rate implicit in lease contracts are not readily determinable, we utilize its incremental borrowing rate as a discount rate for purposes of determining the present value of lease payments, which is based on the estimated interest rate at which we could borrow on a collateralized basis the amount of the lease payments in the same currency, for a similar term, in a similar economic environment. Prospectively, we will remeasure the lease liability at the net present value of the remaining lease payments using the same incremental borrowing rate that was in effect as of the lease commencement or transition date.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Operating lease right-of-use assets also include any rent paid prior to the commencement date, less any lease incentives received, and initial direct costs incurred. Lease expense for minimum lease payments is recognized on a straight-line basis over the lease term. We determine the lease term by assuming the exercise of renewal options that are reasonably assured. The exercise of lease renewal options is at our sole discretion. Several of our leases have renewal options, however, the exercise of renewal is only assured for five of our current Good Manufacturing Practices (cGMP) facilities where we have made significant improvements or extended the lease.</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combine our lease components (e.g., fixed payments including rent, real estate taxes and insurance costs) with non-lease components (e.g., common-area maintenance costs and equipment maintenance costs) and as such, we account for lease and non-lease components as a single component. Lease expense also includes amounts relating to variable lease payments. Variable lease payments include amounts relating to common area maintenance and real estate taxes.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do not recognize right-of-use assets and lease liabilities for qualifying short-term leases with an initial lease term of 12 months or less at lease inception. Such leases are expensed on a straight-line basis over the lease term. The lease term includes the non-cancellable period of the lease and any additional periods covered by either options to renew or not to terminate when the company is reasonably certain to exercise.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depreciable life of operating right-of-use-assets and leasehold improvements is limited by the expected lease 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w:t>
      </w:r>
      <w:r>
        <w:rPr>
          <w:rFonts w:ascii="Arial" w:cs="Arial" w:eastAsia="Arial" w:hAnsi="Arial"/>
          <w:sz w:val="16"/>
          <w:szCs w:val="16"/>
          <w:color w:val="auto"/>
        </w:rPr>
        <w:t>(ASC 815). The assessment considers whether the warrants are freestanding financial instruments pursuant to ASC 480, meet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warrants that meet all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w:t>
      </w:r>
      <w:r>
        <w:rPr>
          <w:rFonts w:ascii="Arial" w:cs="Arial" w:eastAsia="Arial" w:hAnsi="Arial"/>
          <w:sz w:val="18"/>
          <w:szCs w:val="18"/>
          <w:i w:val="1"/>
          <w:iCs w:val="1"/>
          <w:color w:val="auto"/>
        </w:rPr>
        <w:t>ther income (expense), net</w:t>
      </w:r>
      <w:r>
        <w:rPr>
          <w:rFonts w:ascii="Arial" w:cs="Arial" w:eastAsia="Arial" w:hAnsi="Arial"/>
          <w:sz w:val="18"/>
          <w:szCs w:val="18"/>
          <w:color w:val="auto"/>
        </w:rPr>
        <w:t>, on the consolidated statement of operations. The fair value of the warrants was estimated using the Black-Scholes option pricing model.</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We recognize uncertain tax positions when the position will more likely than not be upheld on examination by the taxing authorities based solely upon the technical merits of the positions. We recognize interest and penalties, if any, related to unrecognized income tax uncertainties in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benefit, </w:t>
      </w:r>
      <w:r>
        <w:rPr>
          <w:rFonts w:ascii="Arial" w:cs="Arial" w:eastAsia="Arial" w:hAnsi="Arial"/>
          <w:sz w:val="18"/>
          <w:szCs w:val="18"/>
          <w:color w:val="auto"/>
        </w:rPr>
        <w:t>on the consolidated statement of operations. We did not have any accrued interest or penalties associated with uncertain tax positions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2022 and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In 2015, the Board of Directors approved a share repurchase program (the 2015 Share Repurchase Program). As it is our intent for the repurchased shares to be retired, we have elected to account for the shares repurchased using the constructive retirement method. For shares repurchased in excess of par, we record the purchase price in excess of par value in </w:t>
      </w:r>
      <w:r>
        <w:rPr>
          <w:rFonts w:ascii="Arial" w:cs="Arial" w:eastAsia="Arial" w:hAnsi="Arial"/>
          <w:sz w:val="17"/>
          <w:szCs w:val="17"/>
          <w:i w:val="1"/>
          <w:iCs w:val="1"/>
          <w:color w:val="auto"/>
        </w:rPr>
        <w:t>accumulated deficit</w:t>
      </w:r>
      <w:r>
        <w:rPr>
          <w:rFonts w:ascii="Arial" w:cs="Arial" w:eastAsia="Arial" w:hAnsi="Arial"/>
          <w:sz w:val="17"/>
          <w:szCs w:val="17"/>
          <w:color w:val="auto"/>
        </w:rPr>
        <w:t>, on the consolidated balance sheet.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primarily generated revenues from non-exclusive license agreements related to our cell lines, the sale of our bioreactors and related consumables and grant programs. The nonexclusive license agreements with a limited number of pharmaceutical and biotechnology companies grant them the right to use our cell lines and intellectual property for non-clinical use. These agreements generally include upfront fees and annual research license fees for such use, as well as commercial license fees for sales of the licensee products developed or manufactured using our intellectual property and cell lines. We have generated revenues from product sales of our proprietary GMP-in-a-Box bioreactors and related consumables, primarily to related parties. Additionally, we also generated revenues from grant programs.</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A contract’s transaction price is allocated to each distinct performance obligation based on relative standalone selling price and recognized as revenue when, or as, the performance obligation is satisfied.</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Under our license agreements with customers, we typically promise to provide a license to use certain cell lines and related patents, the related know-how, and future research and development data that affect the license. We have concluded that these promises represent one performance obligation due to the highly interrelated nature of the promises. We provide the cell lines and know-how immediately upon entering into the contracts. Research and development data are provided throughout the term of the contract when and if available.</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license agreements may include non-refundable upfront payments, event-based milestone payments, sales-based royalty payments, or some combination of these. The event-based milestone payments represent variable consideration and we use the most likely amount method to estimate this variable consideration. Given the high degree of uncertainly around the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recognize revenue from sales-based royalty payments when or as the sales occur. On a quarterly basis, we re-evaluate our estimate of milestone variable consideration to determine whether any amount should be included in the transaction price and recorded in revenue prospectively.</w:t>
      </w:r>
    </w:p>
    <w:p>
      <w:pPr>
        <w:spacing w:after="0" w:line="17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also have sold our proprietary GMP-in-a-Box bioreactors and related consumables to affiliated companies. The arrangements typically include delivery of bioreactors, consumables, and providing installation service and perpetual software licenses for using the equipment. We recognize revenue when customers obtain control and can benefit from the promised goods or services, generally upon installation of the bioreactors,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Grant revenue is typically paid for reimbursable costs incurred over the duration of the associated research project or clinical trial and is recognized when expenses reimbursable under the grants have been incurred and payments under the grants become contractually due.</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From inception through December 31, 2022, we have generated minimal revenue from non-exclusive license agreements related to our cell lines, the sale of our bioreactors and related consumables, and grant programs. We have no clinical products approved for commercial sale and have not generated any revenue from therapeutic and vaccine product candidates that are under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Major components of research and development costs include cash compensation and other personnel-related expenses, stock-based compensation, depreciation and amortization expense on research and development property and equipment and intangible assets, costs of preclinical studies, clinical trials costs, including contract research organizations (CROs) and related clinical manufacturing, including contract manufacturing organizations (CMOs),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9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7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Included in research and development costs are clinical trial and research expenses based on the services performed pursuant to contracts with research institutions and clinical research organizations and other vendors that conduct clinical trials and research on our behalf. We record accruals for estimated costs under these contracts. When evaluating the adequacy of the accrued liabilities, we analyze the progress of the preclinical studies or clinical trials, including the phase or completion of events, invoices received, contracted costs and purchase orders. Significant judgments and estimates are made in determining the accrued balances at the end of any reporting period based on the facts and circumstances known at that time. Although we do not expect the estimates to be materially different from the amounts actually incurred, if the estimates of the status and timing of services performed differ from the actual status and timing of services performed, we may report amounts that are too high or too low in any particular period. Actual results could differ from our estimates. We adjust the accruals in the period when actual costs become known.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account for stock-based compensation under the provisions of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We estimate fair value of each stock option award on the date of grant using the Black-Scholes option pricing model. The Black-Scholes option pricing model requires the use of highly subjective assumptions, including, but not limited to, expected stock price volatility over the term of the awards and the expected term of the stock options. We measure the fair value of an equity-classified award at the grant date and recognize the stock-based compensation expense over the period of vesting on the straight-line basis for our outstanding share awards that do not contain a performance condition. For awards subject to performance-based vesting conditions, we assess the probability of the individual milestones under the award being achieved and stock-based compensation expense is recognized over the service period using the graded vesting method once management believes the performance criteria is probable of being met. For awards with service or performance conditions, we recognize the effect of forfeitures in compensation cost in the period that the award was forfeited.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Stock-Based Compensation</w:t>
      </w:r>
      <w:r>
        <w:rPr>
          <w:rFonts w:ascii="Arial" w:cs="Arial" w:eastAsia="Arial" w:hAnsi="Arial"/>
          <w:sz w:val="17"/>
          <w:szCs w:val="17"/>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Transaction</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A sale-leaseback transaction occurs when an entity sells an asset it owns and immediately leases the asset back from the buyer. The seller then becomes the lessee and the buyer becomes the lessor. When entering into a sale-leaseback transaction as a seller-lessee, the requirements in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all related accounting standards updates to such Topic are applied in determining whether the transfer of an asset shall be accounted for as a sale of the asset by assessing whether it satisfies a performance obligation under the contract by transferring control of an asset. If the company transfers control of an asset to the buyer-lessor, the transfer is accounted for as a sale and the company derecognizes the transferred asset. The subsequent leaseback of the asset is accounted for in accordance with ASC Topic 842, </w:t>
      </w:r>
      <w:r>
        <w:rPr>
          <w:rFonts w:ascii="Arial" w:cs="Arial" w:eastAsia="Arial" w:hAnsi="Arial"/>
          <w:sz w:val="16"/>
          <w:szCs w:val="16"/>
          <w:i w:val="1"/>
          <w:iCs w:val="1"/>
          <w:color w:val="auto"/>
        </w:rPr>
        <w:t>Leases</w:t>
      </w:r>
      <w:r>
        <w:rPr>
          <w:rFonts w:ascii="Arial" w:cs="Arial" w:eastAsia="Arial" w:hAnsi="Arial"/>
          <w:sz w:val="16"/>
          <w:szCs w:val="16"/>
          <w:color w:val="auto"/>
        </w:rPr>
        <w:t>, in the same manner as any third-party lease. If the company does not transfer control of an asset to the buyer-lessor, the sale-leaseback transaction is accounted for as a financing arrangement.</w:t>
      </w:r>
    </w:p>
    <w:p>
      <w:pPr>
        <w:spacing w:after="0" w:line="1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In September 2021, we entered into a sale transaction with Nant Capital, LLC (Nant Capital), a related party, for a building located at 557 South Douglas Street, El Segundo, California. We subsequently leased back the building for an initial seven-year lease term with an option to extend the lease for two additional seven-year periods. There was no purchase option at the end of the lease term. Since we transferred the legal title and all benefits and risks incidental to the ownership of the property to Nant Capital, we accounted for the transfer as a sale. We have classified the leaseback of the building as an operating lease and accordingly, a right-of-use asset and an operating lease liability were established on the lease commencement date that will be amortized through the end of the lease term. Effective May 31, 2022, we executed a termination agreement on this lease.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further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non-owner sources. Comprehensive income or loss is composed of net income (loss) and other comprehensive income (loss). Our other comprehensive income or loss consists of net unrealized gains (losses) on marketable debt securities classified as available-for-sale, net of income taxes and foreign currency translation adjustments.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Noncontrolling interests are recorded for the entities that we consolidate but are not wholly-owned by the company. Noncontrolling interests are classified as a separate component of equity on the consolidated balance sheet and consolidated statement of stockholders’ deficit. Additionally, net loss attributable to noncontrolling interests is reflected separately from consolidated net loss on the consolidated statement of operations and the consolidated statement of stockholders’ deficit. We record the noncontrolling interests’ share of loss based on the percentage of ownership interest retained by the respective noncontrolling interest holders. Noncontrolling interests recorded on the consolidated financial statements result from the company’s share of GlobeImmune, Inc. (GlobeImmune), of which we controlled 69.1%, and Immunotherapy NANTibody, LLC (NANTibody), of which we controlled 60.0% as of December 31, 2022, 2021 and 2020. Noncontrolling interest stockholders are common stockholders.</w:t>
      </w:r>
    </w:p>
    <w:p>
      <w:pPr>
        <w:spacing w:after="0" w:line="166" w:lineRule="exact"/>
        <w:rPr>
          <w:sz w:val="20"/>
          <w:szCs w:val="20"/>
          <w:color w:val="auto"/>
        </w:rPr>
      </w:pPr>
    </w:p>
    <w:p>
      <w:pPr>
        <w:ind w:right="400" w:firstLine="648"/>
        <w:spacing w:after="0" w:line="296" w:lineRule="auto"/>
        <w:rPr>
          <w:sz w:val="20"/>
          <w:szCs w:val="20"/>
          <w:color w:val="auto"/>
        </w:rPr>
      </w:pPr>
      <w:r>
        <w:rPr>
          <w:rFonts w:ascii="Arial" w:cs="Arial" w:eastAsia="Arial" w:hAnsi="Arial"/>
          <w:sz w:val="16"/>
          <w:szCs w:val="16"/>
          <w:color w:val="auto"/>
        </w:rPr>
        <w:t>GlobeImmune was determined to be a VIE as it does not have sufficient equity investment at risk to finance its operations without additional subordinated financial support and we are deemed the primary beneficiary of GlobeImmune and, accordingly, consolidates GlobeImmune into the consolidated financial statements under the VIE model. The company also supports GlobeImmune through a promissory note agreement, in which the company provides advances to GlobeImmune from time to time up to $6.0 million with a per annum interest rate of five percent (5%). As of December 31, 2022 and 2021, there were no outstanding advances due from GlobeImmune under the promissory note agreement.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GlobeImmune recognized no revenue for the years ended December 31, 2022, 2021, and 2020, respectively, and recognized $0.5 million,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$0.7 million and $2.0 million of operating expenses for the years ended December 31, 2022, 2021 and 2020, respectively. The consolidated balance sheets include approximately $1.4 million and $0.8 million of total assets and no liabilities as of December 31, 2022 and 2021, respectively, related to GlobeImmune.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We have operations and hold assets in Italy and South Korea. The functional currency of the subsidiary in Italy is the Euro, based on the nature of the transactions occurring within this entity, and accordingly, assets and liabilities of this subsidiary are translated into U.S. dollars at exchange rates prevailing as of the balance sheet dates, while the operating results are translated into U.S. dollars using the average exchange rates for the period correlating with those operating results. Adjustments resulting from translating the financial statements of the foreign subsidiary into U.S. dollars are recorded as a component of </w:t>
      </w:r>
      <w:r>
        <w:rPr>
          <w:rFonts w:ascii="Arial" w:cs="Arial" w:eastAsia="Arial" w:hAnsi="Arial"/>
          <w:sz w:val="17"/>
          <w:szCs w:val="17"/>
          <w:i w:val="1"/>
          <w:iCs w:val="1"/>
          <w:color w:val="auto"/>
        </w:rPr>
        <w:t>other comprehensive income (loss)</w:t>
      </w:r>
      <w:r>
        <w:rPr>
          <w:rFonts w:ascii="Arial" w:cs="Arial" w:eastAsia="Arial" w:hAnsi="Arial"/>
          <w:sz w:val="17"/>
          <w:szCs w:val="17"/>
          <w:color w:val="auto"/>
        </w:rPr>
        <w:t xml:space="preserve">, on the consolidated statement of comprehensive loss. Transaction gains and losses are recorded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on the consolidated statement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spacing w:after="0" w:line="187"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all periods presented, potentially dilutive securities are excluded from the computation of fully diluted loss per share as their effect is anti-dilutive. The following table details those securities that have been excluded from the computation of potentially dilutive securities: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December 31,</w:t>
            </w:r>
          </w:p>
        </w:tc>
        <w:tc>
          <w:tcPr>
            <w:tcW w:w="1520" w:type="dxa"/>
            <w:vAlign w:val="bottom"/>
          </w:tcPr>
          <w:p>
            <w:pPr>
              <w:spacing w:after="0"/>
              <w:rPr>
                <w:sz w:val="16"/>
                <w:szCs w:val="16"/>
                <w:color w:val="auto"/>
              </w:rPr>
            </w:pPr>
          </w:p>
        </w:tc>
      </w:tr>
      <w:tr>
        <w:trPr>
          <w:trHeight w:val="26"/>
        </w:trPr>
        <w:tc>
          <w:tcPr>
            <w:tcW w:w="65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40"/>
        </w:trPr>
        <w:tc>
          <w:tcPr>
            <w:tcW w:w="6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4,124,930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4,996,284</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Outstanding third-party warrants</w:t>
            </w:r>
          </w:p>
        </w:tc>
        <w:tc>
          <w:tcPr>
            <w:tcW w:w="1500" w:type="dxa"/>
            <w:vAlign w:val="bottom"/>
          </w:tcPr>
          <w:p>
            <w:pPr>
              <w:jc w:val="right"/>
              <w:spacing w:after="0"/>
              <w:rPr>
                <w:sz w:val="20"/>
                <w:szCs w:val="20"/>
                <w:color w:val="auto"/>
              </w:rPr>
            </w:pPr>
            <w:r>
              <w:rPr>
                <w:rFonts w:ascii="Arial" w:cs="Arial" w:eastAsia="Arial" w:hAnsi="Arial"/>
                <w:sz w:val="18"/>
                <w:szCs w:val="18"/>
                <w:color w:val="auto"/>
              </w:rPr>
              <w:t>9,090,909</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RSUs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6,551,388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6,515,889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466,842</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related-party warrants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1,638,000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1,638,000</w:t>
            </w:r>
          </w:p>
        </w:tc>
      </w:tr>
      <w:tr>
        <w:trPr>
          <w:trHeight w:val="248"/>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26,543,223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12,278,819</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7,101,126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0" w:firstLine="648"/>
        <w:spacing w:after="0" w:line="291" w:lineRule="auto"/>
        <w:rPr>
          <w:sz w:val="20"/>
          <w:szCs w:val="20"/>
          <w:color w:val="auto"/>
        </w:rPr>
      </w:pPr>
      <w:r>
        <w:rPr>
          <w:rFonts w:ascii="Arial" w:cs="Arial" w:eastAsia="Arial" w:hAnsi="Arial"/>
          <w:sz w:val="16"/>
          <w:szCs w:val="16"/>
          <w:color w:val="auto"/>
        </w:rPr>
        <w:t>Amounts in the table above reflect the common stock equivalents of the noted instruments, including awards issued under the NantKwest 2015 Equity Incentive Plan (the 2015 Plan), the NantKwest 2014 Equity Incentive Plan (the 2014 Plan), and awards issued under the NantCell, Inc.</w:t>
      </w:r>
    </w:p>
    <w:p>
      <w:pPr>
        <w:ind w:right="180"/>
        <w:spacing w:after="0" w:line="277" w:lineRule="auto"/>
        <w:rPr>
          <w:sz w:val="20"/>
          <w:szCs w:val="20"/>
          <w:color w:val="auto"/>
        </w:rPr>
      </w:pPr>
      <w:r>
        <w:rPr>
          <w:rFonts w:ascii="Arial" w:cs="Arial" w:eastAsia="Arial" w:hAnsi="Arial"/>
          <w:sz w:val="17"/>
          <w:szCs w:val="17"/>
          <w:color w:val="auto"/>
        </w:rPr>
        <w:t xml:space="preserve">2015 Stock Incentive Plan (the NC 2015 Plan) that, in the case of December 31, 2021, were outstanding immediately prior to the Effective Time of the Merger and in the case of December 31, 2020 have been adjusted to include the combined NC 2015 Plan and NantCell warrants then outstanding (in both cases adjusted using the Exchange Ratio of 0.8190).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Stock-Based Compensation</w:t>
      </w:r>
      <w:r>
        <w:rPr>
          <w:rFonts w:ascii="Arial" w:cs="Arial" w:eastAsia="Arial" w:hAnsi="Arial"/>
          <w:sz w:val="17"/>
          <w:szCs w:val="17"/>
          <w:color w:val="auto"/>
        </w:rPr>
        <w:t>, for further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operate in one reporting segment focused on creating the next generation of immunotherapies to address serious unmet needs within oncology and infectious diseases. Our chief executive officer (CEO) is the chief operating decision-maker (CODM) of the company, and manages and allocates resources to our operations on a company-wide basis. Consistent with this decision-making process, our CEO uses consolidated, single-segment financial information for purposes of evaluating performance, forecasting future-period financial results, allocating resources and setting incentive targets.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generate a portion of our revenues from outside of the U.S. Information about our revenues by geographic region is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40"/>
        </w:trPr>
        <w:tc>
          <w:tcPr>
            <w:tcW w:w="6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Europe</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8"/>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revenue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 – Adopted</w:t>
      </w:r>
    </w:p>
    <w:p>
      <w:pPr>
        <w:spacing w:after="0" w:line="117"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 xml:space="preserve">In May 2021, the FASB issued Accounting Standards Update (ASU) 2021-04,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260), </w:t>
      </w:r>
      <w:r>
        <w:rPr>
          <w:rFonts w:ascii="Arial" w:cs="Arial" w:eastAsia="Arial" w:hAnsi="Arial"/>
          <w:sz w:val="16"/>
          <w:szCs w:val="16"/>
          <w:i w:val="1"/>
          <w:iCs w:val="1"/>
          <w:color w:val="auto"/>
        </w:rPr>
        <w:t>Debt—Modifications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Extinguishments </w:t>
      </w:r>
      <w:r>
        <w:rPr>
          <w:rFonts w:ascii="Arial" w:cs="Arial" w:eastAsia="Arial" w:hAnsi="Arial"/>
          <w:sz w:val="16"/>
          <w:szCs w:val="16"/>
          <w:color w:val="auto"/>
        </w:rPr>
        <w:t>(Subtopic 470-50),</w:t>
      </w:r>
      <w:r>
        <w:rPr>
          <w:rFonts w:ascii="Arial" w:cs="Arial" w:eastAsia="Arial" w:hAnsi="Arial"/>
          <w:sz w:val="16"/>
          <w:szCs w:val="16"/>
          <w:i w:val="1"/>
          <w:iCs w:val="1"/>
          <w:color w:val="auto"/>
        </w:rPr>
        <w:t xml:space="preserve"> Compensation—Stock Compensation </w:t>
      </w:r>
      <w:r>
        <w:rPr>
          <w:rFonts w:ascii="Arial" w:cs="Arial" w:eastAsia="Arial" w:hAnsi="Arial"/>
          <w:sz w:val="16"/>
          <w:szCs w:val="16"/>
          <w:color w:val="auto"/>
        </w:rPr>
        <w:t>(Topic 718), and</w:t>
      </w:r>
      <w:r>
        <w:rPr>
          <w:rFonts w:ascii="Arial" w:cs="Arial" w:eastAsia="Arial" w:hAnsi="Arial"/>
          <w:sz w:val="16"/>
          <w:szCs w:val="16"/>
          <w:i w:val="1"/>
          <w:iCs w:val="1"/>
          <w:color w:val="auto"/>
        </w:rPr>
        <w:t xml:space="preserve"> Derivatives and Hedging—Contracts in Entity’s Own Equity </w:t>
      </w:r>
      <w:r>
        <w:rPr>
          <w:rFonts w:ascii="Arial" w:cs="Arial" w:eastAsia="Arial" w:hAnsi="Arial"/>
          <w:sz w:val="16"/>
          <w:szCs w:val="16"/>
          <w:color w:val="auto"/>
        </w:rPr>
        <w:t>(Subtopic 815-40). This update provides guidance to clarify and reduce diversity in an accounting for modifications or exchanges of freestanding equity-classified written call options (for example, warrants) that is not within the scope of another Topic. An entity should treat a modification of the terms or conditions or an exchange of a freestanding equity-classified written call option that remains equity classified after modification or exchange as an exchange of the original instrument for a new instrument. This update additionally provides further guidance on measuring the effect of a modification or an exchange of a freestanding equity-classified written call option that remains equity classified after modification or exchange on the basis of the substance of the transaction, in the same manner as if cash had been paid as consideration. This guidance is effective for the fiscal years beginning after December 15, 2021, including interim periods within those fiscal years. The company adopted this guidance on January 1, 2022 on a prospective basis.</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August 2020, the FASB issued ASU 2020-06, A</w:t>
      </w:r>
      <w:r>
        <w:rPr>
          <w:rFonts w:ascii="Arial" w:cs="Arial" w:eastAsia="Arial" w:hAnsi="Arial"/>
          <w:sz w:val="18"/>
          <w:szCs w:val="18"/>
          <w:i w:val="1"/>
          <w:iCs w:val="1"/>
          <w:color w:val="auto"/>
        </w:rPr>
        <w:t>ccounting for Convertible Instruments and Contracts in an Entity’s Own Equity</w:t>
      </w:r>
      <w:r>
        <w:rPr>
          <w:rFonts w:ascii="Arial" w:cs="Arial" w:eastAsia="Arial" w:hAnsi="Arial"/>
          <w:sz w:val="18"/>
          <w:szCs w:val="18"/>
          <w:color w:val="auto"/>
        </w:rPr>
        <w:t>, which simplifies and clarifies certain calculation and presentation matters related to convertible equity and debt instruments. Specifically, ASU 2020-06 removes requirements to separately account for conversion features as a derivative under ASC Topic 815 and removes the requirement to account for beneficial conversion features on such instruments. In addition, ASU 2020-06 eliminates the treasury stock method when calculating diluted earnings per share for convertible instruments that can be settled in whole or in part with equity and requires the use of the if-converted method. The guidance is effective for fiscal years beginning after December 15, 2021, including interim periods within those fiscal years. The company adopted this guidance on January 1, 2022 on a modified prospective basis.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 – Not Yet Adopted</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w:t>
      </w:r>
      <w:r>
        <w:rPr>
          <w:rFonts w:ascii="Arial" w:cs="Arial" w:eastAsia="Arial" w:hAnsi="Arial"/>
          <w:sz w:val="18"/>
          <w:szCs w:val="18"/>
          <w:i w:val="1"/>
          <w:iCs w:val="1"/>
          <w:color w:val="auto"/>
        </w:rPr>
        <w:t>Fair Value Measurement of Equity Securities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Sale Restrictions</w:t>
      </w:r>
      <w:r>
        <w:rPr>
          <w:rFonts w:ascii="Arial" w:cs="Arial" w:eastAsia="Arial" w:hAnsi="Arial"/>
          <w:sz w:val="18"/>
          <w:szCs w:val="18"/>
          <w:color w:val="auto"/>
        </w:rPr>
        <w:t>, which amends the guidance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to clarify that a contractual restriction on the sale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ASU 2022-03 introduces new disclosure requirements for equity securities subject to contractual sale restrictions that are measured at fair value. ASU 2022-03 is effective for fiscal years beginning after December 15, 2023, including interim periods within those fiscal years. We are currently evaluating the impact of this standard on our consolidated financial statements.</w:t>
      </w:r>
    </w:p>
    <w:p>
      <w:pPr>
        <w:spacing w:after="0" w:line="19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Other recent authoritative guidance issued by the FASB (including technical corrections to the ASC), the American Institute of Certified Public Accountants, and the SEC during the year ended December 31, 2022 did not, or are not expected to, have a material effect on our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Financial Statement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research and development costs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Prepaid services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Prepaid software license fees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supplies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Insurance premium financing asset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1"/>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Property, plant and equipment, net, consist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54,284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&amp; fixtures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135,937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143,659</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Depreciation expense related to property, plant and equipment totaled $16.3 million, $14.2 million and $12.7 million for the years ended December 31, 2022, 2021 and 2020, respectively.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carrying amounts and accumulated amortization of intangible assets are as follows at the dates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leasehold rights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Organized workforce</w:t>
            </w:r>
          </w:p>
        </w:tc>
        <w:tc>
          <w:tcPr>
            <w:tcW w:w="14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8"/>
                <w:szCs w:val="18"/>
                <w:color w:val="auto"/>
              </w:rPr>
              <w:t>Indefinite-lived: IPR&amp;D</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69"/>
        </w:trPr>
        <w:tc>
          <w:tcPr>
            <w:tcW w:w="3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14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Definite-lived intangible assets subject to amortization include favorable leasehold rights and an organized workforce acquired from the asset acquisition of the Dunkirk facility in February 2022. During the year ended December 31, 2022, we wrote off the entire unamortized organized workforce intangible asset totaling $0.7 million in </w:t>
      </w:r>
      <w:r>
        <w:rPr>
          <w:rFonts w:ascii="Arial" w:cs="Arial" w:eastAsia="Arial" w:hAnsi="Arial"/>
          <w:sz w:val="18"/>
          <w:szCs w:val="18"/>
          <w:i w:val="1"/>
          <w:iCs w:val="1"/>
          <w:color w:val="auto"/>
        </w:rPr>
        <w:t>impairment of intangible assets</w:t>
      </w:r>
      <w:r>
        <w:rPr>
          <w:rFonts w:ascii="Arial" w:cs="Arial" w:eastAsia="Arial" w:hAnsi="Arial"/>
          <w:sz w:val="18"/>
          <w:szCs w:val="18"/>
          <w:color w:val="auto"/>
        </w:rPr>
        <w:t xml:space="preserve">, on the consolidated statement of operations.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License Agreements and Acquisition, </w:t>
      </w:r>
      <w:r>
        <w:rPr>
          <w:rFonts w:ascii="Arial" w:cs="Arial" w:eastAsia="Arial" w:hAnsi="Arial"/>
          <w:sz w:val="18"/>
          <w:szCs w:val="18"/>
          <w:color w:val="auto"/>
        </w:rPr>
        <w:t>for further information.</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We recorded amortization expense of $1.9 million, in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on the consolidated statement of operations for the year ended December 31, 2022. Future amortization expense for the favorable leasehold rights is as follows: $2.0 million for each of the years from 2023 to 2027 and $8.4 million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 ended December 31, 2020, we determined to discontinue the LMP1 and LMP/IPS programs based on results gathered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preclinical data. As a result, the carrying value of the IPR&amp;D relating to the LMP1 and LMP/IPS program was written down to zero and we recorded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of $10.7 million on the consolidated statement of operations. No such impairments were recorded during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As of December 31, 2022 and 2021, the company had indefinite-lived IPR&amp;D intangible assets of $1.4 million, which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obtained from business acquisitions.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Receivable</w:t>
      </w:r>
    </w:p>
    <w:p>
      <w:pPr>
        <w:spacing w:after="0" w:line="117" w:lineRule="exact"/>
        <w:rPr>
          <w:sz w:val="20"/>
          <w:szCs w:val="20"/>
          <w:color w:val="auto"/>
        </w:rPr>
      </w:pPr>
    </w:p>
    <w:p>
      <w:pPr>
        <w:ind w:right="300" w:firstLine="648"/>
        <w:spacing w:after="0" w:line="285" w:lineRule="auto"/>
        <w:rPr>
          <w:sz w:val="20"/>
          <w:szCs w:val="20"/>
          <w:color w:val="auto"/>
        </w:rPr>
      </w:pPr>
      <w:r>
        <w:rPr>
          <w:rFonts w:ascii="Arial" w:cs="Arial" w:eastAsia="Arial" w:hAnsi="Arial"/>
          <w:sz w:val="16"/>
          <w:szCs w:val="16"/>
          <w:color w:val="auto"/>
        </w:rPr>
        <w:t>In 2016, we executed a convertible promissory note with Riptide Bioscience, Inc., or Riptide, and advanced Riptide a principal amount of $5.0 million. The note bears interest at a per annum rate of five percent (5%). The original term of the promissory note requires that the entire unpaid principal amount and all unpaid accrued interest shall become fully due and payable upon the earlier of (i) the three (3) year anniversary of the issuance date, and (ii) when we accelerate the maturity of the note upon the occurrence of an event of default. In the event of qualified financing, the outstanding principal amount and unpaid accrued interest automatically convert into the most senior class of preferred stock sold in such qualified financing at a</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25% discount to the price per share paid for such preferred stock. In addition, in the event of a change in control, we have the option to be paid in cash or to convert, immediately prior to the closing of such transaction, the outstanding indebtedness into Riptide’s most senior class of equity securities at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 discount to the price per share paid for such equity securities in such transaction.</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Concurrent with the transaction, we entered into an exclusive license agreement with Riptide to obtain worldwide exclusive rights, with the right to sublicense, certain know-how related to RP-182, RP-233 and RP-183. We are required to pay a single-digit royalty on net sales of the licensed products on a country-by-country basis. Pursuant to the license agreement, we are also required to make cash milestone payments upon successful completion of certain clinical, regulatory and commercial milestones up to an aggregate amount of $47.0 million for the first three indications of the licensed product with a maximum payment amount of $100.0 million.</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2019, we and Riptide entered into a first amendment to the convertible promissory note. Under the agreement, we extended the maturity of the promissory note to the earlier of, a) the later of, i) the completion of non-clinical IND enabling studies by the company, or ii) December 31, 2020; and b) when we accelerate the maturity of the note upon the occurrence of an event of default. No other terms and conditions of the promissory note were modified. Concurrently, we also entered into a first amendment to the exclusive license agreement with Riptide and extended the achievement dates for certain clinical trial milestones related to the licensed products. This option for receiving a 25% discount was determined to have an immaterial value at inception and life to date of the note, as the probability of a future qualifying event is remote. All other terms and conditions of the license agreement continued in full force and effect. This promissory note is still outstanding as of December 31, 2022. The convertible note receivable balance was $6.6 million and $6.4 million, which included accrued interest of $1.6 million and $1.4 million as of December 31, 2022 and 2021,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liabilities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Accrued construction costs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professional and service fees</w:t>
            </w: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Accrued compensation</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preclinical and clinical trial costs</w:t>
            </w: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Accrued research and development costs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Financing obligation – current portion</w:t>
            </w: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gridSpan w:val="3"/>
          </w:tcPr>
          <w:p>
            <w:pPr>
              <w:ind w:left="20"/>
              <w:spacing w:after="0"/>
              <w:rPr>
                <w:sz w:val="20"/>
                <w:szCs w:val="20"/>
                <w:color w:val="auto"/>
              </w:rPr>
            </w:pPr>
            <w:r>
              <w:rPr>
                <w:rFonts w:ascii="Arial" w:cs="Arial" w:eastAsia="Arial" w:hAnsi="Arial"/>
                <w:sz w:val="18"/>
                <w:szCs w:val="18"/>
                <w:color w:val="auto"/>
              </w:rPr>
              <w:t>Accrued laboratory equipment, supplies and related services</w:t>
            </w: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dissenting shares (</w:t>
            </w:r>
            <w:r>
              <w:rPr>
                <w:rFonts w:ascii="Arial" w:cs="Arial" w:eastAsia="Arial" w:hAnsi="Arial"/>
                <w:sz w:val="18"/>
                <w:szCs w:val="18"/>
                <w:color w:val="0000FF"/>
              </w:rPr>
              <w:t>Note 7</w:t>
            </w: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top w:val="single" w:sz="8" w:color="0000FF"/>
              <w:bottom w:val="single" w:sz="8" w:color="CCEEFF"/>
            </w:tcBorders>
          </w:tcPr>
          <w:p>
            <w:pPr>
              <w:spacing w:after="0"/>
              <w:rPr>
                <w:sz w:val="21"/>
                <w:szCs w:val="21"/>
                <w:color w:val="auto"/>
              </w:rPr>
            </w:pPr>
          </w:p>
        </w:tc>
        <w:tc>
          <w:tcPr>
            <w:tcW w:w="3980" w:type="dxa"/>
            <w:vAlign w:val="bottom"/>
            <w:tcBorders>
              <w:top w:val="single" w:sz="8" w:color="CCEEFF"/>
              <w:bottom w:val="single" w:sz="8" w:color="CCEEFF"/>
            </w:tcBorders>
          </w:tcPr>
          <w:p>
            <w:pPr>
              <w:spacing w:after="0"/>
              <w:rPr>
                <w:sz w:val="21"/>
                <w:szCs w:val="21"/>
                <w:color w:val="auto"/>
              </w:rPr>
            </w:pPr>
          </w:p>
        </w:tc>
        <w:tc>
          <w:tcPr>
            <w:tcW w:w="940" w:type="dxa"/>
            <w:vAlign w:val="bottom"/>
            <w:tcBorders>
              <w:top w:val="single" w:sz="8" w:color="CCEEFF"/>
              <w:bottom w:val="single" w:sz="8" w:color="CCEEFF"/>
            </w:tcBorders>
          </w:tcPr>
          <w:p>
            <w:pPr>
              <w:spacing w:after="0"/>
              <w:rPr>
                <w:sz w:val="21"/>
                <w:szCs w:val="21"/>
                <w:color w:val="auto"/>
              </w:rPr>
            </w:pPr>
          </w:p>
        </w:tc>
        <w:tc>
          <w:tcPr>
            <w:tcW w:w="5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360" w:type="dxa"/>
            <w:vAlign w:val="bottom"/>
            <w:tcBorders>
              <w:top w:val="single" w:sz="8" w:color="CCEEFF"/>
              <w:bottom w:val="single" w:sz="8" w:color="auto"/>
            </w:tcBorders>
          </w:tcPr>
          <w:p>
            <w:pPr>
              <w:spacing w:after="0"/>
              <w:rPr>
                <w:sz w:val="21"/>
                <w:szCs w:val="21"/>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top w:val="single" w:sz="8" w:color="CCEEFF"/>
              <w:bottom w:val="single" w:sz="8" w:color="CCEEFF"/>
            </w:tcBorders>
          </w:tcPr>
          <w:p>
            <w:pPr>
              <w:spacing w:after="0"/>
              <w:rPr>
                <w:sz w:val="21"/>
                <w:szCs w:val="21"/>
                <w:color w:val="auto"/>
              </w:rPr>
            </w:pPr>
          </w:p>
        </w:tc>
        <w:tc>
          <w:tcPr>
            <w:tcW w:w="580" w:type="dxa"/>
            <w:vAlign w:val="bottom"/>
            <w:tcBorders>
              <w:top w:val="single" w:sz="8" w:color="CCEEFF"/>
              <w:bottom w:val="single" w:sz="8" w:color="auto"/>
            </w:tcBorders>
          </w:tcPr>
          <w:p>
            <w:pPr>
              <w:spacing w:after="0"/>
              <w:rPr>
                <w:sz w:val="21"/>
                <w:szCs w:val="21"/>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Interest and Investment (Loss) Income, Net</w:t>
            </w: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48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0" w:type="dxa"/>
            <w:vAlign w:val="bottom"/>
            <w:gridSpan w:val="4"/>
          </w:tcPr>
          <w:p>
            <w:pPr>
              <w:jc w:val="right"/>
              <w:ind w:right="736"/>
              <w:spacing w:after="0"/>
              <w:rPr>
                <w:sz w:val="20"/>
                <w:szCs w:val="20"/>
                <w:color w:val="auto"/>
              </w:rPr>
            </w:pPr>
            <w:r>
              <w:rPr>
                <w:rFonts w:ascii="Arial" w:cs="Arial" w:eastAsia="Arial" w:hAnsi="Arial"/>
                <w:sz w:val="18"/>
                <w:szCs w:val="18"/>
                <w:color w:val="auto"/>
              </w:rPr>
              <w:t>Interest and investment (loss) income, net consists of the following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(losses) gains from equity securities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(4,190)</w:t>
            </w:r>
          </w:p>
        </w:tc>
        <w:tc>
          <w:tcPr>
            <w:tcW w:w="4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(amortization expense) accretion income,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realized (losses) gains on investments</w:t>
            </w:r>
          </w:p>
        </w:tc>
        <w:tc>
          <w:tcPr>
            <w:tcW w:w="9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and investment (loss) income, net</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includes interest from marketable securities, convertible notes receivable, other assets, and on bank deposits.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41"/>
        </w:trPr>
        <w:tc>
          <w:tcPr>
            <w:tcW w:w="6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related-party notes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Amortization of related-party notes discounts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6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Debt Securities</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2022, the weighted-average remaining contractual life, amortized cost, gross unrealized gains, gross unrealized losses and fair value of marketable debt securities, which were considered as available-for-sale, by type of security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5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7"/>
                <w:szCs w:val="17"/>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bonds</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2021, the amortized cost, gross unrealized gains, gross unrealized losses and fair value of marketable debt securities, which were considered as available-for-sale, by type of security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40"/>
        </w:trPr>
        <w:tc>
          <w:tcPr>
            <w:tcW w:w="53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129,190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129,164</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bonds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6"/>
        </w:trPr>
        <w:tc>
          <w:tcPr>
            <w:tcW w:w="5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129,317</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bonds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4"/>
        </w:trPr>
        <w:tc>
          <w:tcPr>
            <w:tcW w:w="5340" w:type="dxa"/>
            <w:vAlign w:val="bottom"/>
          </w:tcPr>
          <w:p>
            <w:pPr>
              <w:ind w:left="360"/>
              <w:spacing w:after="0"/>
              <w:rPr>
                <w:sz w:val="20"/>
                <w:szCs w:val="20"/>
                <w:color w:val="auto"/>
              </w:rPr>
            </w:pPr>
            <w:r>
              <w:rPr>
                <w:rFonts w:ascii="Arial" w:cs="Arial" w:eastAsia="Arial" w:hAnsi="Arial"/>
                <w:sz w:val="18"/>
                <w:szCs w:val="18"/>
                <w:color w:val="auto"/>
              </w:rPr>
              <w:t>Noncurrent portion</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5"/>
        </w:trPr>
        <w:tc>
          <w:tcPr>
            <w:tcW w:w="53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894"/>
              <w:spacing w:after="0"/>
              <w:rPr>
                <w:sz w:val="20"/>
                <w:szCs w:val="20"/>
                <w:color w:val="auto"/>
              </w:rPr>
            </w:pPr>
            <w:r>
              <w:rPr>
                <w:rFonts w:ascii="Arial" w:cs="Arial" w:eastAsia="Arial" w:hAnsi="Arial"/>
                <w:sz w:val="18"/>
                <w:szCs w:val="18"/>
                <w:color w:val="auto"/>
                <w:w w:val="93"/>
              </w:rPr>
              <w:t>174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Accumulated unrealized losses on marketable debt securities that have been in a continuous loss position for less than 12 months and more than 12 months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ind w:left="88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More than 12 months</w:t>
            </w:r>
          </w:p>
        </w:tc>
      </w:tr>
      <w:tr>
        <w:trPr>
          <w:trHeight w:val="26"/>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0"/>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left="64"/>
              <w:spacing w:after="0" w:line="160" w:lineRule="exact"/>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62"/>
              <w:spacing w:after="0" w:line="160"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Estimated</w:t>
            </w:r>
          </w:p>
        </w:tc>
        <w:tc>
          <w:tcPr>
            <w:tcW w:w="240" w:type="dxa"/>
            <w:vAlign w:val="bottom"/>
          </w:tcPr>
          <w:p>
            <w:pPr>
              <w:spacing w:after="0"/>
              <w:rPr>
                <w:sz w:val="13"/>
                <w:szCs w:val="13"/>
                <w:color w:val="auto"/>
              </w:rPr>
            </w:pPr>
          </w:p>
        </w:tc>
        <w:tc>
          <w:tcPr>
            <w:tcW w:w="1160" w:type="dxa"/>
            <w:vAlign w:val="bottom"/>
          </w:tcPr>
          <w:p>
            <w:pPr>
              <w:jc w:val="center"/>
              <w:ind w:right="158"/>
              <w:spacing w:after="0" w:line="160" w:lineRule="exact"/>
              <w:rPr>
                <w:sz w:val="20"/>
                <w:szCs w:val="20"/>
                <w:color w:val="auto"/>
              </w:rPr>
            </w:pPr>
            <w:r>
              <w:rPr>
                <w:rFonts w:ascii="Arial" w:cs="Arial" w:eastAsia="Arial" w:hAnsi="Arial"/>
                <w:sz w:val="14"/>
                <w:szCs w:val="14"/>
                <w:b w:val="1"/>
                <w:bCs w:val="1"/>
                <w:color w:val="auto"/>
                <w:w w:val="88"/>
              </w:rPr>
              <w:t>Gross</w:t>
            </w:r>
          </w:p>
        </w:tc>
      </w:tr>
      <w:tr>
        <w:trPr>
          <w:trHeight w:val="176"/>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64"/>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262"/>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5"/>
                <w:szCs w:val="15"/>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Unrealized</w:t>
            </w:r>
          </w:p>
        </w:tc>
      </w:t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left="44"/>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82"/>
              </w:rPr>
              <w:t>Losses</w:t>
            </w:r>
          </w:p>
        </w:tc>
      </w:tr>
      <w:tr>
        <w:trPr>
          <w:trHeight w:val="26"/>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bonds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02"/>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ind w:left="8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More than 12 months</w:t>
            </w:r>
          </w:p>
        </w:tc>
      </w:tr>
      <w:tr>
        <w:trPr>
          <w:trHeight w:val="26"/>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0"/>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left="64"/>
              <w:spacing w:after="0" w:line="160" w:lineRule="exact"/>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62"/>
              <w:spacing w:after="0" w:line="160"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Estimated</w:t>
            </w:r>
          </w:p>
        </w:tc>
        <w:tc>
          <w:tcPr>
            <w:tcW w:w="240" w:type="dxa"/>
            <w:vAlign w:val="bottom"/>
          </w:tcPr>
          <w:p>
            <w:pPr>
              <w:spacing w:after="0"/>
              <w:rPr>
                <w:sz w:val="13"/>
                <w:szCs w:val="13"/>
                <w:color w:val="auto"/>
              </w:rPr>
            </w:pPr>
          </w:p>
        </w:tc>
        <w:tc>
          <w:tcPr>
            <w:tcW w:w="1160" w:type="dxa"/>
            <w:vAlign w:val="bottom"/>
          </w:tcPr>
          <w:p>
            <w:pPr>
              <w:jc w:val="center"/>
              <w:ind w:right="158"/>
              <w:spacing w:after="0" w:line="160" w:lineRule="exact"/>
              <w:rPr>
                <w:sz w:val="20"/>
                <w:szCs w:val="20"/>
                <w:color w:val="auto"/>
              </w:rPr>
            </w:pPr>
            <w:r>
              <w:rPr>
                <w:rFonts w:ascii="Arial" w:cs="Arial" w:eastAsia="Arial" w:hAnsi="Arial"/>
                <w:sz w:val="14"/>
                <w:szCs w:val="14"/>
                <w:b w:val="1"/>
                <w:bCs w:val="1"/>
                <w:color w:val="auto"/>
                <w:w w:val="88"/>
              </w:rPr>
              <w:t>Gross</w:t>
            </w:r>
          </w:p>
        </w:tc>
      </w:tr>
      <w:tr>
        <w:trPr>
          <w:trHeight w:val="162"/>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left="64"/>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262"/>
              <w:spacing w:after="0"/>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Unrealized</w:t>
            </w:r>
          </w:p>
        </w:tc>
      </w:t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left="44"/>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82"/>
              </w:rPr>
              <w:t>Losses</w:t>
            </w:r>
          </w:p>
        </w:tc>
      </w:tr>
      <w:tr>
        <w:trPr>
          <w:trHeight w:val="39"/>
        </w:trPr>
        <w:tc>
          <w:tcPr>
            <w:tcW w:w="5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34"/>
        </w:trPr>
        <w:tc>
          <w:tcPr>
            <w:tcW w:w="53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bonds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86,273</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evaluated our securities for other-than-temporary impairment, and we did not recognize any other-than-temporary impairment losses for the years ended December 31, 2022, 2021 and 2020.</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Valuations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measured at fair value on a recurring basis are summarized below (in thousands):</w:t>
      </w:r>
    </w:p>
    <w:p>
      <w:pPr>
        <w:spacing w:after="0" w:line="257"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Fair Value Measurements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32385</wp:posOffset>
            </wp:positionV>
            <wp:extent cx="4071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49" w:lineRule="exact"/>
        <w:rPr>
          <w:sz w:val="20"/>
          <w:szCs w:val="20"/>
          <w:color w:val="auto"/>
        </w:rPr>
      </w:pPr>
    </w:p>
    <w:p>
      <w:pPr>
        <w:ind w:left="5360"/>
        <w:spacing w:after="0"/>
        <w:tabs>
          <w:tab w:leader="none" w:pos="7300" w:val="left"/>
          <w:tab w:leader="none" w:pos="8800" w:val="left"/>
          <w:tab w:leader="none" w:pos="1030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32385</wp:posOffset>
            </wp:positionV>
            <wp:extent cx="4071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104,641</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91"/>
              </w:rPr>
              <w:t>(1)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w:t>
            </w: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bonds</w:t>
            </w: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6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520"/>
              <w:spacing w:after="0"/>
              <w:rPr>
                <w:sz w:val="20"/>
                <w:szCs w:val="20"/>
                <w:color w:val="auto"/>
              </w:rPr>
            </w:pPr>
            <w:r>
              <w:rPr>
                <w:rFonts w:ascii="Arial" w:cs="Arial" w:eastAsia="Arial" w:hAnsi="Arial"/>
                <w:sz w:val="18"/>
                <w:szCs w:val="18"/>
                <w:color w:val="auto"/>
              </w:rPr>
              <w:t>Total assets measured at fair value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108,024</w:t>
            </w:r>
          </w:p>
        </w:tc>
        <w:tc>
          <w:tcPr>
            <w:tcW w:w="6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41,621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obligations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6"/>
                <w:szCs w:val="16"/>
                <w:color w:val="auto"/>
              </w:rPr>
              <w:t>(2)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4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 xml:space="preserve">(21,636) </w:t>
            </w:r>
            <w:r>
              <w:rPr>
                <w:rFonts w:ascii="Arial" w:cs="Arial" w:eastAsia="Arial" w:hAnsi="Arial"/>
                <w:sz w:val="16"/>
                <w:szCs w:val="16"/>
                <w:color w:val="auto"/>
              </w:rPr>
              <w:t>(3)</w:t>
            </w:r>
          </w:p>
        </w:tc>
        <w:tc>
          <w:tcPr>
            <w:tcW w:w="4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r>
      <w:tr>
        <w:trPr>
          <w:trHeight w:val="223"/>
        </w:trPr>
        <w:tc>
          <w:tcPr>
            <w:tcW w:w="4820" w:type="dxa"/>
            <w:vAlign w:val="bottom"/>
          </w:tcPr>
          <w:p>
            <w:pPr>
              <w:ind w:left="520"/>
              <w:spacing w:after="0"/>
              <w:rPr>
                <w:sz w:val="20"/>
                <w:szCs w:val="20"/>
                <w:color w:val="auto"/>
              </w:rPr>
            </w:pPr>
            <w:r>
              <w:rPr>
                <w:rFonts w:ascii="Arial" w:cs="Arial" w:eastAsia="Arial" w:hAnsi="Arial"/>
                <w:sz w:val="18"/>
                <w:szCs w:val="18"/>
                <w:color w:val="auto"/>
              </w:rPr>
              <w:t>Total liabilities measured at fair value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(21,655)</w:t>
            </w:r>
          </w:p>
        </w:tc>
        <w:tc>
          <w:tcPr>
            <w:tcW w:w="6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(21,655)</w:t>
            </w:r>
          </w:p>
        </w:tc>
      </w:tr>
      <w:tr>
        <w:trPr>
          <w:trHeight w:val="21"/>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7"/>
          </w:tcPr>
          <w:p>
            <w:pPr>
              <w:ind w:left="60"/>
              <w:spacing w:after="0"/>
              <w:rPr>
                <w:sz w:val="20"/>
                <w:szCs w:val="20"/>
                <w:color w:val="auto"/>
              </w:rPr>
            </w:pPr>
            <w:r>
              <w:rPr>
                <w:rFonts w:ascii="Arial" w:cs="Arial" w:eastAsia="Arial" w:hAnsi="Arial"/>
                <w:sz w:val="14"/>
                <w:szCs w:val="14"/>
                <w:b w:val="1"/>
                <w:bCs w:val="1"/>
                <w:color w:val="auto"/>
              </w:rPr>
              <w:t>Fair Value Measurements at December 31, 2021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6"/>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xml:space="preserve">181,101 </w:t>
            </w:r>
            <w:r>
              <w:rPr>
                <w:rFonts w:ascii="Arial" w:cs="Arial" w:eastAsia="Arial" w:hAnsi="Arial"/>
                <w:sz w:val="16"/>
                <w:szCs w:val="16"/>
                <w:color w:val="auto"/>
              </w:rPr>
              <w:t>(1)</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r>
      <w:tr>
        <w:trPr>
          <w:trHeight w:val="250"/>
        </w:trPr>
        <w:tc>
          <w:tcPr>
            <w:tcW w:w="48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center"/>
              <w:ind w:left="672"/>
              <w:spacing w:after="0"/>
              <w:rPr>
                <w:sz w:val="20"/>
                <w:szCs w:val="20"/>
                <w:color w:val="auto"/>
              </w:rPr>
            </w:pPr>
            <w:r>
              <w:rPr>
                <w:rFonts w:ascii="Arial" w:cs="Arial" w:eastAsia="Arial" w:hAnsi="Arial"/>
                <w:sz w:val="18"/>
                <w:szCs w:val="18"/>
                <w:color w:val="auto"/>
                <w:w w:val="99"/>
              </w:rPr>
              <w:t>—</w:t>
            </w: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129,164</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r>
      <w:tr>
        <w:trPr>
          <w:trHeight w:val="256"/>
        </w:trPr>
        <w:tc>
          <w:tcPr>
            <w:tcW w:w="4820" w:type="dxa"/>
            <w:vAlign w:val="bottom"/>
          </w:tcPr>
          <w:p>
            <w:pPr>
              <w:ind w:left="360"/>
              <w:spacing w:after="0"/>
              <w:rPr>
                <w:sz w:val="20"/>
                <w:szCs w:val="20"/>
                <w:color w:val="auto"/>
              </w:rPr>
            </w:pPr>
            <w:r>
              <w:rPr>
                <w:rFonts w:ascii="Arial" w:cs="Arial" w:eastAsia="Arial" w:hAnsi="Arial"/>
                <w:sz w:val="18"/>
                <w:szCs w:val="18"/>
                <w:color w:val="auto"/>
              </w:rPr>
              <w:t>Foreign bonds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00" w:type="dxa"/>
            <w:vAlign w:val="bottom"/>
          </w:tcPr>
          <w:p>
            <w:pPr>
              <w:jc w:val="center"/>
              <w:ind w:left="672"/>
              <w:spacing w:after="0"/>
              <w:rPr>
                <w:sz w:val="20"/>
                <w:szCs w:val="20"/>
                <w:color w:val="auto"/>
              </w:rPr>
            </w:pPr>
            <w:r>
              <w:rPr>
                <w:rFonts w:ascii="Arial" w:cs="Arial" w:eastAsia="Arial" w:hAnsi="Arial"/>
                <w:sz w:val="18"/>
                <w:szCs w:val="18"/>
                <w:color w:val="auto"/>
                <w:w w:val="99"/>
              </w:rPr>
              <w:t>—</w:t>
            </w:r>
          </w:p>
        </w:tc>
      </w:tr>
      <w:tr>
        <w:trPr>
          <w:trHeight w:val="257"/>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r>
      <w:tr>
        <w:trPr>
          <w:trHeight w:val="250"/>
        </w:trPr>
        <w:tc>
          <w:tcPr>
            <w:tcW w:w="482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bonds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r>
      <w:tr>
        <w:trPr>
          <w:trHeight w:val="223"/>
        </w:trPr>
        <w:tc>
          <w:tcPr>
            <w:tcW w:w="4820" w:type="dxa"/>
            <w:vAlign w:val="bottom"/>
          </w:tcPr>
          <w:p>
            <w:pPr>
              <w:ind w:left="5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317,938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258,844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672"/>
              <w:spacing w:after="0"/>
              <w:rPr>
                <w:sz w:val="20"/>
                <w:szCs w:val="20"/>
                <w:color w:val="auto"/>
              </w:rPr>
            </w:pPr>
            <w:r>
              <w:rPr>
                <w:rFonts w:ascii="Arial" w:cs="Arial" w:eastAsia="Arial" w:hAnsi="Arial"/>
                <w:sz w:val="18"/>
                <w:szCs w:val="18"/>
                <w:color w:val="auto"/>
                <w:w w:val="99"/>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(409) </w:t>
            </w:r>
            <w:r>
              <w:rPr>
                <w:rFonts w:ascii="Arial" w:cs="Arial" w:eastAsia="Arial" w:hAnsi="Arial"/>
                <w:sz w:val="16"/>
                <w:szCs w:val="16"/>
                <w:color w:val="auto"/>
              </w:rPr>
              <w:t>(2)</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2"/>
              <w:spacing w:after="0"/>
              <w:rPr>
                <w:sz w:val="20"/>
                <w:szCs w:val="20"/>
                <w:color w:val="auto"/>
              </w:rPr>
            </w:pPr>
            <w:r>
              <w:rPr>
                <w:rFonts w:ascii="Arial" w:cs="Arial" w:eastAsia="Arial" w:hAnsi="Arial"/>
                <w:sz w:val="18"/>
                <w:szCs w:val="18"/>
                <w:color w:val="auto"/>
                <w:w w:val="93"/>
              </w:rPr>
              <w:t>(21)</w:t>
            </w:r>
          </w:p>
        </w:tc>
      </w:tr>
      <w:tr>
        <w:trPr>
          <w:trHeight w:val="21"/>
        </w:trPr>
        <w:tc>
          <w:tcPr>
            <w:tcW w:w="4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21" w:lineRule="exact"/>
        <w:rPr>
          <w:sz w:val="20"/>
          <w:szCs w:val="20"/>
          <w:color w:val="auto"/>
        </w:rPr>
      </w:pPr>
    </w:p>
    <w:p>
      <w:pPr>
        <w:ind w:left="560" w:right="40" w:hanging="534"/>
        <w:spacing w:after="0" w:line="269" w:lineRule="auto"/>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Amounts shown as a Level 2 measurement include government-sponsored securities of $32.0 million and $75.0 million, corporate debt securities of $8.8 million and $54.2 million, and no commercial paper and $0.5 million of commercial paper, with original maturities of less than 90 days, as of December 31, 2022 and 2021, respectively.</w:t>
      </w:r>
    </w:p>
    <w:p>
      <w:pPr>
        <w:ind w:left="20"/>
        <w:spacing w:after="0" w:line="191" w:lineRule="auto"/>
        <w:rPr>
          <w:sz w:val="20"/>
          <w:szCs w:val="20"/>
          <w:color w:val="auto"/>
        </w:rPr>
      </w:pPr>
      <w:r>
        <w:rPr>
          <w:rFonts w:ascii="Arial" w:cs="Arial" w:eastAsia="Arial" w:hAnsi="Arial"/>
          <w:sz w:val="15"/>
          <w:szCs w:val="15"/>
          <w:color w:val="auto"/>
        </w:rPr>
        <w:t>(2)</w:t>
      </w:r>
    </w:p>
    <w:p>
      <w:pPr>
        <w:spacing w:after="0" w:line="1" w:lineRule="exact"/>
        <w:rPr>
          <w:sz w:val="20"/>
          <w:szCs w:val="20"/>
          <w:color w:val="auto"/>
        </w:rPr>
      </w:pPr>
    </w:p>
    <w:p>
      <w:pPr>
        <w:ind w:left="560" w:right="520"/>
        <w:spacing w:after="0" w:line="284" w:lineRule="auto"/>
        <w:rPr>
          <w:sz w:val="20"/>
          <w:szCs w:val="20"/>
          <w:color w:val="auto"/>
        </w:rPr>
      </w:pPr>
      <w:r>
        <w:rPr>
          <w:rFonts w:ascii="Arial" w:cs="Arial" w:eastAsia="Arial" w:hAnsi="Arial"/>
          <w:sz w:val="14"/>
          <w:szCs w:val="14"/>
          <w:color w:val="auto"/>
        </w:rPr>
        <w:t>Contingent consideration is recorded at estimated fair value and revalued each reporting period until the related contingency is resolved. The fair value measurement is based on inputs that are unobservable and significant to the overall fair value measurement (i.e., a Level 3 measurement within the fair value</w:t>
      </w:r>
    </w:p>
    <w:p>
      <w:pPr>
        <w:ind w:left="560" w:right="840"/>
        <w:spacing w:after="0" w:line="270" w:lineRule="auto"/>
        <w:rPr>
          <w:sz w:val="20"/>
          <w:szCs w:val="20"/>
          <w:color w:val="auto"/>
        </w:rPr>
      </w:pPr>
      <w:r>
        <w:rPr>
          <w:rFonts w:ascii="Arial" w:cs="Arial" w:eastAsia="Arial" w:hAnsi="Arial"/>
          <w:sz w:val="16"/>
          <w:szCs w:val="16"/>
          <w:color w:val="auto"/>
        </w:rPr>
        <w:t xml:space="preserve">hierarchy) and are reviewed periodically by management.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Contingencies—Contingent Consideration Related to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for further information.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contingent consideration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5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40"/>
        </w:trPr>
        <w:tc>
          <w:tcPr>
            <w:tcW w:w="6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year</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5"/>
              </w:rPr>
              <w:t>(972)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Consideration paid</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654"/>
              <w:spacing w:after="0"/>
              <w:rPr>
                <w:sz w:val="20"/>
                <w:szCs w:val="20"/>
                <w:color w:val="auto"/>
              </w:rPr>
            </w:pPr>
            <w:r>
              <w:rPr>
                <w:rFonts w:ascii="Arial" w:cs="Arial" w:eastAsia="Arial" w:hAnsi="Arial"/>
                <w:sz w:val="18"/>
                <w:szCs w:val="18"/>
                <w:color w:val="auto"/>
                <w:w w:val="86"/>
              </w:rPr>
              <w:t>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fair value</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86"/>
              </w:rPr>
              <w:t>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Fair value, end of year</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color w:val="auto"/>
                <w:w w:val="95"/>
              </w:rPr>
              <w:t>(409)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0"/>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w:t>
      </w:r>
    </w:p>
    <w:p>
      <w:pPr>
        <w:ind w:left="560" w:right="220"/>
        <w:spacing w:after="0" w:line="256" w:lineRule="auto"/>
        <w:rPr>
          <w:sz w:val="20"/>
          <w:szCs w:val="20"/>
          <w:color w:val="auto"/>
        </w:rPr>
      </w:pPr>
      <w:r>
        <w:rPr>
          <w:rFonts w:ascii="Arial" w:cs="Arial" w:eastAsia="Arial" w:hAnsi="Arial"/>
          <w:sz w:val="16"/>
          <w:szCs w:val="16"/>
          <w:color w:val="auto"/>
        </w:rPr>
        <w:t xml:space="preserve">On December 12, 2022, we issued a total of 9,090,909 warrants for a period of two years with an exercise price of $6.60 per share in connection with a registered direct offering of common stock.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w:t>
      </w:r>
      <w:r>
        <w:rPr>
          <w:rFonts w:ascii="Arial" w:cs="Arial" w:eastAsia="Arial" w:hAnsi="Arial"/>
          <w:sz w:val="16"/>
          <w:szCs w:val="16"/>
          <w:i w:val="1"/>
          <w:iCs w:val="1"/>
          <w:color w:val="auto"/>
        </w:rPr>
        <w:t>Warrant Liability</w:t>
      </w:r>
      <w:r>
        <w:rPr>
          <w:rFonts w:ascii="Arial" w:cs="Arial" w:eastAsia="Arial" w:hAnsi="Arial"/>
          <w:sz w:val="16"/>
          <w:szCs w:val="16"/>
          <w:color w:val="auto"/>
        </w:rPr>
        <w:t>, for further information. The warrants were classified as a liability at its fair value upon the issuance. As of December 31, 2022, all warrants were outstanding. We utilized the Black-Scholes option pricing model to value warrants with the following assumptions: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80" w:type="dxa"/>
            <w:vAlign w:val="bottom"/>
          </w:tcPr>
          <w:p>
            <w:pPr>
              <w:jc w:val="right"/>
              <w:ind w:right="599"/>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37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80" w:type="dxa"/>
            <w:vAlign w:val="bottom"/>
          </w:tcPr>
          <w:p>
            <w:pPr>
              <w:jc w:val="right"/>
              <w:ind w:right="379"/>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34"/>
        </w:trPr>
        <w:tc>
          <w:tcPr>
            <w:tcW w:w="3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5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years</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Expected average volatility</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99.4 %</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917"/>
        </w:trPr>
        <w:tc>
          <w:tcPr>
            <w:tcW w:w="3740" w:type="dxa"/>
            <w:vAlign w:val="bottom"/>
          </w:tcPr>
          <w:p>
            <w:pPr>
              <w:spacing w:after="0"/>
              <w:rPr>
                <w:sz w:val="24"/>
                <w:szCs w:val="24"/>
                <w:color w:val="auto"/>
              </w:rPr>
            </w:pPr>
          </w:p>
        </w:tc>
        <w:tc>
          <w:tcPr>
            <w:tcW w:w="5420" w:type="dxa"/>
            <w:vAlign w:val="bottom"/>
          </w:tcPr>
          <w:p>
            <w:pPr>
              <w:jc w:val="right"/>
              <w:ind w:right="3310"/>
              <w:spacing w:after="0"/>
              <w:rPr>
                <w:sz w:val="20"/>
                <w:szCs w:val="20"/>
                <w:color w:val="auto"/>
              </w:rPr>
            </w:pPr>
            <w:r>
              <w:rPr>
                <w:rFonts w:ascii="Arial" w:cs="Arial" w:eastAsia="Arial" w:hAnsi="Arial"/>
                <w:sz w:val="18"/>
                <w:szCs w:val="18"/>
                <w:color w:val="auto"/>
              </w:rPr>
              <w:t>176</w:t>
            </w:r>
          </w:p>
        </w:tc>
        <w:tc>
          <w:tcPr>
            <w:tcW w:w="2080" w:type="dxa"/>
            <w:vAlign w:val="bottom"/>
          </w:tcPr>
          <w:p>
            <w:pPr>
              <w:spacing w:after="0"/>
              <w:rPr>
                <w:sz w:val="24"/>
                <w:szCs w:val="24"/>
                <w:color w:val="auto"/>
              </w:rPr>
            </w:pPr>
          </w:p>
        </w:tc>
      </w:tr>
      <w:tr>
        <w:trPr>
          <w:trHeight w:val="102"/>
        </w:trPr>
        <w:tc>
          <w:tcPr>
            <w:tcW w:w="3740" w:type="dxa"/>
            <w:vAlign w:val="bottom"/>
            <w:tcBorders>
              <w:bottom w:val="single" w:sz="8" w:color="9A9A9A"/>
            </w:tcBorders>
          </w:tcPr>
          <w:p>
            <w:pPr>
              <w:spacing w:after="0"/>
              <w:rPr>
                <w:sz w:val="8"/>
                <w:szCs w:val="8"/>
                <w:color w:val="auto"/>
              </w:rPr>
            </w:pPr>
          </w:p>
        </w:tc>
        <w:tc>
          <w:tcPr>
            <w:tcW w:w="54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warrant liability in connection with the issuance of equity instrument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Year Ended</w:t>
            </w:r>
          </w:p>
        </w:tc>
      </w:tr>
      <w:tr>
        <w:trPr>
          <w:trHeight w:val="203"/>
        </w:trPr>
        <w:tc>
          <w:tcPr>
            <w:tcW w:w="9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December 31, 2022</w:t>
            </w:r>
          </w:p>
        </w:tc>
      </w:tr>
      <w:tr>
        <w:trPr>
          <w:trHeight w:val="26"/>
        </w:trPr>
        <w:tc>
          <w:tcPr>
            <w:tcW w:w="9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4"/>
        </w:trPr>
        <w:tc>
          <w:tcPr>
            <w:tcW w:w="9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issuance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center"/>
              <w:ind w:left="977"/>
              <w:spacing w:after="0"/>
              <w:rPr>
                <w:sz w:val="20"/>
                <w:szCs w:val="20"/>
                <w:color w:val="auto"/>
              </w:rPr>
            </w:pPr>
            <w:r>
              <w:rPr>
                <w:rFonts w:ascii="Arial" w:cs="Arial" w:eastAsia="Arial" w:hAnsi="Arial"/>
                <w:sz w:val="18"/>
                <w:szCs w:val="18"/>
                <w:color w:val="auto"/>
                <w:w w:val="87"/>
              </w:rPr>
              <w:t>35,096</w:t>
            </w:r>
          </w:p>
        </w:tc>
      </w:tr>
      <w:tr>
        <w:trPr>
          <w:trHeight w:val="230"/>
        </w:trPr>
        <w:tc>
          <w:tcPr>
            <w:tcW w:w="9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decrease in fair value</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957"/>
              <w:spacing w:after="0"/>
              <w:rPr>
                <w:sz w:val="20"/>
                <w:szCs w:val="20"/>
                <w:color w:val="auto"/>
              </w:rPr>
            </w:pPr>
            <w:r>
              <w:rPr>
                <w:rFonts w:ascii="Arial" w:cs="Arial" w:eastAsia="Arial" w:hAnsi="Arial"/>
                <w:sz w:val="18"/>
                <w:szCs w:val="18"/>
                <w:color w:val="auto"/>
                <w:w w:val="92"/>
              </w:rPr>
              <w:t>(13,460)</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center"/>
              <w:ind w:left="977"/>
              <w:spacing w:after="0"/>
              <w:rPr>
                <w:sz w:val="20"/>
                <w:szCs w:val="20"/>
                <w:color w:val="auto"/>
              </w:rPr>
            </w:pPr>
            <w:r>
              <w:rPr>
                <w:rFonts w:ascii="Arial" w:cs="Arial" w:eastAsia="Arial" w:hAnsi="Arial"/>
                <w:sz w:val="18"/>
                <w:szCs w:val="18"/>
                <w:color w:val="auto"/>
                <w:w w:val="87"/>
              </w:rPr>
              <w:t>21,636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Valuations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Non-financial assets and liabilities are recognized at fair value subsequent to initial recognition when they are deemed to be other-than-temporarily impaired. There were no material non-financial assets and liabilities deemed to be other-than-temporarily impaired and measured at fair value on a non-recurring basis for the years ended December 31, 2022, 2021 and 2020.</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 xml:space="preserve">We measured the fair value of the fixed-rate promissory notes and variable-rate promissory notes before and after amendments that were entered on August 31, 2022, as they were accounted for under the debt extinguishment accounting model. We used the discounted cash flow analyses for promissory notes without a holder conversion option and used a binomial lattice convertible note model for the fixed-rate promissory notes with a holder conversion option. Since certain of the factors analyzed are considered to be unobservable inputs, both the discounted cash flow model and the lattice model are considered to be a Level 3 valuation. See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Related-Party Debt,</w:t>
      </w:r>
      <w:r>
        <w:rPr>
          <w:rFonts w:ascii="Arial" w:cs="Arial" w:eastAsia="Arial" w:hAnsi="Arial"/>
          <w:sz w:val="17"/>
          <w:szCs w:val="17"/>
          <w:color w:val="auto"/>
        </w:rPr>
        <w:t xml:space="preserve"> for additional information.</w:t>
      </w:r>
    </w:p>
    <w:p>
      <w:pPr>
        <w:spacing w:after="0" w:line="2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Collaboration and License Agreements and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Cancer Institute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NCI CRADA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2015, Etubics Corporation (Etubics) entered into a Cooperative Research and Development Agreement (CRADA) with the</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U.S. Department of Health and Human Services (HHS) as represented by the National Cancer Institute (NCI) of the National Institutes of Health (NIH) to collaborate on the preclinical and clinical development of an adenovirus technology expressing tumor-associated antigens (TAAs) for cancer immunotherapy. In January 2016, we acquired all of the outstanding equity interests in Etubics and Etubics became a wholly-owned subsidiary.</w:t>
      </w:r>
    </w:p>
    <w:p>
      <w:pPr>
        <w:spacing w:after="0" w:line="15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Effective January 2018, our subsidiary NantCell assumed the CRADA and it was amended to cover a collaboration for the preclinical and clinical development of our proprietary yeast-based Tarmogens expressing TAAs and proprietary adenovirus technology expressing TAAs for cancer immunotherapy. Pursuant to the CRADA, the NCI provides scientific staff and other support necessary to conduct research and related activities as described in the CRADA. During the term of the CRADA, we were required to make annual payments of $0.6 million to the NCI for support of research activities.</w:t>
      </w:r>
    </w:p>
    <w:p>
      <w:pPr>
        <w:spacing w:after="0" w:line="188" w:lineRule="exact"/>
        <w:rPr>
          <w:sz w:val="20"/>
          <w:szCs w:val="20"/>
          <w:color w:val="auto"/>
        </w:rPr>
      </w:pPr>
    </w:p>
    <w:p>
      <w:pPr>
        <w:jc w:val="both"/>
        <w:ind w:right="280" w:firstLine="648"/>
        <w:spacing w:after="0" w:line="291" w:lineRule="auto"/>
        <w:rPr>
          <w:sz w:val="20"/>
          <w:szCs w:val="20"/>
          <w:color w:val="auto"/>
        </w:rPr>
      </w:pPr>
      <w:r>
        <w:rPr>
          <w:rFonts w:ascii="Arial" w:cs="Arial" w:eastAsia="Arial" w:hAnsi="Arial"/>
          <w:sz w:val="16"/>
          <w:szCs w:val="16"/>
          <w:color w:val="auto"/>
        </w:rPr>
        <w:t>In November 2021, NantCell entered into a third amendment to the CRADA, which was effective as of March 16, 2021. The principal changes effected by the third amendment are the following: (i) assignment of the CRADA from NantCell to ImmunityBio; (ii) modification of the research plan;</w:t>
      </w:r>
    </w:p>
    <w:p>
      <w:pPr>
        <w:ind w:right="800" w:firstLine="8"/>
        <w:spacing w:after="0" w:line="260" w:lineRule="auto"/>
        <w:tabs>
          <w:tab w:leader="none" w:pos="3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extension of the CRADA term through May 2026; and (iv) an increase in funding for a total of $1.3 million per year, payable in semi-annual installments from 2022 through 2025.</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We recorded R&amp;D expense of $1.2 million, $1.1 million and $0.6 million in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xml:space="preserve"> on the consolidated statements of operations for the year ended December 31, 2022, 2021 and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Pursuant to the updated CRADA research plan, NCI and ImmunityBio will collaborate on the preclinical and clinical development of ImmunityBio’s proprietary adenovirus platform expressing TAAs; proprietary yeast platform expressing TAAs; proprietary agent N-803 and derivatives, agent N-809 and derivatives, and/or TxM product candidates; proprietary recombinant NK cells and mAbs; proprietary RNA vaccines and adjuvants; and other proprietary agents owned or controlled by ImmunityBio as contemplated in the research plan, for cancer immunotherapy.</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Under any of the CRADAs, any party may unilaterally terminate the agreement by providing timely advance written notice to the other party before the desired termination date.</w:t>
      </w:r>
    </w:p>
    <w:p>
      <w:pPr>
        <w:spacing w:after="0" w:line="17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Pursuant to the terms of the CRADAs, we have an option to elect to negotiate an exclusive or non-exclusive commercialization license to any inventions discovered in the performance of any of the CRADAs. The parties jointly own any inventions and materials that are jointly produced by employees of both parties in the course of performing activities under the CRADAs.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Amyris Joint Venture</w:t>
      </w:r>
    </w:p>
    <w:p>
      <w:pPr>
        <w:spacing w:after="0" w:line="11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December 2021, ImmunityBio and Amyris, Inc. (Amyris) entered into a 50:50 joint venture arrangement and formed a new limited liability company to conduct the business of the joint venture. The purpose of the joint venture is to accelerate commercialization of a next-generation COVID-19 vaccine utilizing an RNA vaccine-platform license. As part of the limited liability agreement, Amyris contributed $1.0 million in cash and rights to its license agreement with AAHI for an RNA platform for the field of COVID-19. ImmunityBio contributed $1.0 million in cash and priority access to our manufacturing capacity for the joint venture product. Both parties agreed to enter into a separate manufacturing and supply agreement and a sublicense agreement following the execution of the joint venture agreement.</w:t>
      </w:r>
    </w:p>
    <w:p>
      <w:pPr>
        <w:spacing w:after="0" w:line="192"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The joint venture agreement stipulates the initial terms for equal representation in the management of the newly-formed joint venture. The joint venture is managed by a board of directors consisting of four directors: two appointed by the company and two appointed by Amyris. Both parties agreed to make additional capital contributions in cash, in proportion to their respective interests, as determined by the board of directors of the joint venture.</w:t>
      </w:r>
    </w:p>
    <w:p>
      <w:pPr>
        <w:spacing w:after="0" w:line="14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We considered the joint venture entity as a VIE and determined that we are not the primary beneficiary of the VIE. In February 2022, we made a cash investment totaling $1.0 million in the joint venture’s common stock. We account for our investment in the joint venture using the equity method of accounting, and recorded our 50% share of the net loss from the joint venture totaling $12.1 million and $0.8 million in </w:t>
      </w:r>
      <w:r>
        <w:rPr>
          <w:rFonts w:ascii="Arial" w:cs="Arial" w:eastAsia="Arial" w:hAnsi="Arial"/>
          <w:sz w:val="17"/>
          <w:szCs w:val="17"/>
          <w:i w:val="1"/>
          <w:iCs w:val="1"/>
          <w:color w:val="auto"/>
        </w:rPr>
        <w:t>other expense, net</w:t>
      </w:r>
      <w:r>
        <w:rPr>
          <w:rFonts w:ascii="Arial" w:cs="Arial" w:eastAsia="Arial" w:hAnsi="Arial"/>
          <w:sz w:val="17"/>
          <w:szCs w:val="17"/>
          <w:color w:val="auto"/>
        </w:rPr>
        <w:t>, on the consolidated statements of operations for the years ended December 31, 2022 and 2021, respectively. Such losses include $11.9 million of expenses incurred by us on behalf of the joint venture during the year ended December 31, 2022. We are not obligated to fund the joint venture’s potential future losses, and therefore will not record additional equity method losses that would result in our equity investment in the joint venture to be reduced to below zero. As of December 31, 2022, the carrying amount of our equity investment in the joint venture was zero.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Innovative Properties Company (3M IPC) and the Access to Advanced Health Institute (AAHI) License Agreement</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licensed rights to 3M-052, a synthetic TLR7/8 agonist, 3M-052 formulations and related technology from 3M IPC and its affiliates and AAHI. In November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low- and middle-income countries (LMIC), and (2) oncology applications, when used in combination with our proprietary technology and/or IL-15 agonists. In consideration for the license, we agreed to make certain periodic license payments, including $2.25 million each year through June 2025, with the June 2022 payment being partially offset by the $0.5 million previously paid under the initial November 2021 license agreement.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In June 2022, we made a payment of $1.75 million for the annual license maintenance fee. We expensed $1.0 million and $0.5 million in </w:t>
      </w:r>
      <w:r>
        <w:rPr>
          <w:rFonts w:ascii="Arial" w:cs="Arial" w:eastAsia="Arial" w:hAnsi="Arial"/>
          <w:sz w:val="17"/>
          <w:szCs w:val="17"/>
          <w:i w:val="1"/>
          <w:iCs w:val="1"/>
          <w:color w:val="auto"/>
        </w:rPr>
        <w:t>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and development expense</w:t>
      </w:r>
      <w:r>
        <w:rPr>
          <w:rFonts w:ascii="Arial" w:cs="Arial" w:eastAsia="Arial" w:hAnsi="Arial"/>
          <w:sz w:val="17"/>
          <w:szCs w:val="17"/>
          <w:color w:val="auto"/>
        </w:rPr>
        <w:t>, on the consolidated statements of operations, for the years ended December 31, 2022 and 2021,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AAHI License Agreements</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May 2021, we entered into two license agreements with AAHI pursuant to which we received a license to certain patents and know-how relating to AAHI’s (i) adjuvant formulations for the treatment, prevention and/or diagnosis of SARS-CoV-2 (the AAHI Adjuvant Formulation License Agreement) and (ii) RNA vaccine platform as further described below (the AAHI RNA License Agreement). Under both agreements, we were obligated to pay one-time, non-creditable, non-refundable upfront cash payments totaling $2.0 million. In addition, under the AAHI Adjuvant Formulation License Agreement we owe milestone payments to a total of up to $2.5 million based on the achievement of certain development and regulatory milestones for the first licensed product and royalties on annual net sales of licensed products on a country-by-country and product-by-product basis of a low-single digit percentage, subject to certain royalty-reduction provisions. No milestone fees were incurred for the year ended December 31, 2022.</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In September 2021, we amended and restated the AAHI RNA License Agreement, pursuant to which AAHI granted us an exclusive, worldwide, sublicensable license to AAHI’s rights to an RNA vaccine platform for the development and commercialization of certain therapeutic, diagnostic or prophylactic products for the prevention, treatment or diagnosis of any indication, other than those subject to pre-existing third-party license grants, including, without limitation, SARS-CoV-2. Pursuant to the terms of the amended and restated AAHI RNA License Agreement, we made an additional one-time, non-creditable, non-refundable, upfront payment to AAHI of $1.5 million. The company is also required to pay license maintenance fees to AAHI as follows: $3.0 million in 2022 and $5.5 million annually from 2023 through 2030. The company may terminate the restated agreement without cause by paying AAHI a $10.0 million one-time early termination fee. In addition, the milestone payments to AAHI based on the achievement of certain development and regulatory milestones for the first licensed product were amended to a total of up to $4.0 million. We are required to pay royalties on annual net sales of licensed products on a country-by-country and product-by-product basis of a low to mid-single digit percentage. In June 2022, we made a payment of $3.0 million for the annual license maintenance fee. We recorded $1.8 million and $1.5 million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on the consolidated statements of operations during the years ended December 31, 2022 and 2021, respectively.</w:t>
      </w:r>
    </w:p>
    <w:p>
      <w:pPr>
        <w:spacing w:after="0" w:line="17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connection with the license agreements, in May 2021 we also entered into a sponsored research agreement with the AAHI pursuant to which we will fund continued research of at least $2.0 million per year, payable in four equal quarterly installments each year until May 2024, or such year of earlier termination.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Viracta License Agreement</w:t>
      </w:r>
    </w:p>
    <w:p>
      <w:pPr>
        <w:spacing w:after="0" w:line="11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2017, we entered into an agreement with Viracta under which we were granted exclusive worldwide rights to Viracta’s Phase 2 drug candidate, VRx-3996 (nanatinostat), for use in combination with our platform of NK cell therapies. In consideration for the license, we are obligated to pay Viracta mid-single digit percentage royalties on net sales of licensed products for therapeutic use and milestone payments ranging from $10.0 million to</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$25.0 million up to an aggregate maximum of $100.0 million for various regulatory approvals and cumulative net sales levels. We may terminate the agreement, at our sole discretion, in whole or on a product by product and/or country by country basis, at any time upon 90 days’ prior written notice. In addition, either party may terminate the agreement in the event of a material breach or for bankruptcy of the other party. To date, we have not had incurred any royalty or milestone payment obligations under this agreement, including during the years ended December 31, 2022, 2021 and 2020.</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Dunkirk Facility Leasehold Interest</w:t>
      </w:r>
    </w:p>
    <w:p>
      <w:pPr>
        <w:spacing w:after="0" w:line="117" w:lineRule="exact"/>
        <w:rPr>
          <w:sz w:val="20"/>
          <w:szCs w:val="20"/>
          <w:color w:val="auto"/>
        </w:rPr>
      </w:pPr>
    </w:p>
    <w:p>
      <w:pPr>
        <w:ind w:right="340" w:firstLine="648"/>
        <w:spacing w:after="0" w:line="283" w:lineRule="auto"/>
        <w:rPr>
          <w:sz w:val="20"/>
          <w:szCs w:val="20"/>
          <w:color w:val="auto"/>
        </w:rPr>
      </w:pPr>
      <w:r>
        <w:rPr>
          <w:rFonts w:ascii="Arial" w:cs="Arial" w:eastAsia="Arial" w:hAnsi="Arial"/>
          <w:sz w:val="16"/>
          <w:szCs w:val="16"/>
          <w:color w:val="auto"/>
        </w:rPr>
        <w:t>On February 14, 2022, we completed the acquisition of a leasehold interest in approximately 409,000 rentable square feet of current Good Manufacturing Practice (cGMP) ISO Class 5 pharmaceutical manufacturing space in western New York (the Dunkirk Facility) from Athenex, Inc. (the Seller). We believe this facility will provide us with a state-of-the-art biotech production center that will substantially expand and diversify our existing manufacturing capacity in the U.S. and the ability to scale production across all of our key platforms. The company accounted for the transaction as an asset acquisition because the Dunkirk Facility’s integrated set of assets and activities does not meet the definition of a business.</w:t>
      </w:r>
    </w:p>
    <w:p>
      <w:pPr>
        <w:spacing w:after="0" w:line="15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total consideration for the acquisition was approximately $40.5 million, including a cash payment of $40.0 million, and transaction costs of approximately $0.5 million. The following table summarizes the fair value of assets acquired as of the acquisition date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6,253</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Definite-lived intangible assets </w:t>
            </w:r>
            <w:r>
              <w:rPr>
                <w:rFonts w:ascii="Arial" w:cs="Arial" w:eastAsia="Arial" w:hAnsi="Arial"/>
                <w:sz w:val="16"/>
                <w:szCs w:val="16"/>
                <w:color w:val="auto"/>
              </w:rPr>
              <w:t>(1)</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depreciable assets and prepaid expenses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consideration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Definite-lived intangible assets consist of favorable leasehold rights totaling $20.4 million and organized workforce totaling $0.8 million as of the acquisition date.</w:t>
      </w:r>
    </w:p>
    <w:p>
      <w:pPr>
        <w:spacing w:after="0" w:line="230" w:lineRule="exact"/>
        <w:rPr>
          <w:sz w:val="20"/>
          <w:szCs w:val="20"/>
          <w:color w:val="auto"/>
        </w:rPr>
      </w:pPr>
    </w:p>
    <w:p>
      <w:pPr>
        <w:ind w:right="140" w:firstLine="648"/>
        <w:spacing w:after="0" w:line="274" w:lineRule="auto"/>
        <w:rPr>
          <w:sz w:val="20"/>
          <w:szCs w:val="20"/>
          <w:color w:val="auto"/>
        </w:rPr>
      </w:pPr>
      <w:r>
        <w:rPr>
          <w:rFonts w:ascii="Arial" w:cs="Arial" w:eastAsia="Arial" w:hAnsi="Arial"/>
          <w:sz w:val="16"/>
          <w:szCs w:val="16"/>
          <w:color w:val="auto"/>
        </w:rPr>
        <w:t>Upon the closing of the Dunkirk transaction, the company became the tenant of the Dunkirk Facility under the Fort Schuyler Management Corporation Lease, dated October 1, 2021 and as amended as of the February 14, 2022 closing date (as amended, the Dunkirk Lease), with Fort Schuyler Management Corporation, a not-for-profit corporation affiliated with the State of New York (FSMC) as landlord. The Dunkirk Facility, as well as certain equipment, is owned by FSMC and is leased to us under the Dunkirk Lease. Our annual lease payment will be $2.00 per year for an initial 10-year term, with an option to renew the lease under substantially the same terms and conditions for an additional 10-year term. As part of the transaction, we assumed certain of the Seller’s obligations under various third-party agreements (the Facility Agreements), subject to the terms and conditions of the purchase agreement by and between the company and Seller dated as of January 7, 2022, and committed to spend an aggregate of $1.52 billion on operational expenses during the initial term, and an additional $1.50 billion on operational expenses if we elect to renew the lease for the additional 10-year term. We also committed to hiring 450 employees at the Dunkirk Facility within the first 5 years of operations, with 300 such employees to be hired within the first 2.5 years of operation. We are eligible for certain sales-tax exemption savings during the development of the Dunkirk Facility, and certain property tax savings over the next 20 years, subject to certain terms and conditions, including performance of certain of the obligations described above. Failure to satisfy the obligations over the lease term may give rise to certain rights and remedies of governmental authorities including, for example, termination of the Dunkirk Lease and other Facility Agreements and potential recoupment of a percentage of the grant funding received by the Seller for construction of the facility and other benefits received, subject to the terms and conditions of the applicable agreements.</w:t>
      </w:r>
    </w:p>
    <w:p>
      <w:pPr>
        <w:spacing w:after="0" w:line="164"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In connection with the ongoing partnership with the State of New York (the State) to construct the Dunkirk Facility, we received funds from the State as reimbursement for certain expenses incurred related to such construction totaling $1.1 million for the year ended December 31, 2022. Although we believe that governmental funding will assist in funding a portion of the further build-out of the Dunkirk Facility, which we estimate to be approximately $8.0 million to $10.0 million of governmental funding remaining available as of December 31, 2022, there can be no assurance as to the final acceptance and timing of the requests for governmental funding that we submit, and we will need to plan and fund most of the additional build-out of, and purchase additional equipment for, the Dunkirk Facility in connection with our planned full operations. In addition, any future governmental funding will be subject to the eligibility of submitted expenses, as well as our compliance with the obligations that we are subject to pursuant to the agreements with parties regarding the Dunkirk Facility as described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Dunkirk Facility Workforce Reduction</w:t>
      </w:r>
    </w:p>
    <w:p>
      <w:pPr>
        <w:spacing w:after="0" w:line="117"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 xml:space="preserve">In September 2022, the company initiated a workforce reduction at the Dunkirk Facility as a result of upcoming construction at the project, which we believe may take approximately 12 to 18 months. In connection with the workforce reduction, we recorded severance and retention benefits for the terminated employees totaling $1.0 million during the year ended December 31, 2022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on the consolidated statement of operations. The terminated employees were not required to render service through their termination date in December 2022 to receive these benefits.</w:t>
      </w:r>
    </w:p>
    <w:p>
      <w:pPr>
        <w:spacing w:after="0" w:line="3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Related to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VivaBioCell, S.p.A.</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April 2015, NantWorks, LLC (NantWorks), a related party, acquired a 100% interest in VivaBioCell, S.p.A. (VivaBioCell) through its wholly-owned subsidiary, VBC Holdings, LLC, (VBC Holdings) for $0.7 million, less working capital adjustments. In June 2015, NantWorks contributed its equity interest in VBC Holdings to the company, in exchange for cash consideration equal to its cost basis in the investment. VivaBioCell develops bioreactors and products based on cell culture and tissue engineering in Italy.</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our acquisition of VBC, we are obligated to pay the former owners contingent consideration upon the achievement of certain milestones related to the GMP-in-a-Box technology. A clinical milestone totaling $0.8 million was earned by the former owners of VivaBioCell, of which $0.4 million was paid during the year ended December 31, 2021. The remaining $0.3 million, net of foreign exchange adjustment, was paid during the year ended December 31, 2022. If a government agency unconditionally approves the GMP-in-a-Box technology for commercial sale (the regulatory milestone) in the future, we will be obligated to pay an additional approximately $2.1 million to the former owners.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 BioScience Corporation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our 2017 acquisition of Altor, we issued CVRs under which we agreed to pay the prior stockholders of Altor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$304.0 million of contingent consideration upon the successful regulatory approval of a BLA by the FDA, or foreign equivalent, for N-803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approximately $304.0 million of contingent consideration upon calendar-year worldwide net sales of N-803 exceeding $1.0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December 31, 2026, with amounts payable in cash or shares of our common stock or a combination thereof. As the transaction was recorded 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acquisition, future CVR payments will be recorded when the corresponding events are probable of achievement or the consideration becomes payable.</w:t>
      </w:r>
    </w:p>
    <w:p>
      <w:pPr>
        <w:spacing w:after="0" w:line="23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 respect to the regulatory milestone CVR agreement, in May 2022 we announced the submission of a BLA to the FDA for our product candidate, Anktiva (N-803) in combination with BCG for the treatment of patients with BCG-unresponsive NMIBC with CIS with or without Ta or T1 disease. In July 2022 we announced that the FDA had accepted our BLA for review and set a target PDUFA action date of May 23, 2023. It is unclear if the FDA will approve our BLA, if at all. The FDA did not approve our BLA on or before December 31, 2022, and therefore the regulatory milestone was not met, and the regulatory milestone CVR agreement terminated in accordance with its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net sales milestone CVR agreement, as of December 31, 2022, Dr. Soon-Shiong and his related party hold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$139.8 million of net sales CVRs and they have both irrevocably agreed to receive shares of the company’s common stock in satisfaction of their CVRs.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may be required to pay the other prior Altor stockholders up to $164.2 million for their net sales CVRs should they choose to have their CVRs paid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instead of common stock.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 BioScience, LLC Litigation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2017, NantCell announced it had entered into a definitive merger agreement to acquire Altor BioScience Corporation. An action captioned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Gray v. Soon-Shiong, et al. </w:t>
      </w:r>
      <w:r>
        <w:rPr>
          <w:rFonts w:ascii="Arial" w:cs="Arial" w:eastAsia="Arial" w:hAnsi="Arial"/>
          <w:sz w:val="17"/>
          <w:szCs w:val="17"/>
          <w:color w:val="auto"/>
        </w:rPr>
        <w:t>was filed in Delaware Chancery Court by plaintiffs Clayland Boyden Gray (Gray) and Adam R. Waldman. The plaintiffs,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minority stockholders, asserted claims against the company and other defendants for (1) breach of fiduciary duty and (2) aiding and abetting breach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fiduciary duty and filed a motion to enjoin the merger. The court denied the motion and permitted the merger to close.</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Subsequent to the close of the merger, in 2017 the plaintiffs (joined by two additional minority stockholders, Barbara Sturm Waldman and Douglas E. Henderson (Henderson)) filed a second amended complaint, including appraisal claims, and which the defendants subsequently moved to dismiss. In a second action, Dyad Pharmaceutical Corporation (Dyad) filed a petition in Delaware Chancery Court for appraisal in connection with the merger. The defendants moved to dismiss the appraisal petition in 2018. The court issued an oral ruling in 2019 that dismissed certain claims and dismissed Altor BioScience from the action. The following claims remained: (a) the appraisal claims by all plaintiffs and Dyad (against Altor BioScience, LLC), and (b) Henderson’s claims for breach of fiduciary duty and aiding and abetting breach of fiduciary duty.</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2019, the court issued a written order implementing its ruling on the defendants’ motions (the Implementing Order). In the Implementing Order, the court confirmed that all fiduciary duty claims brought by Gray, both individually and as trustee of the Gordon Gray Trust f/b/o C. Boyden Gray, were dismissed. The plaintiffs then moved for leave to file a third amended complaint to add two former Altor stockholders as plaintiffs and a fiduciary duty claim on behalf of a purported class of former Altor stockholders, which the defendants opposed.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2020, the court granted the plaintiffs’ motion, and the plaintiffs filed the third amended complaint. In 2020, the defendants answered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third amended complaint and asserted counterclaims against the plaintiffs. The defendants sought damages for attorneys’ fees and costs incurred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breaches of “standstill” agreements and of stockholder releases. The plaintiffs filed an answer denying the counterclaims and asserting defenses.</w:t>
      </w:r>
    </w:p>
    <w:p>
      <w:pPr>
        <w:spacing w:after="0" w:line="23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shares of the former Altor stockholders seeking appraisal met the definition of dissenting shares under the merger agreement and were not entitled to receive any portion of the merger consideration at the closing date, given that those shares were the subject of the above-described appraisal claims.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late March 2022, the company agreed to the terms of a settlement with the appraisal petitioners, without any admission of liability or fault. The settlement provided that in exchange for complete releases, the appraisal petitioners, who as a group held 3,167,565 dissenting Altor shares, collectively would receive an aggregate of 2,229,296 shares of the company’s common stock issued in a private placement, plus an aggregate of $21.13 in cash in lieu of fractional shares. The company’s Board of Directors approved the settlement and stock issuance in April 2022, and the court approved the settlement and dismissed the appraisal petitioners’ claims on July 9, 2022. On July 9, 2022, the company issued 2,229,296 shares of its common stock with an aggregate market value of $10.7 million, based on the closing price of its common stock on the Nasdaq as of July 8, 2022, to the appraisal petitioners pursuant to the court-approved settlement agreement. As of December 31, 2021, we had accrued $7.1 million related to the dissenting share obligation.</w:t>
      </w:r>
    </w:p>
    <w:p>
      <w:pPr>
        <w:spacing w:after="0" w:line="16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In late April 2022, the company also agreed to the terms of a settlement with the putative class plaintiffs without any admission of liability or fault. In exchange for class-wide releases, the company committed to make a settlement payment of $5.0 million in cash by December 31, 2022. On December 8, 2022, the Delaware Court of Chancery entered a final judgment approving the settlement, and the company timely made the $5.0 million settlement payment.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Sorrento Therapeutics, Inc. Litigation</w:t>
      </w:r>
    </w:p>
    <w:p>
      <w:pPr>
        <w:spacing w:after="0" w:line="11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Sorrento Therapeutics, Inc. (Sorrento), derivatively on behalf of NANTibody, filed an action in the Superior Court of California, Los Angeles County (the Superior Court) against the company’s subsidiary NantCell, Dr. Soon-Shiong, and Charles Kim. The action alleged that the defendants improperly caused NANTibody to acquire IgDraSol, Inc. from NantPharma, LLC (NantPharma) and sought to have the transaction undone and the purchase amount returned to NANTibody. In 2019, we filed a demurrer to several causes of action alleged in the Superior Court action, and Sorrento filed an amended complaint, eliminating Mr. Kim as a defendant and dropping the causes of action we had challenged in our demurrer. The company believes the case is without merit and intends to vigorously defend against the claims asserted. Trial has been set to commence in Sorrento’s Superior Court action on July 17, 2023.</w:t>
      </w:r>
    </w:p>
    <w:p>
      <w:pPr>
        <w:spacing w:after="0" w:line="19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Also in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Our claims alleged that Dr. Ji and Sorrento breached the terms of an exclusive license agreement between the company and Sorrento related to Sorrento’s antibody library and that Sorrento did not perform its obligations under the exclusive license agreement. The Superior Court ruled that the company’s claims should be pursued in arbitration and that Dr. Soon-Shiong’s claims could be pursued in Superior Court.</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2019, the company, along with NANTibody, filed an arbitration against Sorrento and Dr. Ji asserting our claims relating to the exclusive license agreement. Sorrento filed counterclaims against the company and NANTibody in the arbitration. The hearings in the NANTibody arbitration commenced in April 2021 and concluded in early August 2021. After post-hearing briefing was concluded, the parties were notified on November 30, 2021 that the arbitrator in the NANTibody arbitration had passed away. A substitute arbitrator was appointed on February 25, 2022, and the parties have worked with the substitute arbitrator to conclude the proceedings. Additional hearing sessions were held in May and July 2022, and summations took place on August 2, 2022.</w:t>
      </w:r>
    </w:p>
    <w:p>
      <w:pPr>
        <w:spacing w:after="0" w:line="19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On December 2, 2022, the arbitrator issued a final award finding that Sorrento had breached the two exclusive license agreements with NantCell and NANTibody. The arbitrator awarded NantCell approximately $156.8 million and NANTibody approximately $16.7 million, plus post-award interest accruing at a daily rate. On December 21, 2022, NantCell and NANTibody filed petitions in the Superior Court to confirm the arbitration award; on January 16, 2023, Sorrento filed a response to the petitions and moved to vacate the award. On February 7, 2023, after a hearing, the Superior Court entered orders confirming the arbitration award and denying Sorrento’s motion to vacate. The Superior Court entered judgments against Sorrento in the aggregate amount of approximately $176.4 million plus 10% post-judgment interest, of which approximately $159.4 million is payable to NantCell, and the remainder of which is payable to NANTibody. On February 13, 2023, Sorrento informed counsel to the company that it had filed a Chapter 11 proceeding in the U.S. District Court for the Southern District of Texas, </w:t>
      </w:r>
      <w:r>
        <w:rPr>
          <w:rFonts w:ascii="Arial" w:cs="Arial" w:eastAsia="Arial" w:hAnsi="Arial"/>
          <w:sz w:val="16"/>
          <w:szCs w:val="16"/>
          <w:i w:val="1"/>
          <w:iCs w:val="1"/>
          <w:color w:val="auto"/>
        </w:rPr>
        <w:t>In re: Sorrento Therapeutics, Inc., et al.,</w:t>
      </w:r>
      <w:r>
        <w:rPr>
          <w:rFonts w:ascii="Arial" w:cs="Arial" w:eastAsia="Arial" w:hAnsi="Arial"/>
          <w:sz w:val="16"/>
          <w:szCs w:val="16"/>
          <w:color w:val="auto"/>
        </w:rPr>
        <w:t xml:space="preserve"> Case No. 23-bk-90085 (Bankr. S.D. Tex.) (DRJ). The company intends to continue to pursue vigorously, consistent with its rights in light of Sorrento’s Chapter 11 filing, the collection of the judgments and</w:t>
      </w:r>
    </w:p>
    <w:p>
      <w:pPr>
        <w:spacing w:after="0" w:line="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10% post-judgment interest from Sorrento, but we make no assurances that we will receive the full amount or with respect to the timing of our receipt of any funds.</w:t>
      </w:r>
    </w:p>
    <w:p>
      <w:pPr>
        <w:spacing w:after="0" w:line="18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Superior Court actions remain pending, and it remains to be determined how, if at all, the awards in the arbitrations will affect the Superior Court actions. A July 17, 2023 trial date has been set in the first-filed Superior Court action. An estimate of the possible loss or range of loss resulting from the Superior Court litigation cannot be made at this time.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Shenzhen Beike Biotechnology Co. Ltd. Arbitration</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N-803 in China for human therapeutic uses. In the arbitration, Beike is asserting a claim for breach of contract under the license agreement. Among other things, Beike alleges that we failed to use commercially reasonable efforts to deliver to Beike materials and data related to N-803. Beike is seeking specific performance, or in the alternative, damages for the alleged breaches.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 The parties have been providing periodic updates to the International Chamber of Commerce confirming a stay of all proceedings during the standstill. Given that this action remains at the pleading stage and no discovery has occurred, it remains too early to evaluate the likely outcome of the case or to estimate any range of potential loss. We believe the claims lack merit and intend to defend the case vigorously and that we may have counterclaims.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Related to the Merger with ImmunityBio, Inc.</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connection with the Merger with NantCell, Inc. (formerly known as ImmunityBio, Inc., a private company), a Delaware corporation, via a wholly-owned subsidiary of NantKwest, several complaints were filed as individual actions in the United States District Courts, and subsequently were voluntarily dismissed (the Merger Actions). The Merger Actions generally alleged that the Definitive Proxy Statement filed with the SEC on February 2, 2021 misrepresented and/or omitted certain purportedly material information relating to financial projections, analysis performed by the financial advisor to NantKwest’s Special Committee, alleged past engagements of the Special Committee’s financial advisor and industry consultant, and the terms of the engagement of such consultant. The Merger Actions asserted violations of Section 14(a) of the Securities Exchange Act of 1934, as amended (the Exchange Act), and Rule 14a-9 promulgated thereunder against all defendants and violations of Section 20(a) of the Exchange Act against NantKwest’s directors. The Merger Actions sought, among other things, an injunction enjoining the stockholder vote on the Merger and the consummation of the Merger unless and until certain additional information was disclosed to NantKwest’s stockholders, costs of the action, including plaintiffs’ attorneys’ fees and experts’ fees, and other relief the Court may deem just and proper. Neither the stockholder vote on the Merger nor the Merger were enjoined and both occurred on March 8 and March 9, 2021, respectively. The Merger Actions were voluntarily dismissed on March 25,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Stipulation of Settlement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following approval by our Board of Directors, we entered into a settlement agreement (the Stipulation of Settlement) with</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three stockholders of the company, each of whom had submitted a stockholder demand for the Board of Directors to take action to remedy purported harm to the company resulting from certain alleged wrongful conduct concerning, among other things, disclosures about Dr. Soon-Shiong’s compensation and a related-party lease agreement. The Stipulation of Settlement called for us to adopt certain governance changes, and for the three stockholders to file a stockholder derivative action in the Superior Court of the State of California, County of San Diego, followed by an application for court approval of the Stipulation of Settlement. The court entered an order preliminarily approving the Stipulation of Settlement. Pursuant to the Stipulation of Settlement, we provided stockholders with notice of the settlement and the final settlement hearing.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Unconditional purchase obligations are defined as an agreement to purchase goods or services that are enforceable and legally binding (non-cancelable, or cancelable only in certain circumstances). In the normal course of business, we enter into unconditional purchase obligation arrangements with a CMO to reserve manufacturing slots in its cGMP manufacturing facility for the manufacture and supply of cGMP batches per FDA and European Medicines Agency (EMA) regulations for commercial use. The total amount of future non-cancelable purchase commitments related to the manufacture of cGMP batches is $19.5 million and $5.6 million for the years ending December 31, 2023 and 2024, respectively.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did not enter into any significant contracts or material unconditional purchase commitments during the year ended December 31, 2022, other than those disclosed in these consolidated financial statements.</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Lease Arrangements</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We lease property in multiple facilities across the U.S. (including the Dunkirk Facility in upstate New York) and Italy, including facilities located in El Segundo, CA, which are leased from related parties. Substantially all of our operating lease right-of-use assets and operating lease liabilities relate to facilities leases. All of our finance leases are related to equipment rental at the Dunkirk Facility.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Agreements</w:t>
      </w:r>
      <w:r>
        <w:rPr>
          <w:rFonts w:ascii="Arial" w:cs="Arial" w:eastAsia="Arial" w:hAnsi="Arial"/>
          <w:sz w:val="18"/>
          <w:szCs w:val="18"/>
          <w:color w:val="auto"/>
        </w:rPr>
        <w:t>, for additional information about our related-party leases.</w:t>
      </w:r>
    </w:p>
    <w:p>
      <w:pPr>
        <w:spacing w:after="0" w:line="18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our leases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280" w:type="dxa"/>
            <w:vAlign w:val="bottom"/>
            <w:gridSpan w:val="3"/>
            <w:vMerge w:val="restart"/>
          </w:tcPr>
          <w:p>
            <w:pPr>
              <w:ind w:left="168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2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0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Operating lease assets</w:t>
            </w: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45,788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 assets</w:t>
            </w:r>
          </w:p>
        </w:tc>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b w:val="1"/>
                <w:bCs w:val="1"/>
                <w:color w:val="auto"/>
              </w:rPr>
              <w:t>Total lease assets</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45,923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 lease liabilities</w:t>
            </w:r>
          </w:p>
        </w:tc>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47,951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lease liabilities</w:t>
            </w:r>
          </w:p>
        </w:tc>
        <w:tc>
          <w:tcPr>
            <w:tcW w:w="4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50,742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bottom w:val="single" w:sz="8" w:color="CCEEFF"/>
            </w:tcBorders>
            <w:gridSpan w:val="4"/>
            <w:vMerge w:val="restart"/>
          </w:tcPr>
          <w:p>
            <w:pPr>
              <w:ind w:left="620"/>
              <w:spacing w:after="0"/>
              <w:rPr>
                <w:sz w:val="20"/>
                <w:szCs w:val="20"/>
                <w:color w:val="auto"/>
              </w:rPr>
            </w:pPr>
            <w:r>
              <w:rPr>
                <w:rFonts w:ascii="Arial" w:cs="Arial" w:eastAsia="Arial" w:hAnsi="Arial"/>
                <w:sz w:val="18"/>
                <w:szCs w:val="18"/>
                <w:color w:val="auto"/>
              </w:rPr>
              <w:t>Information regarding our lease terms is as follows: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80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7"/>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57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4"/>
          </w:tcPr>
          <w:p>
            <w:pPr>
              <w:ind w:left="340"/>
              <w:spacing w:after="0"/>
              <w:rPr>
                <w:sz w:val="20"/>
                <w:szCs w:val="20"/>
                <w:color w:val="auto"/>
              </w:rPr>
            </w:pPr>
            <w:r>
              <w:rPr>
                <w:rFonts w:ascii="Arial" w:cs="Arial" w:eastAsia="Arial" w:hAnsi="Arial"/>
                <w:sz w:val="18"/>
                <w:szCs w:val="18"/>
                <w:color w:val="auto"/>
              </w:rPr>
              <w:t>6.6 years</w:t>
            </w:r>
          </w:p>
        </w:tc>
        <w:tc>
          <w:tcPr>
            <w:tcW w:w="54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1.8 years</w:t>
            </w: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4"/>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60" w:type="dxa"/>
            <w:vAlign w:val="bottom"/>
          </w:tcPr>
          <w:p>
            <w:pPr>
              <w:ind w:left="164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consist of the following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8"/>
          </w:tcPr>
          <w:p>
            <w:pPr>
              <w:jc w:val="right"/>
              <w:ind w:right="21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Pr>
          <w:p>
            <w:pPr>
              <w:spacing w:after="0"/>
              <w:rPr>
                <w:sz w:val="16"/>
                <w:szCs w:val="16"/>
                <w:color w:val="auto"/>
              </w:rPr>
            </w:pPr>
          </w:p>
        </w:tc>
      </w:tr>
      <w:tr>
        <w:trPr>
          <w:trHeight w:val="26"/>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41"/>
        </w:trPr>
        <w:tc>
          <w:tcPr>
            <w:tcW w:w="6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11,093</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7,977</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3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Finance lease costs (including amortization and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costs)</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2,862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18,113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08"/>
        </w:trPr>
        <w:tc>
          <w:tcPr>
            <w:tcW w:w="8160" w:type="dxa"/>
            <w:vAlign w:val="bottom"/>
            <w:gridSpan w:val="4"/>
          </w:tcPr>
          <w:p>
            <w:pPr>
              <w:ind w:left="620"/>
              <w:spacing w:after="0"/>
              <w:rPr>
                <w:sz w:val="20"/>
                <w:szCs w:val="20"/>
                <w:color w:val="auto"/>
              </w:rPr>
            </w:pPr>
            <w:r>
              <w:rPr>
                <w:rFonts w:ascii="Arial" w:cs="Arial" w:eastAsia="Arial" w:hAnsi="Arial"/>
                <w:sz w:val="18"/>
                <w:szCs w:val="18"/>
                <w:color w:val="auto"/>
                <w:w w:val="95"/>
              </w:rPr>
              <w:t>Cash paid for amounts included in the measurement of lease liabilities is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0"/>
        </w:trPr>
        <w:tc>
          <w:tcPr>
            <w:tcW w:w="6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right"/>
              <w:ind w:right="694"/>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40"/>
        </w:trPr>
        <w:tc>
          <w:tcPr>
            <w:tcW w:w="6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(excluding variable lease costs)</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r>
      <w:tr>
        <w:trPr>
          <w:trHeight w:val="257"/>
        </w:trPr>
        <w:tc>
          <w:tcPr>
            <w:tcW w:w="6780" w:type="dxa"/>
            <w:vAlign w:val="bottom"/>
          </w:tcPr>
          <w:p>
            <w:pPr>
              <w:ind w:left="20"/>
              <w:spacing w:after="0"/>
              <w:rPr>
                <w:sz w:val="20"/>
                <w:szCs w:val="20"/>
                <w:color w:val="auto"/>
              </w:rPr>
            </w:pPr>
            <w:r>
              <w:rPr>
                <w:rFonts w:ascii="Arial" w:cs="Arial" w:eastAsia="Arial" w:hAnsi="Arial"/>
                <w:sz w:val="18"/>
                <w:szCs w:val="18"/>
                <w:color w:val="auto"/>
              </w:rPr>
              <w:t>Financing cash flow from finance leases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 from finance leases</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Future minimum lease payments as of December 31, 2022, including $14.8 million related to options to extend lease terms that are reasonably certain of being exercised, are presented in the following table (in thousands). Common area maintenance costs and taxes are not included in these payments.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Operating</w:t>
            </w:r>
          </w:p>
        </w:tc>
        <w:tc>
          <w:tcPr>
            <w:tcW w:w="28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Finance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Leases</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Leases</w:t>
            </w: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0" w:type="dxa"/>
            <w:vAlign w:val="bottom"/>
          </w:tcPr>
          <w:p>
            <w:pPr>
              <w:spacing w:after="0"/>
              <w:rPr>
                <w:sz w:val="1"/>
                <w:szCs w:val="1"/>
                <w:color w:val="auto"/>
              </w:rPr>
            </w:pP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2024</w:t>
            </w: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12,184</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0" w:type="dxa"/>
            <w:vAlign w:val="bottom"/>
          </w:tcPr>
          <w:p>
            <w:pPr>
              <w:spacing w:after="0"/>
              <w:rPr>
                <w:sz w:val="1"/>
                <w:szCs w:val="1"/>
                <w:color w:val="auto"/>
              </w:rPr>
            </w:pP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2026</w:t>
            </w: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23,247</w:t>
            </w:r>
          </w:p>
        </w:tc>
        <w:tc>
          <w:tcPr>
            <w:tcW w:w="0" w:type="dxa"/>
            <w:vAlign w:val="bottom"/>
          </w:tcPr>
          <w:p>
            <w:pPr>
              <w:spacing w:after="0"/>
              <w:rPr>
                <w:sz w:val="1"/>
                <w:szCs w:val="1"/>
                <w:color w:val="auto"/>
              </w:rPr>
            </w:pPr>
          </w:p>
        </w:tc>
      </w:tr>
      <w:tr>
        <w:trPr>
          <w:trHeight w:val="250"/>
        </w:trPr>
        <w:tc>
          <w:tcPr>
            <w:tcW w:w="4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2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75,547</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75,701</w:t>
            </w: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22,018</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Tenant improvement allowance receivable</w:t>
            </w:r>
          </w:p>
        </w:tc>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56"/>
        </w:trPr>
        <w:tc>
          <w:tcPr>
            <w:tcW w:w="4500" w:type="dxa"/>
            <w:vAlign w:val="bottom"/>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2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50,601</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50,742</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220" w:type="dxa"/>
            <w:vAlign w:val="bottom"/>
            <w:vMerge w:val="restart"/>
          </w:tcPr>
          <w:p>
            <w:pPr>
              <w:jc w:val="right"/>
              <w:ind w:right="87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5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3530 John Hopkins Court</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April 2022, we extended our existing lease for 44,681 rentable square feet at 3530 John Hopkins Court in San Diego, California from July 31, 2023 to July 31, 2030 (the Extended Lease Term). This facility is used primarily as a research laboratory and our corporate offices. The Extended Lease Term will commence on August 1, 2023, and includes an option to extend the lease for one five-year term through July 31, 2035. The base rent effective during the Extended Lease Term will be approximately $323,937 per month with an annual increase of 3% beginning on August 1, 2024. At the beginning of the option term, the initial monthly base rent will be adjusted to market rent (as defined in the lease agreement). We will receive a rent abatement for the first seven months of the Extended Lease Term beginning on August 1, 2023, and a tenant improvement allowance of $0.7 million from the landlord for costs and expenses associated with the construction of tenant improvements that can be used during the 12-month period ending on August 1, 2024.</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addition to the lease described above, we also acquired a leasehold interest at the Dunkirk Facility discussed in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Agreements and Acquisition</w:t>
      </w:r>
      <w:r>
        <w:rPr>
          <w:rFonts w:ascii="Arial" w:cs="Arial" w:eastAsia="Arial" w:hAnsi="Arial"/>
          <w:sz w:val="18"/>
          <w:szCs w:val="18"/>
          <w:color w:val="auto"/>
        </w:rPr>
        <w:t>, and entered into new related-party leases and terminated an existing related-party lease discussed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10</w:t>
      </w:r>
      <w:r>
        <w:rPr>
          <w:rFonts w:ascii="Arial" w:cs="Arial" w:eastAsia="Arial" w:hAnsi="Arial"/>
          <w:sz w:val="18"/>
          <w:szCs w:val="18"/>
          <w:color w:val="auto"/>
        </w:rPr>
        <w:t>,</w:t>
      </w:r>
      <w:r>
        <w:rPr>
          <w:rFonts w:ascii="Arial" w:cs="Arial" w:eastAsia="Arial" w:hAnsi="Arial"/>
          <w:sz w:val="18"/>
          <w:szCs w:val="18"/>
          <w:i w:val="1"/>
          <w:iCs w:val="1"/>
          <w:color w:val="auto"/>
        </w:rPr>
        <w:t xml:space="preserve"> Related-Party Agreements, </w:t>
      </w:r>
      <w:r>
        <w:rPr>
          <w:rFonts w:ascii="Arial" w:cs="Arial" w:eastAsia="Arial" w:hAnsi="Arial"/>
          <w:sz w:val="18"/>
          <w:szCs w:val="18"/>
          <w:color w:val="auto"/>
        </w:rPr>
        <w:t>during the year ended December 31, 2022.</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Related-Party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$125.0 million Variable-Rate Promissory Note</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August 31, 2022, the company executed a $125.0 million promissory note with Nant Capital, an affiliated entity of the company due to the common control of our Executive Chairman and Global Chief Scientific and Medical Officer. This note bears interest at Term Secured Overnight Financing Rate (Term SOFR) plus 8.0% per annum. The accrued interest on this note shall be payable quarterly on the last business day of March, June, September and December, commencing on September 30, 2022. The outstanding principal amount and any accrued and unpaid interest are due on December 31, 2023. The company may prepay this note at any time, in whole or in part, without premium or penalty.</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received net proceeds of $124.4 million, net of a $0.6 million origination fee paid to the lender, which the company intends to use for pre-commercialization efforts and clinical development programs, working capital, and other general corporate purposes. The interest paid in cash amounted to $5.2 million for the year ended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$300.0 million Variable-Rate Promissory Note</w:t>
      </w:r>
    </w:p>
    <w:p>
      <w:pPr>
        <w:spacing w:after="0" w:line="11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August 31, 2022, the company amended and restated its $300.0 million variable-rate promissory note with Nant Capital. Prior to the amendment and restatement, the outstanding balance due under the promissory note was due and payable on December 17, 2022, the loan bore interest at Term SOFR + 5.4%, which was payable quarterly commencing on March 17, 2022, and the company could and can continue to prepay the outstanding principal (together with accrued and unpaid interest), in whole or in part, upon five business days’ prior written notice to the lender.</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terms of this promissory note were amended and restated to extend the maturity date of the loan to December 31, 2023, increase the interest rate on the loan to Term SOFR + 8.0% per annum, and reset the quarterly interest payment date from the 17th of the month to the last business day of March, June, September and December, commencing on September 30, 2022. No other material terms or conditions of this variable-rate promissory note were modified as part of the August 31, 2022 amendment and restatement. The interest paid in cash amounted to $27.4 million for the year ended December 31, 2022.</w:t>
      </w:r>
    </w:p>
    <w:p>
      <w:pPr>
        <w:spacing w:after="0" w:line="18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the event of a default on the loan (as defined in both the original and amended and restated promissory notes), including if the company does not repay the loan at maturity, the company had and continues to have the right, at its sole option, to convert the outstanding principal amount and accrued and unpaid interest due under this note into fully paid and non-assessable shares of the company’s common stock at a price per share equal to $5.67.</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Fixed-Rate Convertible Promissory Notes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31, 2022, the company also amended and restated an aggregate of $315.1 million (including outstanding principal and accrued and unpaid interest) of fixed-rate promissory notes held by entities affiliated with Dr. Soon-Shiong. Prior to the amendments and restatements, these notes bore and continue to bear interest at a per annum rate ranging from 3.0% to 6.0%, provide that the outstanding principal was and continues to be due and payable on September 30, 2025, and accrued and unpaid interest was or continues to be payable either upon maturity or, with respect to one of the notes, on a quarterly basis. Prior to the amendments and restatements, the company could and can continue to prepay the outstanding principal (together with accrued and unpaid interest), either in whole or in part, at any time without premium or penalty and without the prior consent of the lender, now subject to an advance notice period of at least five business days during which the lender can convert the amount requested to be prepaid by the company into shares of the company’s common stock, as part of the amendment and restatement described below.</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terms of these fixed-rate promissory notes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No other material terms or conditions of these fixed-rate promissory notes were modified as part of the August 31, 2022 amendments and restatements.</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Since all of the above promissory notes were entered into or amended at the same time and with entities under common control, the company determined that the promissory notes were required to be evaluated collectively to accurately capture the economics of the transactions entered in contemplation of each other and contemporaneously. ASC 470-50, </w:t>
      </w:r>
      <w:r>
        <w:rPr>
          <w:rFonts w:ascii="Arial" w:cs="Arial" w:eastAsia="Arial" w:hAnsi="Arial"/>
          <w:sz w:val="17"/>
          <w:szCs w:val="17"/>
          <w:i w:val="1"/>
          <w:iCs w:val="1"/>
          <w:color w:val="auto"/>
        </w:rPr>
        <w:t>Debt – Modifications and Extinguishments,</w:t>
      </w:r>
      <w:r>
        <w:rPr>
          <w:rFonts w:ascii="Arial" w:cs="Arial" w:eastAsia="Arial" w:hAnsi="Arial"/>
          <w:sz w:val="17"/>
          <w:szCs w:val="17"/>
          <w:color w:val="auto"/>
        </w:rPr>
        <w:t xml:space="preserve"> provides that a modification or an exchange that adds or eliminates a substantive conversion option as of the conversion date would always be considered substantial and require extinguishment accounting. Accordingly, as a result of the addition of the conversion feature to the fixed-rate promissory notes, the fixed-rate promissory notes and the variable-rate promissory notes were determined to be extinguished given the contemporaneous nature of the amendments. The company performed a valuation of the fixed-rate promissory notes and variable-rate promissory notes before and after amendments.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on the consolidated statement of stockholders’ deficit for the year ended December 31, 2022. Also, the difference between face values of the new and amended promissory notes (and accrued interest on the date of the amendment) and the fair values of the new and restated promissory notes was recorded as a debt discount to be amortized as interest expense over the remaining term (or until conversion in the case of fixed-rate promissory notes) of the respective promissory notes. The company recorded amortization of related-party notes discounts totaling $16.3 million in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on the consolidated statement of operations during the year ended December 31, 2022.</w:t>
      </w:r>
    </w:p>
    <w:p>
      <w:pPr>
        <w:spacing w:after="0" w:line="18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fair values of the promissory notes without a holder conversion option were estimated using discounted cash flow analyses, based on market rates available to the company for similar debt at issuance after consideration of default and credit risk and the level of subordination. The fair values of the fixed-rate promissory notes, which were each modified to include a holder conversion option, were determined based on a binomial lattice convertible note model. The analysis involved the construction of various intermediate lattices: stock price tree, conversion value tree, conversion probability tree, and discount rate tree. Since certain of the factors analyzed are considered to be unobservable inputs, both the discounted cash flow model and the lattice model are considered to be Level 3 valuations. Significant unobservable inputs used for the discounted cash flow analysis included market yields from 18.0% to 24.8% and a risk free rate of 4.1%, and the significant unobservable inputs used for the binomial lattice model included a volatility of 84.9%, a market yield of 17.4% and a risk free rate of 3.5%.</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Variable-Rate Promissory Note</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December 12, 2022, the company executed a $50.0 million promissory note with Nant Capital. This note bears interest at Term SOFR plus 8.0% per annum. The accrued interest on this note shall be payable quarterly on the last business day of March, June, September and December, commencing on December 30, 2022. The outstanding principal amount and any accrued and unpaid interest are due on December 31, 2023. The company may prepay the outstanding principal amount, together with any accrued interest at any time, in whole or in part, without premium or penalty. The company must prepay the outstanding principal amount, together with any accrued interest, if requested by the holder, following the successful closing of a strategic collaboration transaction with a large biopharmaceutical company.</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received net proceeds of $49.7 million, net of a $0.3 million origination fee paid to the lender, which the company intends to use for pre-commercialization efforts and clinical development programs, other research and development activities, capital expenditures, and other general corporate purposes. The interest paid in cash amounted to $0.3 million for the year ended December 31, 2022.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related-party debt is summarized below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800"/>
              <w:spacing w:after="0"/>
              <w:rPr>
                <w:sz w:val="20"/>
                <w:szCs w:val="20"/>
                <w:color w:val="auto"/>
              </w:rPr>
            </w:pPr>
            <w:r>
              <w:rPr>
                <w:rFonts w:ascii="Arial" w:cs="Arial" w:eastAsia="Arial" w:hAnsi="Arial"/>
                <w:sz w:val="14"/>
                <w:szCs w:val="14"/>
                <w:b w:val="1"/>
                <w:bCs w:val="1"/>
                <w:color w:val="auto"/>
                <w:w w:val="92"/>
              </w:rPr>
              <w:t>Balances at December 31, 2022</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Accrued</w:t>
            </w:r>
          </w:p>
        </w:tc>
        <w:tc>
          <w:tcPr>
            <w:tcW w:w="20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Less:</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Added to</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Unamortized</w:t>
            </w:r>
          </w:p>
        </w:tc>
        <w:tc>
          <w:tcPr>
            <w:tcW w:w="34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Advances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Discounts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Related-Party Notes: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0"/>
              </w:rPr>
              <w:t>Term</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1"/>
              </w:rPr>
              <w:t>SOFR +</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Nant Capital (1)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43,099</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431,901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Related-Party Convertible Notes: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Nant Capital</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59,358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 Capital</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Nant Capital</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37,420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NantMobile, LLC</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NantCancerStemCell, LLC</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2025</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5.0%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related-party convertible notes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241,271</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Arial" w:cs="Arial" w:eastAsia="Arial" w:hAnsi="Arial"/>
                <w:sz w:val="18"/>
                <w:szCs w:val="18"/>
                <w:i w:val="1"/>
                <w:iCs w:val="1"/>
                <w:color w:val="auto"/>
              </w:rPr>
              <w:t>Total related-party debt</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673,172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interest rate on our related-party variable-rate notes as of December 31, 2022 was 12.59%.</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Fixed-Rate Promissory Note due 2025</w:t>
      </w:r>
    </w:p>
    <w:p>
      <w:pPr>
        <w:spacing w:after="0" w:line="11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On December 12, 2022, the company received written notice from NantWorks, the holder of the existing convertible promissory note of NantCell, Inc., a wholly-owned subsidiary of the company (the Existing Note), of its election to convert the entire outstanding principal and accrued interest under the Existing Note into shares of the company’s common stock. As of such date, the entire outstanding principal amount and accrued and unpaid interest due under the Existing Note, net of unamortized discount, was approximately $51.9 million, which were converted into 9,986,920 shares of the company’s common stock at a price of $5.67 per share in accordance with the terms of the Existing Note.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820"/>
              <w:spacing w:after="0"/>
              <w:rPr>
                <w:sz w:val="20"/>
                <w:szCs w:val="20"/>
                <w:color w:val="auto"/>
              </w:rPr>
            </w:pPr>
            <w:r>
              <w:rPr>
                <w:rFonts w:ascii="Arial" w:cs="Arial" w:eastAsia="Arial" w:hAnsi="Arial"/>
                <w:sz w:val="14"/>
                <w:szCs w:val="14"/>
                <w:b w:val="1"/>
                <w:bCs w:val="1"/>
                <w:color w:val="auto"/>
                <w:w w:val="92"/>
              </w:rPr>
              <w:t>Balances at December 31, 2021</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Accrued</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7"/>
              </w:rPr>
              <w:t>Less:</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Unamortized</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Added to</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Debt Issuance</w:t>
            </w:r>
          </w:p>
        </w:tc>
        <w:tc>
          <w:tcPr>
            <w:tcW w:w="34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Advances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Costs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48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Related-Party Note: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Term</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1"/>
              </w:rPr>
              <w:t>SOFR +</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Nant Capital (1)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5.4%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299,236</w:t>
            </w:r>
          </w:p>
        </w:tc>
        <w:tc>
          <w:tcPr>
            <w:tcW w:w="0" w:type="dxa"/>
            <w:vAlign w:val="bottom"/>
          </w:tcPr>
          <w:p>
            <w:pPr>
              <w:spacing w:after="0"/>
              <w:rPr>
                <w:sz w:val="1"/>
                <w:szCs w:val="1"/>
                <w:color w:val="auto"/>
              </w:rPr>
            </w:pPr>
          </w:p>
        </w:tc>
      </w:tr>
      <w:tr>
        <w:trPr>
          <w:trHeight w:val="108"/>
        </w:trPr>
        <w:tc>
          <w:tcPr>
            <w:tcW w:w="34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i w:val="1"/>
                <w:iCs w:val="1"/>
                <w:color w:val="auto"/>
              </w:rPr>
              <w:t>Related-Party Convertible Notes: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Nant Capital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53,810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NantMobile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58,359</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NantWorks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NCSC</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38,746</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rPr>
              <w:t>Total related-party convertible notes</w:t>
            </w: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306,349</w:t>
            </w: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Total related-party debt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605,585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interest rate on our related-party variable-rate note as of December 31, 2021 was 5.47%.</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estimated future contractual obligations for our related-party debt as of December 31, 2022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Arial" w:cs="Arial" w:eastAsia="Arial" w:hAnsi="Arial"/>
                <w:sz w:val="14"/>
                <w:szCs w:val="14"/>
                <w:b w:val="1"/>
                <w:bCs w:val="1"/>
                <w:color w:val="auto"/>
              </w:rPr>
              <w:t>Principal Payments</w:t>
            </w:r>
          </w:p>
        </w:tc>
        <w:tc>
          <w:tcPr>
            <w:tcW w:w="22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Arial" w:cs="Arial" w:eastAsia="Arial" w:hAnsi="Arial"/>
                <w:sz w:val="14"/>
                <w:szCs w:val="14"/>
                <w:b w:val="1"/>
                <w:bCs w:val="1"/>
                <w:color w:val="auto"/>
              </w:rPr>
              <w:t>Interest Payments (1)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1"/>
              </w:rPr>
              <w:t>Non-convertible</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76"/>
              <w:spacing w:after="0" w:line="129" w:lineRule="exact"/>
              <w:rPr>
                <w:sz w:val="20"/>
                <w:szCs w:val="20"/>
                <w:color w:val="auto"/>
              </w:rPr>
            </w:pPr>
            <w:r>
              <w:rPr>
                <w:rFonts w:ascii="Arial" w:cs="Arial" w:eastAsia="Arial" w:hAnsi="Arial"/>
                <w:sz w:val="14"/>
                <w:szCs w:val="14"/>
                <w:b w:val="1"/>
                <w:bCs w:val="1"/>
                <w:color w:val="auto"/>
                <w:w w:val="93"/>
              </w:rPr>
              <w:t>Non-convertible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Notes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9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89"/>
              </w:rPr>
              <w:t>2023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537,022</w:t>
            </w:r>
          </w:p>
        </w:tc>
        <w:tc>
          <w:tcPr>
            <w:tcW w:w="0" w:type="dxa"/>
            <w:vAlign w:val="bottom"/>
          </w:tcPr>
          <w:p>
            <w:pPr>
              <w:spacing w:after="0"/>
              <w:rPr>
                <w:sz w:val="1"/>
                <w:szCs w:val="1"/>
                <w:color w:val="auto"/>
              </w:rPr>
            </w:pPr>
          </w:p>
        </w:tc>
      </w:tr>
      <w:tr>
        <w:trPr>
          <w:trHeight w:val="230"/>
        </w:trPr>
        <w:tc>
          <w:tcPr>
            <w:tcW w:w="3900" w:type="dxa"/>
            <w:vAlign w:val="bottom"/>
          </w:tcPr>
          <w:p>
            <w:pPr>
              <w:jc w:val="right"/>
              <w:ind w:right="3430"/>
              <w:spacing w:after="0"/>
              <w:rPr>
                <w:sz w:val="20"/>
                <w:szCs w:val="20"/>
                <w:color w:val="auto"/>
              </w:rPr>
            </w:pPr>
            <w:r>
              <w:rPr>
                <w:rFonts w:ascii="Arial" w:cs="Arial" w:eastAsia="Arial" w:hAnsi="Arial"/>
                <w:sz w:val="18"/>
                <w:szCs w:val="18"/>
                <w:color w:val="auto"/>
                <w:w w:val="89"/>
              </w:rPr>
              <w:t>2024</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89"/>
              </w:rPr>
              <w:t>2025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294,276</w:t>
            </w:r>
          </w:p>
        </w:tc>
        <w:tc>
          <w:tcPr>
            <w:tcW w:w="0" w:type="dxa"/>
            <w:vAlign w:val="bottom"/>
          </w:tcPr>
          <w:p>
            <w:pPr>
              <w:spacing w:after="0"/>
              <w:rPr>
                <w:sz w:val="1"/>
                <w:szCs w:val="1"/>
                <w:color w:val="auto"/>
              </w:rPr>
            </w:pPr>
          </w:p>
        </w:tc>
      </w:tr>
      <w:tr>
        <w:trPr>
          <w:trHeight w:val="155"/>
        </w:trPr>
        <w:tc>
          <w:tcPr>
            <w:tcW w:w="3900" w:type="dxa"/>
            <w:vAlign w:val="bottom"/>
          </w:tcPr>
          <w:p>
            <w:pPr>
              <w:jc w:val="right"/>
              <w:ind w:right="950"/>
              <w:spacing w:after="0" w:line="156" w:lineRule="exact"/>
              <w:rPr>
                <w:sz w:val="20"/>
                <w:szCs w:val="20"/>
                <w:color w:val="auto"/>
              </w:rPr>
            </w:pPr>
            <w:r>
              <w:rPr>
                <w:rFonts w:ascii="Arial" w:cs="Arial" w:eastAsia="Arial" w:hAnsi="Arial"/>
                <w:sz w:val="18"/>
                <w:szCs w:val="18"/>
                <w:color w:val="auto"/>
                <w:w w:val="96"/>
              </w:rPr>
              <w:t>Total principal and estimated interest</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233,226</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65,857</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59,622</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833,705</w:t>
            </w:r>
          </w:p>
        </w:tc>
        <w:tc>
          <w:tcPr>
            <w:tcW w:w="0" w:type="dxa"/>
            <w:vAlign w:val="bottom"/>
          </w:tcPr>
          <w:p>
            <w:pPr>
              <w:spacing w:after="0"/>
              <w:rPr>
                <w:sz w:val="1"/>
                <w:szCs w:val="1"/>
                <w:color w:val="auto"/>
              </w:rPr>
            </w:pPr>
          </w:p>
        </w:tc>
      </w:tr>
      <w:tr>
        <w:trPr>
          <w:trHeight w:val="221"/>
        </w:trPr>
        <w:tc>
          <w:tcPr>
            <w:tcW w:w="3900" w:type="dxa"/>
            <w:vAlign w:val="bottom"/>
          </w:tcPr>
          <w:p>
            <w:pPr>
              <w:jc w:val="right"/>
              <w:ind w:right="1690"/>
              <w:spacing w:after="0"/>
              <w:rPr>
                <w:sz w:val="20"/>
                <w:szCs w:val="20"/>
                <w:color w:val="auto"/>
              </w:rPr>
            </w:pPr>
            <w:r>
              <w:rPr>
                <w:rFonts w:ascii="Arial" w:cs="Arial" w:eastAsia="Arial" w:hAnsi="Arial"/>
                <w:sz w:val="18"/>
                <w:szCs w:val="18"/>
                <w:color w:val="auto"/>
              </w:rPr>
              <w:t>due on related-party debt</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27" w:lineRule="exact"/>
        <w:rPr>
          <w:sz w:val="20"/>
          <w:szCs w:val="20"/>
          <w:color w:val="auto"/>
        </w:rPr>
      </w:pPr>
    </w:p>
    <w:p>
      <w:pPr>
        <w:ind w:left="560" w:right="480" w:hanging="534"/>
        <w:spacing w:after="0" w:line="269" w:lineRule="auto"/>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Interest payments on our fixed-rate convertible notes are calculated based on contractual interest rates and scheduled maturity dates. Interest payments on our variable-rate notes are calculated based on Term SOFR plus the contractual spread per the loan agreements. The rate on our variable-rate notes as of December 31, 2022 was 12.59%.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Related-Party Agreements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conduct business with several affiliates under written agreements and informal arrangements. Below is a summary of outstanding balances and a description of significant relationships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20" w:type="dxa"/>
            <w:vAlign w:val="bottom"/>
          </w:tcPr>
          <w:p>
            <w:pPr>
              <w:spacing w:after="0"/>
              <w:rPr>
                <w:sz w:val="16"/>
                <w:szCs w:val="16"/>
                <w:color w:val="auto"/>
              </w:rPr>
            </w:pPr>
          </w:p>
        </w:tc>
      </w:tr>
      <w:tr>
        <w:trPr>
          <w:trHeight w:val="26"/>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related party–NantBio, Inc.</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56"/>
        </w:trPr>
        <w:tc>
          <w:tcPr>
            <w:tcW w:w="8100" w:type="dxa"/>
            <w:vAlign w:val="bottom"/>
          </w:tcPr>
          <w:p>
            <w:pPr>
              <w:ind w:left="20"/>
              <w:spacing w:after="0"/>
              <w:rPr>
                <w:sz w:val="20"/>
                <w:szCs w:val="20"/>
                <w:color w:val="auto"/>
              </w:rPr>
            </w:pPr>
            <w:r>
              <w:rPr>
                <w:rFonts w:ascii="Arial" w:cs="Arial" w:eastAsia="Arial" w:hAnsi="Arial"/>
                <w:sz w:val="18"/>
                <w:szCs w:val="18"/>
                <w:color w:val="auto"/>
              </w:rPr>
              <w:t>Due from related party–Brink Biologics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related parties–Various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Total due from related parties</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r>
      <w:tr>
        <w:trPr>
          <w:trHeight w:val="21"/>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8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Due to related party–Duley Road, LLC</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6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related party–NantWorks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Due to related party–NantBio, Inc.</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6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related party–Immuno-Oncology Clinic, Inc.</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Total due to related parties</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r>
      <w:tr>
        <w:trPr>
          <w:trHeight w:val="27"/>
        </w:trPr>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Executive Chairman, Global Chief Scientific and Medical Officer, and principal stockholder founded and has a controlling interest in NantWorks, which is a collection of companies in the healthcare and technology space. As described below, we have entered into arrangements with NantWorks and certain affiliates of NantWorks, including NantBio, Inc., Duley Road, LLC, and 605 Nash, LLC. Affiliates of NantWorks are also affiliates of the company due to the common control by and/or common ownership interest of our Executive Chairman, Global Chief Scientific and Medical Officer, and principal stockholder.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NantWorks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Services Agreement</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We are charged for the services at cost plus reasonable allocations of employee benefits, facilities and other direct or fairly allocated indirect costs that relate to the employees providing the services. For the years ended December 31, 2022, 2021 and 2020, we recorded $3.8 million, $4.4 million and $6.0 million, respectively,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 and $0.9 million, $0.4 million and $2.0 million, respectively, of expense reimbursements under this arrangement in</w:t>
      </w:r>
      <w:r>
        <w:rPr>
          <w:rFonts w:ascii="Arial" w:cs="Arial" w:eastAsia="Arial" w:hAnsi="Arial"/>
          <w:sz w:val="18"/>
          <w:szCs w:val="18"/>
          <w:i w:val="1"/>
          <w:iCs w:val="1"/>
          <w:color w:val="auto"/>
        </w:rPr>
        <w:t xml:space="preserve"> research and development expense</w:t>
      </w:r>
      <w:r>
        <w:rPr>
          <w:rFonts w:ascii="Arial" w:cs="Arial" w:eastAsia="Arial" w:hAnsi="Arial"/>
          <w:sz w:val="18"/>
          <w:szCs w:val="18"/>
          <w:color w:val="auto"/>
        </w:rPr>
        <w:t>, on the consolidated statements of operations. These amounts exclude certain general and administrative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third-party vendors directly for our benefit, which were reimbursed to NantWorks based on those vendors’ invoiced amounts without markup by NantWorks.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As of December 31, 2022 and 2021, we owed NantWorks net amounts of $1.0 million and $1.1 million, respectively, for all agreements between the two affiliates, which are included in </w:t>
      </w:r>
      <w:r>
        <w:rPr>
          <w:rFonts w:ascii="Arial" w:cs="Arial" w:eastAsia="Arial" w:hAnsi="Arial"/>
          <w:sz w:val="17"/>
          <w:szCs w:val="17"/>
          <w:i w:val="1"/>
          <w:iCs w:val="1"/>
          <w:color w:val="auto"/>
        </w:rPr>
        <w:t>due to related parties,</w:t>
      </w:r>
      <w:r>
        <w:rPr>
          <w:rFonts w:ascii="Arial" w:cs="Arial" w:eastAsia="Arial" w:hAnsi="Arial"/>
          <w:sz w:val="17"/>
          <w:szCs w:val="17"/>
          <w:color w:val="auto"/>
        </w:rPr>
        <w:t xml:space="preserve"> on the consolidated balance sheet. We also recorded $2.0 million and $2.2 million of prepaid expenses for services that have been passed through to the company from NantWorks as of December 31, 2022 and 2021, respectively, which are included 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on the consolidated balance sheets.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License Agreement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November 2015, we entered into a facility license agreement with NantWorks for approximately 9,500 rentable square feet of office space in Culver City, California, which was converted to a research and development laboratory and a cGMP manufacturing facility. The initial license was effective from May 2015 through December 2020. The base rent for the initial lease term was $47,000 per month, with annual increases of 3% beginning in January 2017. In September 2020, we amended this agreement to extend the term of this lease through December 31, 2021. Commencing January 1, 2022, the license fee increased by 3% to approximately $56,120 per month.</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May 6, 2022, we amended our facility license agreement with NantWorks to expand the licensed premises by 36,830 rentable square feet to an aggregate total of 46,330 rentable square feet. Effective May 1, 2022, the license fee is approximately $273,700 per month, which is subject to a</w:t>
      </w:r>
    </w:p>
    <w:p>
      <w:pPr>
        <w:ind w:right="120"/>
        <w:spacing w:after="0" w:line="253" w:lineRule="auto"/>
        <w:rPr>
          <w:sz w:val="20"/>
          <w:szCs w:val="20"/>
          <w:color w:val="auto"/>
        </w:rPr>
      </w:pPr>
      <w:r>
        <w:rPr>
          <w:rFonts w:ascii="Arial" w:cs="Arial" w:eastAsia="Arial" w:hAnsi="Arial"/>
          <w:sz w:val="18"/>
          <w:szCs w:val="18"/>
          <w:color w:val="auto"/>
        </w:rPr>
        <w:t xml:space="preserve">3% increase commencing on January 1 of each year. The space continues to be rented on a month-to-month basis, which can be terminated by either party with at least 30 days’ prior written notice to the other party. License fee expense for this facility totaling $2.4 million, $0.7 million and $0.6 million for the years ended December 31, 2022, 2021 and 2020, respectively, was recorded in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on the consolidated statements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Clinic, Inc.</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entered into multiple agreements with Immuno-Oncology Clinic, Inc. (the Clinic) to conduct clinical trials related to certain of our product candidates. The Clinic is a related party as it is owned by an officer of the company and NantWorks manages the administrative operations of the Clinic. Pursuant to the terms of the Clinic agreement (as amended), we made payments totaling $5.6 million in consideration of future services to be performed by the Clinic.</w:t>
      </w:r>
    </w:p>
    <w:p>
      <w:pPr>
        <w:spacing w:after="0" w:line="18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Based on this decision to explore a potential transition, we determined that it was more likely than not that the previously recorded prepaid asset would not result in the collection of fees for services performed by the Clinic as contemplated in the original agreements. As a result, we wrote down the remaining value of our prepaid asset and recorded approximately $4.4 million in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on the consolidated statement of operations for the year ended December 31, 2021. We continue productive negotiations with potential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alternative structures and expect to complete the process during the year ending December 31, 2023, but there can be no assurance that we will be successful.</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For the years ended December 31, 2022, 2021 and 2020, we incurred $2.4 million, $1.6 million and $0.9 million in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on the consolidated statements of operations related to the Clinic Agreement. As of December 31, 2022 and 2021, we owed the Clinic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$0.5 million, respectively, for services excluded from the Clinic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Brink Biologics, Inc.</w:t>
      </w:r>
    </w:p>
    <w:p>
      <w:pPr>
        <w:spacing w:after="0" w:line="11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2015, we entered into an agreement with Brink Biologics, Inc. (Brink) whereby we granted to Brink worldwide exclusive licenses to use of certain cell lines and intellectual property for non-clinical laboratory testing. Brink is a related party as our Executive Chairman, Global Chief Scientific and Medical Officer and our principal stockholder, and our Chief Corporate Affairs Officer and member of our board of directors, collectively own more than 50% of Brink’s outstanding shares. We recognized revenue of an immaterial amount, $0.4 million and $0.1 million for the year ended December 31, 2022, 2021 and 2020, respectively, related to this license.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NantBio, Inc.</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In August 2018, we entered into a supply agreement with NantCancerStemCell, LLC (NCSC), a 60% owned subsidiary of NantBio (with the other 40% owned by Sorrento). Under this agreement, we agreed to supply VivaBioCell’s proprietary GMP-in-a-Box bioreactors and related consumables, made according to specifications mutually agreed to with both companies. The agreement has an initial term of five years and renews automatically for successive one-year terms unless terminated by either party in the event of material default upon prior written notice of such default and the failure of the defaulting party to remedy the default within 30 days of the delivery of such notice, or upon 90 days’ prior written notice by NCSC. We recognized</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no revenue for the years ended December 31, 2022 and 2020, and $0.3 million of revenue for the year ended December 31, 2021. We recorded $0.1 million and $0.1 million of deferred revenue for bioreactors that were delivered but not installed as of December 31, 2022 and 2021, respectively. As of December 31, 2022 and 2021, we recorded $0.9 million in </w:t>
      </w:r>
      <w:r>
        <w:rPr>
          <w:rFonts w:ascii="Arial" w:cs="Arial" w:eastAsia="Arial" w:hAnsi="Arial"/>
          <w:sz w:val="16"/>
          <w:szCs w:val="16"/>
          <w:i w:val="1"/>
          <w:iCs w:val="1"/>
          <w:color w:val="auto"/>
        </w:rPr>
        <w:t>due to related parties</w:t>
      </w:r>
      <w:r>
        <w:rPr>
          <w:rFonts w:ascii="Arial" w:cs="Arial" w:eastAsia="Arial" w:hAnsi="Arial"/>
          <w:sz w:val="16"/>
          <w:szCs w:val="16"/>
          <w:color w:val="auto"/>
        </w:rPr>
        <w:t>, on the consolidated balance sheets related to this agreement.</w:t>
      </w:r>
    </w:p>
    <w:p>
      <w:pPr>
        <w:spacing w:after="0" w:line="15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2018, we entered into a shared service agreement pursuant to which we are charged for services at cost, without mark-up or profit by NantBio, but including reasonable allocations of employee benefits related to the employees providing the services. In April 2019, we agreed with NantBio to transfer certain NantBio employees and associated research and development projects, comprising the majority of NantBio’s business, to the company. After the transfer, we settled certain employee bonuses and benefits that were accrued by NantBio for 2018. As of December 31, 2022 and 2021, we recorded a net receivable from NantBio of $1.3 million, which included $1.0 million for employee bonuses and $0.3 million for vendor costs we paid on behalf of NantBio.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605 Doug St, LLC</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September 2016, we entered into a lease agreement with 605 Doug St, LLC, an entity owned by our Executive Chairman and Global Chief Scientific and Medical Officer, for approximately 24,250 rentable square feet in El Segundo, California, which has been converted to a research and development laboratory and a cGMP manufacturing facility. The lease runs from July 2016 through July 2023. We have the option to extend the lease for one additional three-year term through July 2026. We have included the first option to extend the lease term for three years as part of the initial lease term as it is reasonably certain that we will exercise the option, which implies lease expiration in July 2026. The base rent is approximately $72,385 per month, with annual increases of 3% that began in July 2017. Lease expense for this facility totaling $0.9 million for the years ended December 31, 2022, 2021 and 2020, respectively, was recorded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on the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Duley Road, LLC</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February 2017, Altor BioScience Corporation (succeeded by our wholly-owned subsidiary Altor BioScience, LLC), through its wholly-owned subsidiary, entered into a lease agreement with Duley Road, a related party that is indirectly controlled by our Executive Chairman and Global Chief Scientific and Medical Officer, for approximately 11,980 rentable square feet of office and cGMP manufacturing facility space in El Segundo, California. The lease term is from February 2017 through October 2024. We have the option to extend the initial term for two consecutive five-year periods through October 2034. The base rent is approximately $40,700 per month, with annual increases of 3% that began in November 2018.</w:t>
      </w:r>
    </w:p>
    <w:p>
      <w:pPr>
        <w:spacing w:after="0" w:line="16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Effective in January 2019, we entered into two lease agreements with Duley Road for a second building located in El Segundo, California. The first lease is for the first floor of the building with approximately 5,650 rentable square feet. The lease has a seven-year term commencing in September 2019. The second lease is for the second floor of the building with approximately 6,488 rentable square feet. The lease has a seven-year term commencing in July 2019. Both floors of the building are used for research and development and office space. We have options to extend the initial terms of both leases for two consecutive five-year periods through 2036. The base rent for the two leases is approximately $35,800 per month that increases at a rate of 3% per year.</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As of December 31, 2022 and 2021, we recorded $0.9 million and $0.9 million of leasehold improvement payables, respectively, and $0.6 million and $0.5 million of lease-related payables to Duley Road, which were included in </w:t>
      </w:r>
      <w:r>
        <w:rPr>
          <w:rFonts w:ascii="Arial" w:cs="Arial" w:eastAsia="Arial" w:hAnsi="Arial"/>
          <w:sz w:val="17"/>
          <w:szCs w:val="17"/>
          <w:i w:val="1"/>
          <w:iCs w:val="1"/>
          <w:color w:val="auto"/>
        </w:rPr>
        <w:t>due to related parties</w:t>
      </w:r>
      <w:r>
        <w:rPr>
          <w:rFonts w:ascii="Arial" w:cs="Arial" w:eastAsia="Arial" w:hAnsi="Arial"/>
          <w:sz w:val="17"/>
          <w:szCs w:val="17"/>
          <w:color w:val="auto"/>
        </w:rPr>
        <w:t xml:space="preserve">, on the consolidated balance sheets. For the years ended December 31, 2022, 2021 and 2020, we recorded $0.8 million, $1.0 million and $0.8 million of rent expense for the two leases, respectively, which was included in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on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605 Nash, LLC</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February 2021, but effective on January 1, 2021, we entered into a lease agreement with 605 Nash, a related party, whereby we leased approximately 6,883 rentable square feet (the Initial Premises) in a two story mixed use building containing approximately 64,643 rentable square feet on 605-607 Nash Street in El Segundo, California. This facility is used primarily for pharmaceutical development and manufacturing purposes. The lease term commenced in January 2021 and expires in December 2027, and includes an option to extend the lease for one three-year term through December 2030. The base rent is approximately $20,300 per month with an annual increase of 3% on January 1 of each year during the lease term. In addition, under the agreement, we are required to pay our share of estimated property taxes and operating expenses. We have included the first option to extend the lease term for three years as part of the initial lease term as it is reasonably certain that we will exercise the option. We received a rent abatement for the first seven months. The lease also provides a tenant improvement incentive of $0.3 million for costs and expenses associated with the construction of tenant improvements for the Initial Premises.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2021, but effective on April 1, 2021, we entered into an amendment to our Initial Premises lease with 605 Nash. The amendment expanded the leased square feet by approximately 57,760 rentable square feet (the Expansion Premises). The lease term of the Expansion Premises commenced in April 2021 and expires in March 2028, whereby the company has the option to extend the initial term for three years. Per the terms of the amendment, the term of the Initial Premises lease was extended for an additional three months and now expires in March 2031. Base rent for the Expansion Premises is approximately $170,400 per month with annual increases of 3% on April 1 of each year. We are responsible for the build out of the facility space and associated costs. The amended lease provides for a rent abatement for the first seven months, and for a tenant improvement allowance of approximately $2.6 million for costs and expenses related to improvements made by us to the Expansion Premises.</w:t>
      </w:r>
    </w:p>
    <w:p>
      <w:pPr>
        <w:spacing w:after="0" w:line="177" w:lineRule="exact"/>
        <w:rPr>
          <w:sz w:val="20"/>
          <w:szCs w:val="20"/>
          <w:color w:val="auto"/>
        </w:rPr>
      </w:pPr>
    </w:p>
    <w:p>
      <w:pPr>
        <w:ind w:right="1280" w:firstLine="648"/>
        <w:spacing w:after="0" w:line="342" w:lineRule="auto"/>
        <w:rPr>
          <w:sz w:val="20"/>
          <w:szCs w:val="20"/>
          <w:color w:val="auto"/>
        </w:rPr>
      </w:pPr>
      <w:r>
        <w:rPr>
          <w:rFonts w:ascii="Arial" w:cs="Arial" w:eastAsia="Arial" w:hAnsi="Arial"/>
          <w:sz w:val="16"/>
          <w:szCs w:val="16"/>
          <w:color w:val="auto"/>
        </w:rPr>
        <w:t xml:space="preserve">We recorded rent expense for the Initial and Expansion Premises leases totaling $2.2 million and $1.7 million for the years ended December 31, 2022 and 2021, respectively,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xml:space="preserve"> on the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557 Doug St, LLC</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27, 2021, we entered into a Membership Interest Purchase Agreement with Nant Capital (the Purchase Agreement). Nant Capital is a related party controlled by Dr. Soon-Shiong. The Purchase Agreement transferred all outstanding membership interests in 557 Doug St, LLC from the company to Nant Capital. The only asset owned by 557 Doug St, LLC is the improved property located at 557 South Douglas Street, El Segundo, California with a building area of approximately 36,434 rentable square feet (the Douglas Property).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purchase price under the Purchase Agreement was $22.0 million, and after the offset prorated property taxes of $0.1 million, the net proceeds from the sale were $21.9 million. An independent appraisal of the Douglas Property (the Appraisal) assigned the Douglas Property a value of $22.0 million. The net carrying value of the property was $20.5 million as of the closing date. We accounted for the transfer as a sale of an asset to an entity under common control, recorded the transfer at book value and recognized the excess of net consideration over carrying book value of $1.4 million as a capital contribution received from Nant Capital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on the consolidated statement of stockholders’ deficit for the year ended December 31, 2022.</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September 2021, we entered into a lease agreement with Nant Capital under which we leased back 557 South Douglas Street for an initial lease term of seven years, which commenced on September 27, 2021. The monthly base rent under the lease is approximately $81,976 per month with an annual increase of 3% on October 1 of each year beginning in 2022 during the initial term and, if applicable, during the option term. For the first two years under the lease we will not be charged rent; we will begin paying rent on October 1, 2023 at the current monthly base rent. We prepaid the first month rent and security deposit totaling $0.2 million upon the execution of the lease. We have an option to extend the lease for two additional seven-year periods when the prior term expires. We have included the first option to extend the lease term for seven years as part of the initial lease term as it is reasonably certain that we will exercise the option, which implies lease expiration on September 30, 2035. The lease is classified as an operating lease. For the year ended December 31, 2021, we recorded $0.3 million of rent expense for the lease, which was included in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on the consolidated statement of operations.</w:t>
      </w:r>
    </w:p>
    <w:p>
      <w:pPr>
        <w:spacing w:after="0" w:line="18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 xml:space="preserve">Effective May 31, 2022, we executed a lease termination agreement with Nant Capital under which we received a full refund of the first month’s rent and security deposit totaling $0.2 million that we paid upon execution of the lease. We recorded year-to-date rent expense of $0.4 million prior to the termination of the lease,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xml:space="preserve">, on the consolidated statement of operations. We recognized a gain of $0.6 million on the disposal of this lease for the year ended December 31, 2022 in </w:t>
      </w:r>
      <w:r>
        <w:rPr>
          <w:rFonts w:ascii="Arial" w:cs="Arial" w:eastAsia="Arial" w:hAnsi="Arial"/>
          <w:sz w:val="16"/>
          <w:szCs w:val="16"/>
          <w:i w:val="1"/>
          <w:iCs w:val="1"/>
          <w:color w:val="auto"/>
        </w:rPr>
        <w:t>other income, net</w:t>
      </w:r>
      <w:r>
        <w:rPr>
          <w:rFonts w:ascii="Arial" w:cs="Arial" w:eastAsia="Arial" w:hAnsi="Arial"/>
          <w:sz w:val="16"/>
          <w:szCs w:val="16"/>
          <w:color w:val="auto"/>
        </w:rPr>
        <w:t>, on the consolidated statement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420 Nash, LLC</w:t>
      </w:r>
    </w:p>
    <w:p>
      <w:pPr>
        <w:spacing w:after="0" w:line="117"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On September 27, 2021, we entered into a lease agreement with 420 Nash, LLC, a related party, whereby we leased an approximately 19,125 rentable square foot property located at 420 Nash Street, El Segundo, California, to be used primarily for the warehousing and storage of drug manufacturing supplies, products and equipment and ancillary office space.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 terms of the lease agreement, the lease term began on October 1, 2021 and expires on September 30, 2026. The base rent is approximately $38,250 per month with an annual increase of 3% on October 1 of each year beginning in 2022 during the initial term. The company is responsible for the payment of real property taxes, repairs and maintenance, improvements, insurance and operating expenses during the term of the lease. We will receive a rent abatement for the first month of the lease, and a one-time improvement allowance of $15,000 from the landlord that will be credited against base rent obligations for the second month of the lease.</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The company has options to extend the lease term for two additional consecutive periods of five years each. At the beginning of each option term, the initial monthly base rent will be adjusted to market rent (as defined in the lease agreement) with an annual increase of 3% during the option term. We have included the first option to extend the lease term for five years as part of the initial term of the lease as it is reasonably certain that we will exercise the option, which implies lease expiration in September 2031. For the years ended December 31, 2022 and 2021, we recorded $0.5 million and $0.1 million of rent expense for the lease, respectively, which was included in </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on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Alaska, LLC</w:t>
      </w:r>
    </w:p>
    <w:p>
      <w:pPr>
        <w:spacing w:after="0" w:line="11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On May 6, 2022, we entered into a lease agreement with 23 Alaska, LLC, a related party, for a 47,265 rentable square foot facility located at 2335 Alaska Ave., El Segundo, California, to be used primarily for pharmaceutical development and manufacturing, research and development, and office space.</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Under the terms of the agreement, the lease term begins on May 1, 2022 and expires on April 30, 2027. The base rent is approximately</w:t>
      </w:r>
    </w:p>
    <w:p>
      <w:pPr>
        <w:spacing w:after="0" w:line="1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$139,400 per month with an annual increase of 3% on May 1 of each year beginning in 2023 during the initial term. We will receive a rent abatement for the second through sixth month of the lease. We are also required to pay $7,600 per month for parking during the initial term and extension term, if exercised. The company is responsible for the payment of real property taxes, repairs and maintenance, improvements, insurance, and operating expenses during the term of the lease.</w:t>
      </w:r>
    </w:p>
    <w:p>
      <w:pPr>
        <w:spacing w:after="0" w:line="202"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color w:val="auto"/>
        </w:rPr>
        <w:t>The company is responsible for the costs associated with the build-out of the premises and will received a one-time tenant improvement allowance of approximately $0.9 million from the landlord. As of December 31, 2022, we re-evaluated plan of the future development of the facility and deemed it unlikely to claim any of the allowance during the reimbursement time frame. As such, we wrote off the entire allowance receivable of $0.9 million during the year ended December 31, 2022.</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color w:val="auto"/>
        </w:rPr>
        <w:t xml:space="preserve">The company has an option to extend the lease term for one additional consecutive five-year period. At the beginning of the option term, the initial monthly base rent will be adjusted to market rent (as defined in the lease agreement) with an annual increase of 3% during the option term. We recorded $1.2 million of rent expense for this lease for the year ended December 31, 2022 in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on the consolidated statement of operations.</w:t>
      </w:r>
    </w:p>
    <w:p>
      <w:pPr>
        <w:spacing w:after="0" w:line="2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Warrant Liability</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December 12, 2022, in connection with the sale of 9,090,909 shares of our common stock to an institutional investor, we entered into a warrant agreement that offers purchase of up to 9,090,909 shares at an exercise price of $6.60 per share. The warrants are accounted for in accordance with</w:t>
      </w:r>
    </w:p>
    <w:p>
      <w:pPr>
        <w:ind w:right="20"/>
        <w:spacing w:after="0" w:line="295" w:lineRule="auto"/>
        <w:rPr>
          <w:sz w:val="20"/>
          <w:szCs w:val="20"/>
          <w:color w:val="auto"/>
        </w:rPr>
      </w:pPr>
      <w:r>
        <w:rPr>
          <w:rFonts w:ascii="Arial" w:cs="Arial" w:eastAsia="Arial" w:hAnsi="Arial"/>
          <w:sz w:val="16"/>
          <w:szCs w:val="16"/>
          <w:color w:val="auto"/>
        </w:rPr>
        <w:t>ASC 815-40. Such guidance provides that because the warrants do not meet the criteria for equity treatment thereunder, such warrant must be recorded as a liability. The warrant agreement contains a provision that in the event of a “fundamental transaction” (as defined in the warrant agreement), in certain circumstances the holder of warrants may choose to require the company, or its successor, to redeem the warrants for cash at a value based on the Black-Scholes option pricing model obtained from the Bloomberg Financial Markets with inputs as defined in the warrant agreement.</w:t>
      </w:r>
    </w:p>
    <w:p>
      <w:pPr>
        <w:spacing w:after="0" w:line="16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We determined that the defined input in the warrant agreement for the exercise price per share in the Black-Scholes option pricing model will result in a settlement value which may not be considered a fair value, and therefore the warrants do not meet the criteria for equity treatment. We classified the warrants as a liability at their fair value determined using the Black-Scholes option pricing model, and the warrants were allocated a portion of the proceeds from the issuance of the common stock equal to $35.1 million on the date of the transaction. The $1.1 million of transaction costs allocated to the warrant liability was recognized in </w:t>
      </w:r>
      <w:r>
        <w:rPr>
          <w:rFonts w:ascii="Arial" w:cs="Arial" w:eastAsia="Arial" w:hAnsi="Arial"/>
          <w:sz w:val="17"/>
          <w:szCs w:val="17"/>
          <w:i w:val="1"/>
          <w:iCs w:val="1"/>
          <w:color w:val="auto"/>
        </w:rPr>
        <w:t>other expense, net,</w:t>
      </w:r>
      <w:r>
        <w:rPr>
          <w:rFonts w:ascii="Arial" w:cs="Arial" w:eastAsia="Arial" w:hAnsi="Arial"/>
          <w:sz w:val="17"/>
          <w:szCs w:val="17"/>
          <w:color w:val="auto"/>
        </w:rPr>
        <w:t xml:space="preserve"> on the consolidated statement of operations for the year ended December 31, 2022. The warrant liability is subject to remeasurement at each balance sheet date. With each such remeasurement, the warrant liability will be adjusted to fair value, with the change in fair value recognized in </w:t>
      </w:r>
      <w:r>
        <w:rPr>
          <w:rFonts w:ascii="Arial" w:cs="Arial" w:eastAsia="Arial" w:hAnsi="Arial"/>
          <w:sz w:val="17"/>
          <w:szCs w:val="17"/>
          <w:i w:val="1"/>
          <w:iCs w:val="1"/>
          <w:color w:val="auto"/>
        </w:rPr>
        <w:t>other expense, net</w:t>
      </w:r>
      <w:r>
        <w:rPr>
          <w:rFonts w:ascii="Arial" w:cs="Arial" w:eastAsia="Arial" w:hAnsi="Arial"/>
          <w:sz w:val="17"/>
          <w:szCs w:val="17"/>
          <w:color w:val="auto"/>
        </w:rPr>
        <w:t>, on the consolidated statement of operations. As of December 31, 2022, there were 9,090,909 third-party warrants outstanding, with a fair value of $21.6 million.</w:t>
      </w: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Stockholders’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Authorized for Issuance</w:t>
      </w:r>
    </w:p>
    <w:p>
      <w:pPr>
        <w:spacing w:after="0" w:line="11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As of December 31, 2022, the company was authorized to issue up to 900,000,000 shares of its common stock, par value $0.0001 per share, and 20,000,000 shares of our preferred stock, par value $0.0001 per share. As of December 31, 2022, there were 421,569,115 shares of our common stock outstanding (excluding 163,800 shares held by a majority owned subsidiary of the company that are treated as treasury shares for accounting purposes).</w:t>
      </w:r>
    </w:p>
    <w:p>
      <w:pPr>
        <w:spacing w:after="0" w:line="14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Effective February 1, 2022, ImmunityBio amended and restated its Amended and Restated Certificate of Incorporation to increase the number of shares of common stock that the company is authorized to issue from 500,000,000 shares, $0.0001 par value per share, to 900,000,000 shares, $0.0001 par value per share. The number of shares of preferred stock that the company is authorized to issue remains unchanged at 20,000,000 shares.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in Connection with the Merger</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terms of the Merger Agreement, at the Effective Time of the Merger, each share of NantCell common stock, par value $0.001 per share, issued and outstanding immediately prior to the Effective Time, subject to certain exceptions as set forth in the Merger Agreement, was converted automatically into a right to receive 0.8190 newly issued shares of common stock, par value $0.0001 per share, resulting in the issuance of approximately 273.7 million shares of Company Common Stock. From and after the Effective Time, all of such NantCell shares ceased to be outstanding, were canceled and ceased to exist. At the Effective Time, each share of our common stock issued and outstanding immediately prior to the Effective Time, remained an issued and outstanding share of the combined company.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the Merger was accounted for as a transaction between entities under common control, the outstanding shares presented on the consolidated financial statements assume that NantCell outstanding common stock was converted into shares of Company Common Stock for the periods ending December 31, 2021 and 2020, and in connection with the conversion, those shares of common stock were recorded at the company’s par value of $0.0001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Share Repurchase Program</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2015, the Board of Directors approved the 2015 Share Repurchase Program, which allows our CEO or chief financial officer (CFO), to repurchase on behalf of the company, from time to time in the open market or in privately negotiated transactions, up to $50.0 million of our outstanding shares of common stock, exclusive of any commissions, markups or expenses. The timing and amounts of any purchases were and will continue to be based on market conditions and other factors, including price, regulatory requirements and other corporate considerations. The 2015 Share Repurchase Program does not require the purchase of any minimum number of shares and may be suspended, modified, or discontinued at any time without prior notice. We have financed, and expect to continue to finance, the purchases with existing cash balances. Shares repurchased under this program are formally retired through approval of the Board of Directors upon repurchase.</w:t>
      </w:r>
    </w:p>
    <w:p>
      <w:pPr>
        <w:spacing w:after="0" w:line="17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No shares of our common stock were repurchased during the years ended December 31, 2022, 2021 and 2020 under the program. Since the plan’s inception, we have repurchased a total of 6,403,489 shares at a total cost of $31.7 million. As of December 31, 2022, $18.3 million remained authorized to use for share repurchases under the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April 30, 2021, we entered into an open market sale agreement (the Sale Agreement) with respect to an ATM offering program under which we may offer and sell, from time to time at our sole discretion, shares of our common stock, having an initial aggregate offering price of up to $500.0 million through our sales agent, which was subsequently reduced by $92.0 million during December 2022 in connection with a sale of our common stock described below. See “</w:t>
      </w:r>
      <w:r>
        <w:rPr>
          <w:rFonts w:ascii="Arial" w:cs="Arial" w:eastAsia="Arial" w:hAnsi="Arial"/>
          <w:sz w:val="17"/>
          <w:szCs w:val="17"/>
          <w:i w:val="1"/>
          <w:iCs w:val="1"/>
          <w:color w:val="auto"/>
        </w:rPr>
        <w:t>—Other Sales of Common Stock.</w:t>
      </w:r>
      <w:r>
        <w:rPr>
          <w:rFonts w:ascii="Arial" w:cs="Arial" w:eastAsia="Arial" w:hAnsi="Arial"/>
          <w:sz w:val="17"/>
          <w:szCs w:val="17"/>
          <w:color w:val="auto"/>
        </w:rPr>
        <w:t>” We pay our sales agent a commission of up to 3.0% of the gross sales proceeds of any shares of our common stock sold through them under the Sale Agreement, and also have provided them with customary indemnification and contribution rights. As of December 31, 2022, we had $225.4 million available for future stock issuances under the ATM.</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the year ended December 31, 2022, we received net proceeds totaling $13.1 million from the issuance of 2,051,894 shares under the ATM.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 We may also use a portion of the net proceeds to license intellectual property or to make acquisitions or investments.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During the year ended December 31, 2021, we received net proceeds totaling $164.5 million from the issuance of 13,295,817 shares under</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ATM, which were used for general corporate purposes, including to progress our clinical development programs, fund other research and development activities, make capital expenditures and fund working capital.</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are not obligated to sell any shares and may at any time suspend solicitation and offers under the Sale Agreement. The Sale Agreement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On December 12, 2022, we entered into a securities purchase agreement with an institutional investor for the sale of 9,090,909 shares of our common stock, as well as warrants to purchase an additional 9,090,909 shares of common stock at an exercise price of $6.60 per share, for a purchase price of $5.50 per share and accompanying warrant, generating net proceeds of approximately $47.0 million, after deducting placement agent fees and other offering costs of $3.0 million, of which $1.9 million was allocated to the sale of our common stock and recognized as </w:t>
      </w:r>
      <w:r>
        <w:rPr>
          <w:rFonts w:ascii="Arial" w:cs="Arial" w:eastAsia="Arial" w:hAnsi="Arial"/>
          <w:sz w:val="16"/>
          <w:szCs w:val="16"/>
          <w:i w:val="1"/>
          <w:iCs w:val="1"/>
          <w:color w:val="auto"/>
        </w:rPr>
        <w:t>additional-paid-in capital,</w:t>
      </w:r>
      <w:r>
        <w:rPr>
          <w:rFonts w:ascii="Arial" w:cs="Arial" w:eastAsia="Arial" w:hAnsi="Arial"/>
          <w:sz w:val="16"/>
          <w:szCs w:val="16"/>
          <w:color w:val="auto"/>
        </w:rPr>
        <w:t xml:space="preserve"> on the consolidated statement of stockholders’ deficit for the year ended December 31, 2022.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 See </w:t>
      </w:r>
      <w:r>
        <w:rPr>
          <w:rFonts w:ascii="Arial" w:cs="Arial" w:eastAsia="Arial" w:hAnsi="Arial"/>
          <w:sz w:val="16"/>
          <w:szCs w:val="16"/>
          <w:u w:val="single" w:color="auto"/>
          <w:color w:val="0000FF"/>
        </w:rPr>
        <w:t>Note 11</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i w:val="1"/>
          <w:iCs w:val="1"/>
          <w:color w:val="auto"/>
          <w:highlight w:val="white"/>
        </w:rPr>
        <w:t>Warrant Liability,</w:t>
      </w:r>
      <w:r>
        <w:rPr>
          <w:rFonts w:ascii="Arial" w:cs="Arial" w:eastAsia="Arial" w:hAnsi="Arial"/>
          <w:sz w:val="16"/>
          <w:szCs w:val="16"/>
          <w:color w:val="auto"/>
        </w:rPr>
        <w:t xml:space="preserve"> </w:t>
      </w:r>
      <w:r>
        <w:rPr>
          <w:rFonts w:ascii="Arial" w:cs="Arial" w:eastAsia="Arial" w:hAnsi="Arial"/>
          <w:sz w:val="16"/>
          <w:szCs w:val="16"/>
          <w:color w:val="auto"/>
          <w:highlight w:val="white"/>
        </w:rPr>
        <w:t>for further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During the year ended December 31, 2020, we closed an underwritten public offering of an aggregate of 8,521,500 shares of common stock, which included 4,811,500 shares issued to the public at a price of $9.50 per share (including 1,111,500 shares sold to the public upon full exercise of the underwriters’ option to purchase additional shares at a public offering price of $9.50 per share), less underwriting discounts and commissions, and 3,710,000 shares issued to Dr. Soon-Shiong, our Executive Chairman and Global Chief Scientific and Medical Officer, at a price of $12.12 per share, less underwriting discounts and commissions. All of the shares were offered by the company. Including the underwriters’ option exercise, the aggregate gross proceeds from the offering were $90.7 million, before deducting underwriting discounts, commissions and other offering costs of $4.4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Fixed-Rate Promissory Note into Common Stock</w:t>
      </w:r>
    </w:p>
    <w:p>
      <w:pPr>
        <w:spacing w:after="0" w:line="11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December 12, 2022, the company received written notice from NantWorks, the holder of the Existing Note, of its election to convert the entire outstanding principal and accrued interest under the Existing Note into shares of the company’s common stock. As of such date, the entire outstanding principal amount and accrued and unpaid interest due under the Existing Note of approximately $56.6 million and an unamortized debt discount of</w:t>
      </w:r>
    </w:p>
    <w:p>
      <w:pPr>
        <w:spacing w:after="0" w:line="2"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 xml:space="preserve">$4.7 million were converted into 9,986,920 shares of the company’s common stock at a price of $5.67 per share in accordance with the terms of the Existing Note. We recorded a net increase of $51.9 million in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on the consolidated balance sheet related to this transaction.</w:t>
      </w: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2015, the Board of Directors adopted, and our stockholders approved, the 2015 Plan. The 2015 Plan, as amended, permits the grant of incentive stock options to the company’s employees, and the grant of non-statutory stock options, restricted stock, RSUs, stock appreciation rights, performance units and performance shares to the company’s employees, directors and consultants. In addition, the number of shares reserved for future grant under the 2015 Plan include shares subject to stock options granted under the 2014 Plan that expire or terminate without having been exercised in full and shares issued pursuant to awards granted under the 2014 Plan that are forfeited to or repurchased by us (provided that the maximum number of shares that may be added to the 2015 Plan pursuant to this provision is approximately 503,493 shares as of December 31, 2022). Pursuant to the Merger, we assumed 7,121,110 RSUs (adjusted for the Exchange Ratio of 0.8190) issued under the 2015 NC Plan.</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2022, the 2015 Plan is the only equity plan available for grant of equity awards to employees, directors and consultants of the company. At the company’s 2022 Annual Meeting of Stockholders held on June 14, 2022, stockholders approved an amendment to increase the number of shares of common stock authorized for issuance under the 2015 Plan by 19,900,000 shares. As of December 31, 2022, approximately 18.4 million shares were available for future grants under the 2015 Plan.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stock-based compensation included on the consolidated statements of operations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40"/>
        </w:trPr>
        <w:tc>
          <w:tcPr>
            <w:tcW w:w="6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13,280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6480" w:type="dxa"/>
            <w:vAlign w:val="bottom"/>
          </w:tcPr>
          <w:p>
            <w:pPr>
              <w:spacing w:after="0"/>
              <w:rPr>
                <w:sz w:val="19"/>
                <w:szCs w:val="19"/>
                <w:color w:val="auto"/>
              </w:rPr>
            </w:pPr>
          </w:p>
        </w:tc>
        <w:tc>
          <w:tcPr>
            <w:tcW w:w="94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40,179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Stock-based compensation expense in operating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11,669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28,510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r>
      <w:tr>
        <w:trPr>
          <w:trHeight w:val="223"/>
        </w:trPr>
        <w:tc>
          <w:tcPr>
            <w:tcW w:w="6480" w:type="dxa"/>
            <w:vAlign w:val="bottom"/>
          </w:tcPr>
          <w:p>
            <w:pPr>
              <w:spacing w:after="0"/>
              <w:rPr>
                <w:sz w:val="19"/>
                <w:szCs w:val="19"/>
                <w:color w:val="auto"/>
              </w:rPr>
            </w:pPr>
          </w:p>
        </w:tc>
        <w:tc>
          <w:tcPr>
            <w:tcW w:w="94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40,179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r>
      <w:tr>
        <w:trPr>
          <w:trHeight w:val="21"/>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and related information for the year ended December 31,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Intrinsic</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0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4,124,930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5,736,256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Expired/forfeited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(583,493)</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9,262,926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0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3,445,499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On March 23, 2022, the Compensation Committee of the Board of Directors granted option awards to purchase a total of 4,728,634 shares of our common stock pursuant to the 2015 Plan at an exercise price of $5.83 per share, the closing price reported on the Nasdaq on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the option awards granted, 3,903,634 shares subject to such option awards were awarded to employees of the company (of which</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825,000 options were awarded to the company’s named executive officers (NEOs)). The shares subject to the option shall vest in equal annual installments of 1/3rd on each of the first, second and third anniversaries of March 23, 2022 (the “vesting commencement date”), such that all shares shall be fully vested on the third anniversary of the vesting commencement date, subject to the recipient continuing to be a “service provider” as defined in the 2015 Plan through each applicable vesting date.</w:t>
      </w:r>
    </w:p>
    <w:p>
      <w:pPr>
        <w:spacing w:after="0" w:line="193"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remaining 825,000 shares subject to such option awards were awarded to the company’s NEOs with a performance condition. Subject to the company’s attainment of a financial goal for the fiscal year ending December 31, 2022, 1/3rd of the shares subject to the option shall vest in equal annual installments on each of the first, second and third anniversaries of the vesting commencement date, such that all shares shall be fully vested on the third anniversary of the vesting commencement date, subject to the recipient continuing to be a “service provider” through each applicable vesting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2022, the unrecognized compensation cost related to outstanding stock options was $20.4 million, which is expected to be recognized over a remaining weighted-average period of 1.8 years.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total intrinsic value of stock options exercised during the year ended December 31, 2022 was immaterial. Cash proceeds received from stock option exercises during the year ended December 31, 2022 was $0.1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a total of 3,038,322 vested and exercisable stock options were outstanding.</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stock options issued was estimated at the date of grant using the Black-Scholes option pricing model with the following weighted-average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6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r>
      <w:tr>
        <w:trPr>
          <w:trHeight w:val="41"/>
        </w:trPr>
        <w:tc>
          <w:tcPr>
            <w:tcW w:w="6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5.69 years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5.90 years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96.8 %</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4.64</w:t>
            </w:r>
          </w:p>
        </w:tc>
      </w:tr>
    </w:tbl>
    <w:p>
      <w:pPr>
        <w:spacing w:after="0" w:line="29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expected term was estimated using the average of the contractual term and the weighted-average vesting term of the options. The risk-free interest rate was based on the U.S. Treasury’s rates for U.S. Treasury zero-coupon bonds with maturities similar to those of the expected term of the award being valued. The expected volatility was estimated based on the historical volatility of our common stock. The assumed dividend yield was based on our expectation of not paying dividends for the foreseeable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during the year ended December 31, 2022:</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8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8100" w:type="dxa"/>
            <w:vAlign w:val="bottom"/>
          </w:tcPr>
          <w:p>
            <w:pPr>
              <w:spacing w:after="0"/>
              <w:rPr>
                <w:sz w:val="15"/>
                <w:szCs w:val="15"/>
                <w:color w:val="auto"/>
              </w:rPr>
            </w:pPr>
          </w:p>
        </w:tc>
        <w:tc>
          <w:tcPr>
            <w:tcW w:w="1500" w:type="dxa"/>
            <w:vAlign w:val="bottom"/>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Grant Date</w:t>
            </w:r>
          </w:p>
        </w:tc>
      </w:tr>
      <w:tr>
        <w:trPr>
          <w:trHeight w:val="186"/>
        </w:trPr>
        <w:tc>
          <w:tcPr>
            <w:tcW w:w="8100" w:type="dxa"/>
            <w:vAlign w:val="bottom"/>
          </w:tcPr>
          <w:p>
            <w:pPr>
              <w:spacing w:after="0"/>
              <w:rPr>
                <w:sz w:val="16"/>
                <w:szCs w:val="16"/>
                <w:color w:val="auto"/>
              </w:rPr>
            </w:pPr>
          </w:p>
        </w:tc>
        <w:tc>
          <w:tcPr>
            <w:tcW w:w="1500" w:type="dxa"/>
            <w:vAlign w:val="bottom"/>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8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34"/>
        </w:trPr>
        <w:tc>
          <w:tcPr>
            <w:tcW w:w="8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6,515,889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50"/>
        </w:trPr>
        <w:tc>
          <w:tcPr>
            <w:tcW w:w="81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1,772,562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63"/>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56"/>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(1,215,767)</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17.60</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6,551,388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As of December 31, 2022, there was $70.1 million of unrecognized stock-based compensation expense related to RSUs that is expected to be recognized over a weighted-average period of 2.7 years. The total intrinsic value of RSUs vested during the year ended December 31, 2022 was $2.6 million.</w:t>
      </w:r>
    </w:p>
    <w:p>
      <w:pPr>
        <w:spacing w:after="0" w:line="1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 xml:space="preserve">We may grant RSUs to both employees and directors of the company and to employees of related parties that provide shared services to the company under our shared services agreement with NantWorks as discussed in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Agreements</w:t>
      </w:r>
      <w:r>
        <w:rPr>
          <w:rFonts w:ascii="Arial" w:cs="Arial" w:eastAsia="Arial" w:hAnsi="Arial"/>
          <w:sz w:val="18"/>
          <w:szCs w:val="18"/>
          <w:color w:val="auto"/>
        </w:rPr>
        <w:t>. The grant date fair value of an RSU equals the closing price of our common stock on the date of grant.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RSUs awarded to employees and consultants of affiliated companies are accounted for as stock-based compensation in accordance with ASU 2018-07,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as the compensation was in exchange for continued support or services expected to be provided to the company over the vesting periods under the NantWorks shared services agreement discussed in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Related-Party Agreements</w:t>
      </w:r>
      <w:r>
        <w:rPr>
          <w:rFonts w:ascii="Arial" w:cs="Arial" w:eastAsia="Arial" w:hAnsi="Arial"/>
          <w:sz w:val="18"/>
          <w:szCs w:val="18"/>
          <w:color w:val="auto"/>
        </w:rPr>
        <w:t xml:space="preserve">. We have evaluated the associated benefit of these awards to the affiliated companies under common control and determined that the benefit is limited to the retention of their employees. We estimated such benefit at the grant date fair value of $4.0 million and recorded $0.4 million and $0.9 million of deemed dividends for the years ended December 31, 2022 and 2021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on the consolidated balance sheets, with a corresponding credit to stock-based compensation expense.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Warrants</w:t>
      </w:r>
    </w:p>
    <w:p>
      <w:pPr>
        <w:spacing w:after="0" w:line="11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connection with the Merger, warrants issued to NantWorks, a related party, in connection with NantCell’s acquisition of Altor were assumed by the company. After applying the Exchange Ratio at the Effective Time of the Merger, a total of 1,638,000 warrants with an exercise price of $3.24 per share were outstanding as of December 31, 2022. The fair value of $18.0 million assigned to the warrants will be recognized in equity upon achievement of a performance-based vesting condition pertaining to building manufacturing capacity to support supply requirements for one of our product candidates.</w:t>
      </w:r>
    </w:p>
    <w:p>
      <w:pPr>
        <w:spacing w:after="0" w:line="2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subject to U.S. federal income tax, as well as income tax in Italy, South Korea, California and other states. From inception through December 31, 2022, we have not been required to pay U.S. federal and state income taxes because of current and accumulated net operating losses (NOLs). Our federal returns for tax years 2019 through 2021 remain open to examination, and our state returns remain subject to examination for tax years 2018 through 2021. The Italian and South Korea returns for tax years 2017 through 2021 remain open to examination.</w:t>
      </w:r>
    </w:p>
    <w:p>
      <w:pPr>
        <w:spacing w:after="0" w:line="17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Carryforward attributes that were generated in years where the statute of limitations is closed may still be adjusted upon examination by the Internal Revenue Service (IRS) or other respective tax authorities. No income tax returns are currently under examination by taxing authorities. There are no cumulative earnings in our Italian and South Korean subsidiaries as of December 31, 2022 that would be subject to U.S. income tax or foreign withholding tax. We plan to indefinitely reinvest any future earnings of our foreign subsidiaries.</w:t>
      </w:r>
    </w:p>
    <w:p>
      <w:pPr>
        <w:spacing w:after="0" w:line="171"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On March 9, 2021, the company completed the Merger with NantCell. The Merger is accounted for as a transaction between entities under common control, and is considered a nontaxable transaction for U.S. income tax purposes, as it is intended to qualify as a “reorganization” within the meaning of Section 368(a) of the Internal Revenue Code of 1986, as amended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loss before income taxes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loss before income taxes</w:t>
            </w:r>
          </w:p>
        </w:tc>
        <w:tc>
          <w:tcPr>
            <w:tcW w:w="2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(413,653)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(223,519)</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loss before income taxes</w:t>
            </w: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201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9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benefit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41"/>
        </w:trPr>
        <w:tc>
          <w:tcPr>
            <w:tcW w:w="4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2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22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income tax (expense) benefit</w:t>
            </w:r>
          </w:p>
        </w:tc>
        <w:tc>
          <w:tcPr>
            <w:tcW w:w="2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20" w:type="dxa"/>
            <w:vAlign w:val="bottom"/>
            <w:gridSpan w:val="4"/>
          </w:tcPr>
          <w:p>
            <w:pPr>
              <w:ind w:left="660"/>
              <w:spacing w:after="0"/>
              <w:rPr>
                <w:sz w:val="20"/>
                <w:szCs w:val="20"/>
                <w:color w:val="auto"/>
              </w:rPr>
            </w:pPr>
            <w:r>
              <w:rPr>
                <w:rFonts w:ascii="Arial" w:cs="Arial" w:eastAsia="Arial" w:hAnsi="Arial"/>
                <w:sz w:val="18"/>
                <w:szCs w:val="18"/>
                <w:color w:val="auto"/>
                <w:w w:val="94"/>
              </w:rPr>
              <w:t>The components that comprise our net deferred tax liability consist of the following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362,360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314,612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174 R&amp;E capitalization</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387,410</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discount</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 assets</w:t>
            </w:r>
          </w:p>
        </w:tc>
        <w:tc>
          <w:tcPr>
            <w:tcW w:w="22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491,597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374,998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(491,755)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(375,160)</w:t>
            </w:r>
          </w:p>
        </w:tc>
        <w:tc>
          <w:tcPr>
            <w:tcW w:w="0" w:type="dxa"/>
            <w:vAlign w:val="bottom"/>
          </w:tcPr>
          <w:p>
            <w:pPr>
              <w:spacing w:after="0"/>
              <w:rPr>
                <w:sz w:val="1"/>
                <w:szCs w:val="1"/>
                <w:color w:val="auto"/>
              </w:rPr>
            </w:pPr>
          </w:p>
        </w:tc>
      </w:tr>
      <w:tr>
        <w:trPr>
          <w:trHeight w:val="223"/>
        </w:trPr>
        <w:tc>
          <w:tcPr>
            <w:tcW w:w="4240" w:type="dxa"/>
            <w:vAlign w:val="bottom"/>
          </w:tcPr>
          <w:p>
            <w:pPr>
              <w:ind w:left="520"/>
              <w:spacing w:after="0"/>
              <w:rPr>
                <w:sz w:val="20"/>
                <w:szCs w:val="20"/>
                <w:color w:val="auto"/>
              </w:rPr>
            </w:pPr>
            <w:r>
              <w:rPr>
                <w:rFonts w:ascii="Arial" w:cs="Arial" w:eastAsia="Arial" w:hAnsi="Arial"/>
                <w:sz w:val="18"/>
                <w:szCs w:val="18"/>
                <w:color w:val="auto"/>
              </w:rPr>
              <w:t>Net deferred tax liability</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280" w:type="dxa"/>
            <w:vAlign w:val="bottom"/>
            <w:vMerge w:val="restart"/>
          </w:tcPr>
          <w:p>
            <w:pPr>
              <w:jc w:val="right"/>
              <w:ind w:right="67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2022, we have federal net operating losses (NOLs) of $1.4 billion, state NOLs of $1.5 billion, and foreign NOLs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$10.1 million. Of the $1.4 billion in federal NOLs, $967.3 million do not expire and will be able to be used to offset 80% of taxable income in future years. Of the $1.5 billion in state NOLs, $49.7 million do not expire and will be able to be used to offset 80% of taxable income in future years. The remaining federal NOL carryforwards expire beginning in 2023, the remaining state NOL carryforwards expire beginning in 2023, the South Korean NOL carryforwards expire beginning in 2023 and the Italian NOLs do not expire.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assessing the realization of deferred tax assets, management considers whether it is more likely than not that some or all of our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economic conditions, we have recorded a valuation allowance of $491.8 million and $375.2 million as of December 31, 2022 and 2021, respectively. The change in the valuation allowance for the years ended December 31, 2022 and 2021 were increases of $116.6 million and $113.7 million, respectively, which were mainly driven by losses from which we cannot benefit. The portion of the valuation allowance for deferred tax assets for which subsequently recognized tax benefits will be credited directly to contributed capital is $0.2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statutory income tax rate to our effective income tax rate is as follows:</w:t>
      </w:r>
    </w:p>
    <w:p>
      <w:pPr>
        <w:spacing w:after="0" w:line="257"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40"/>
        </w:trPr>
        <w:tc>
          <w:tcPr>
            <w:tcW w:w="62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permanent items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Tax rate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162(m) limitation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1"/>
        </w:trPr>
        <w:tc>
          <w:tcPr>
            <w:tcW w:w="6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Code Sections 382 and 383, annual use of our net operating loss and research and development credit carryforwards may be limited in the event a cumulative change in ownership of more than 50% occurs within a three-year period. We have not recognized the deferred tax assets for federal and state NOLs and credits of $274.2 million from our deferred tax asset schedules as of December 31, 2022 due to Section 382/383 limitations. There is no impact to tax expense for the derecognition of net operating losses, and federal and state research and development credits due to the valuation allowance recorded against our deferred tax assets.</w:t>
      </w:r>
    </w:p>
    <w:p>
      <w:pPr>
        <w:spacing w:after="0" w:line="18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As of December 31, 2022, we also had federal research tax credit carryforwards of $36.0 million and state research tax credits of $22.5 million. The federal research tax credit carryforwards expire beginning in 2032 and certain state research tax credit carryforwards expire beginning in 2030. Our California research tax credits can be carried forward indefinitely.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operating losses and tax credits also are limited when there is a separate return limitation year (SRLY). These rules generally limit the use of the acquired or departing members’ net operating loss and tax credit carryovers to the amount of taxable income such entity contributes to consolidated taxable income. The 80% limitation also applies to SRLY NOL carryovers and tax credits. Therefore, any SRLY NOLs and tax credits will be subject to this limitation, as well as Section 382 and 383 limitations.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of December 31, 2022 and 2021, we have $77.6 million and $33.1 million of interest, respectively, that is temporarily disallowed pursuant to IRC Section 163(j). This interest can be carried forward indefinitely and will be deductible when the company generates sufficient adjusted taxable income.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to the amount of unrecognized tax benefits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40"/>
        </w:trPr>
        <w:tc>
          <w:tcPr>
            <w:tcW w:w="6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4,763</w:t>
            </w: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related to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end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Included in the balance of unrecognized tax benefits as of December 31, 2022 is $13.8 million that, if recognized, would not impact our income tax benefit or effective tax rate as long as the deferred tax asset remains subject to a full valuation allowance. We do not expect that the unrecognized tax benefits will change within 12 months of December 31, 2022. Due to the existence of the valuation allowance, future changes in our unrecognized tax benefits will not impact our effective tax rate. We have not incurred any material interest or penalties as of the current reporting date with respect to income tax matters.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 of 2022</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Inflation Reduction Act 2022, which incorporates a Corporate Alternative Minimum Tax (CAMT), was signed on August 16, 2022. The changes are effective for the tax years beginning after December 31, 2022. The new tax will require companies to compute two separate calculations for federal income tax purposes and pay the greater of the new minimum tax or their regular tax liability. The company will be monitoring the impact of the act to determine if it will have an impact on the company for years beginning after December 31, 2022. We currently do not expect this act will have a material effect on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Aid, Relief and Economic Security Act</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27, 2020, the U.S. enacted the Coronavirus Aid, Relief and Economic Security Act (the CARES Act). The Cares Act is an emergency economic stimulus package that includes spending and tax breaks to strengthen the U.S. economy and fund a nationwide effort to curtail the effect of COVID-19. The CARES Act provides sweeping tax changes in response to the COVID-19 pandemic. Under the CARES Act, some of the more significant provisions are NOL carrybacks for five years to offset previous years’ income, or can be carried forward indefinitely to offset 100% of taxable income for the tax year beginning before 2021 and 80% of taxable income for tax years 2021 and thereafter, increasing the ability to deduct interest expense, as well as amending certain provisions of the previously enacted Tax Cuts and Jobs Act. During the years ended December 31, 2022, 2021, and 2020, we did not record any income tax (expense) benefit resulting from the CARES Act, mainly due to our history of net operating losses generated and the maintenance of a full valuation allowance against our net deferred tax assets. There was no material impact from the provisions of the Cares Act for the years ended December 31, 2022 and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of California Assembly Bill No. 85</w:t>
      </w:r>
    </w:p>
    <w:p>
      <w:pPr>
        <w:spacing w:after="0" w:line="11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June 29, 2020, the state of California enacted Assembly Bill No. 85 (AB 85) suspending California NOL utilization and imposing a cap on the amount of business incentive tax credits companies can utilize, effective for tax years 2020, 2021 and 2022. There was no material impact from the provisions of AB 85 for the years ended December 31, 2022, 2021 and 2020. On February 9, 2022, Senate Bill No. 113 was enacted that removed the limitations on the use of NOLs and the cap on the business incentive tax credits that were suspended in accordance with AB 85 effective for tax year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Benefit Plan</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2015, we adopted a 401(k) retirement and savings plan (the 401(k) Plan) covering all employees. The 401(k) Plan allows employees to make pre- and post-tax contributions up to the maximum allowable amount set by the IRS. The company, at its discretion, may make certain contributions to the 401(k) Plan. We made contributions totaling $2.7 million, $1.7 million and $1.1 million to the 401(k) Plan for the years ended December 31, 2022,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Compensated Absences</w:t>
      </w:r>
    </w:p>
    <w:p>
      <w:pPr>
        <w:spacing w:after="0" w:line="11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Under our vacation policy, salaried employees are provided unlimited vacation leave. Therefore, we do not record an accrual for paid leave related to these employees since we are unable to reasonably estimate the compensated absences that these employees will take.</w:t>
      </w: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15, 2023, we entered into a securities purchase agreement with certain institutional investors for the sale of 14,072,615 shares of our common stock, as well as warrants to purchase an additional 14,072,615 shares of common stock at an exercise price of $4.2636 per share, for a purchase price of $3.5530 per share and accompanying warrant, generating net proceeds of approximately $47.0 million, after deducting placement agent fees and other estimated offering costs. The warrants are immediately exercisable after the issuance date and expire two years after the initial issuance date. The closing of the offering occurred on February 17, 2023. We currently intend to use the net proceeds from this offering, together with other available funds, to progress our pre-commercialization efforts and clinical development programs, fund other research and development activities, for capital expenditures, and for other general corporate purposes. We may also use a portion of the net proceeds to license intellectual property or to make acquisitions or investments.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(CEO) and chief financial officer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with the participation of our CEO and CFO, evaluated the effectiveness of our disclosure controls and procedures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The term “disclosure controls and procedures,” as defined in Rule 13a-15(e) of the Exchange Act means controls and other procedures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company that are designed to provide reasonable assurance that information required to be disclosed by a company in the reports that it files or submits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Exchange Act is recorded, processed, summarized and reported within the time periods specified in the SEC’s rules and forms. Disclosure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include, without limitation, controls and procedures designed to provide reasonable assurance that information required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disclosed is accumulated and communicated to our management, including our CEO and CFO, as appropriate, to allow timely decisions regarding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Management recognizes that any controls and procedures, no matter how well designed and operated, can provide only reasonable assurance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achieving their desired control objectives, and management necessarily is required to apply its judgment in evaluating the cost-benefit relationship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possible controls and procedures. Based on the evaluation of our disclosure controls and procedures as of December 31, 2022, our CEO and CFO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as of December 31, 2022, our disclosure controls and procedures were effective at the reasonable assurance level.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CEO and CFO,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and (ii) provide reasonable assurance (a) that transactions are recorded as necessary to permit preparation of financial statements in accordance with generally accepted accounting principles, (b) that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As of December 31, 2022,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2022, our internal control over financial reporting was effective.</w:t>
      </w:r>
    </w:p>
    <w:p>
      <w:pPr>
        <w:spacing w:after="0" w:line="1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our independent registered public accounting firm, as stated in its attestation report appearing on page 147 of this Annual Report under the heading “Report of Independent Registered Public Accounting Firm,” which expresses an unqualified opinion concerning the effectiveness of the company’s internal control over financial reporting as of December 31, 2022.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Exchange Act) during the fiscal quarter ended December 31, 2022,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on Schedule 14A in connection with our 2023 Annual Meeting of Stockholders (the Proxy Statement), which is expected to be filed not later than 120 days after the end of our fiscal year ended December 31, 2022, and is incorporated herein by reference.</w:t>
      </w:r>
    </w:p>
    <w:p>
      <w:pPr>
        <w:spacing w:after="0" w:line="2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“Executive Compensation Tables,” and “Director Compensation,” and is incorporated herein by reference.</w:t>
      </w:r>
    </w:p>
    <w:p>
      <w:pPr>
        <w:spacing w:after="0" w:line="274" w:lineRule="exact"/>
        <w:rPr>
          <w:sz w:val="20"/>
          <w:szCs w:val="20"/>
          <w:color w:val="auto"/>
        </w:rPr>
      </w:pPr>
    </w:p>
    <w:p>
      <w:pPr>
        <w:ind w:left="980" w:right="280" w:hanging="1295"/>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headings “Security Ownership of Certain Beneficial Owners and Management” and “Equity Compensation Plan Information,” and is incorporated herein by reference.</w:t>
      </w: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headings “Certain Relationships and Related-Party Transactions” and “Corporate Governance,” and is incorporated herein by reference.</w:t>
      </w: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 “Fees Paid to Independent Registered Public Accounting Firm” and is incorporated herein by reference.</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financial statement schedules and exhibits filed as part of this Annual Report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Reference is made to the consolidated financial statements identified in the “Index to Financial Statements” under </w:t>
      </w:r>
      <w:r>
        <w:rPr>
          <w:rFonts w:ascii="Arial" w:cs="Arial" w:eastAsia="Arial" w:hAnsi="Arial"/>
          <w:sz w:val="17"/>
          <w:szCs w:val="17"/>
          <w:u w:val="single" w:color="auto"/>
          <w:color w:val="0000FF"/>
        </w:rPr>
        <w:t>Part II, Item 8.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Statements and Supplementary Data”</w:t>
      </w:r>
      <w:r>
        <w:rPr>
          <w:rFonts w:ascii="Arial" w:cs="Arial" w:eastAsia="Arial" w:hAnsi="Arial"/>
          <w:sz w:val="18"/>
          <w:szCs w:val="18"/>
          <w:color w:val="0000FF"/>
        </w:rPr>
        <w:t xml:space="preserve"> </w:t>
      </w:r>
      <w:r>
        <w:rPr>
          <w:rFonts w:ascii="Arial" w:cs="Arial" w:eastAsia="Arial" w:hAnsi="Arial"/>
          <w:sz w:val="18"/>
          <w:szCs w:val="18"/>
          <w:color w:val="000000"/>
        </w:rPr>
        <w:t>of this Annual Report.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 for the Years Ended December 31, 2022, 2021 and 2020</w:t>
      </w:r>
    </w:p>
    <w:p>
      <w:pPr>
        <w:spacing w:after="0" w:line="121"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 xml:space="preserve">All financial statement schedules have been omitted because the information required to be set forth therein is not applicable or is otherwise included in the consolidated financial statements or notes thereto. See </w:t>
      </w:r>
      <w:r>
        <w:rPr>
          <w:rFonts w:ascii="Arial" w:cs="Arial" w:eastAsia="Arial" w:hAnsi="Arial"/>
          <w:sz w:val="18"/>
          <w:szCs w:val="18"/>
          <w:u w:val="single" w:color="auto"/>
          <w:color w:val="0000FF"/>
        </w:rPr>
        <w:t>Part II, Item 8. “Financial Statements and Supplementary Data”</w:t>
      </w:r>
      <w:r>
        <w:rPr>
          <w:rFonts w:ascii="Arial" w:cs="Arial" w:eastAsia="Arial" w:hAnsi="Arial"/>
          <w:sz w:val="18"/>
          <w:szCs w:val="18"/>
          <w:color w:val="auto"/>
        </w:rPr>
        <w:t xml:space="preserve"> of this Annual Report.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documents listed below are incorporated by reference or filed with this Annual Report, in each case as indicated therein (numbered in accordance with Item 601 of Regulation S-K).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w w:val="98"/>
              </w:rPr>
              <w:t>Incorporated by Reference Herein</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gridSpan w:val="16"/>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16"/>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Exhibit No.</w:t>
            </w:r>
          </w:p>
        </w:tc>
        <w:tc>
          <w:tcPr>
            <w:tcW w:w="176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rPr>
            </w:pPr>
            <w:hyperlink r:id="rId262">
              <w:r>
                <w:rPr>
                  <w:rFonts w:ascii="Arial" w:cs="Arial" w:eastAsia="Arial" w:hAnsi="Arial"/>
                  <w:sz w:val="18"/>
                  <w:szCs w:val="18"/>
                  <w:color w:val="0000FF"/>
                </w:rPr>
                <w:t>Agreement and Plan of Merger, dated</w:t>
              </w:r>
            </w:hyperlink>
          </w:p>
        </w:tc>
        <w:tc>
          <w:tcPr>
            <w:tcW w:w="120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2.1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2"/>
              <w:spacing w:after="0" w:line="189" w:lineRule="exact"/>
              <w:rPr>
                <w:sz w:val="20"/>
                <w:szCs w:val="20"/>
                <w:color w:val="auto"/>
              </w:rPr>
            </w:pPr>
            <w:r>
              <w:rPr>
                <w:rFonts w:ascii="Arial" w:cs="Arial" w:eastAsia="Arial" w:hAnsi="Arial"/>
                <w:sz w:val="18"/>
                <w:szCs w:val="18"/>
                <w:color w:val="auto"/>
                <w:w w:val="89"/>
              </w:rPr>
              <w:t>December 22, 2020</w:t>
            </w:r>
          </w:p>
        </w:tc>
        <w:tc>
          <w:tcPr>
            <w:tcW w:w="0" w:type="dxa"/>
            <w:vAlign w:val="bottom"/>
          </w:tcPr>
          <w:p>
            <w:pPr>
              <w:spacing w:after="0"/>
              <w:rPr>
                <w:sz w:val="1"/>
                <w:szCs w:val="1"/>
                <w:color w:val="auto"/>
              </w:rPr>
            </w:pPr>
          </w:p>
        </w:tc>
      </w:tr>
      <w:tr>
        <w:trPr>
          <w:trHeight w:val="183"/>
        </w:trPr>
        <w:tc>
          <w:tcPr>
            <w:tcW w:w="10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0000FF"/>
            </w:tcBorders>
            <w:gridSpan w:val="5"/>
            <w:shd w:val="clear" w:color="auto" w:fill="CCEEFF"/>
          </w:tcPr>
          <w:p>
            <w:pPr>
              <w:spacing w:after="0" w:line="182" w:lineRule="exact"/>
              <w:rPr>
                <w:rFonts w:ascii="Arial" w:cs="Arial" w:eastAsia="Arial" w:hAnsi="Arial"/>
                <w:sz w:val="18"/>
                <w:szCs w:val="18"/>
                <w:color w:val="0000FF"/>
                <w:w w:val="95"/>
              </w:rPr>
            </w:pPr>
            <w:hyperlink r:id="rId262">
              <w:r>
                <w:rPr>
                  <w:rFonts w:ascii="Arial" w:cs="Arial" w:eastAsia="Arial" w:hAnsi="Arial"/>
                  <w:sz w:val="18"/>
                  <w:szCs w:val="18"/>
                  <w:color w:val="0000FF"/>
                  <w:w w:val="95"/>
                </w:rPr>
                <w:t>December 21, 2020, by and among</w:t>
              </w:r>
            </w:hyperlink>
          </w:p>
        </w:tc>
        <w:tc>
          <w:tcPr>
            <w:tcW w:w="1420" w:type="dxa"/>
            <w:vAlign w:val="bottom"/>
            <w:tcBorders>
              <w:top w:val="single" w:sz="8" w:color="CCEEFF"/>
            </w:tcBorders>
            <w:gridSpan w:val="13"/>
            <w:shd w:val="clear" w:color="auto" w:fill="CCEEFF"/>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ImmunityBio, Inc.</w:t>
              </w:r>
            </w:hyperlink>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20" w:type="dxa"/>
            <w:vAlign w:val="bottom"/>
            <w:tcBorders>
              <w:top w:val="single" w:sz="8" w:color="0000FF"/>
              <w:bottom w:val="single" w:sz="8" w:color="0000FF"/>
            </w:tcBorders>
            <w:gridSpan w:val="6"/>
            <w:shd w:val="clear" w:color="auto" w:fill="CCEEFF"/>
          </w:tcPr>
          <w:p>
            <w:pPr>
              <w:spacing w:after="0" w:line="182" w:lineRule="exact"/>
              <w:rPr>
                <w:rFonts w:ascii="Arial" w:cs="Arial" w:eastAsia="Arial" w:hAnsi="Arial"/>
                <w:sz w:val="18"/>
                <w:szCs w:val="18"/>
                <w:color w:val="0000FF"/>
                <w:w w:val="94"/>
              </w:rPr>
            </w:pPr>
            <w:hyperlink r:id="rId262">
              <w:r>
                <w:rPr>
                  <w:rFonts w:ascii="Arial" w:cs="Arial" w:eastAsia="Arial" w:hAnsi="Arial"/>
                  <w:sz w:val="18"/>
                  <w:szCs w:val="18"/>
                  <w:color w:val="0000FF"/>
                  <w:w w:val="94"/>
                </w:rPr>
                <w:t>(f/k/a NantKwest, Inc.), NantCell, Inc. (f/k/a</w:t>
              </w:r>
            </w:hyperlink>
          </w:p>
        </w:tc>
        <w:tc>
          <w:tcPr>
            <w:tcW w:w="70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140" w:type="dxa"/>
            <w:vAlign w:val="bottom"/>
            <w:gridSpan w:val="18"/>
            <w:shd w:val="clear" w:color="auto" w:fill="CCEEFF"/>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ImmunityBio, Inc.) and Nectarine Merger Sub, Inc.</w:t>
              </w:r>
            </w:hyperlink>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w w:val="96"/>
              </w:rPr>
            </w:pPr>
            <w:hyperlink r:id="rId263">
              <w:r>
                <w:rPr>
                  <w:rFonts w:ascii="Arial" w:cs="Arial" w:eastAsia="Arial" w:hAnsi="Arial"/>
                  <w:sz w:val="18"/>
                  <w:szCs w:val="18"/>
                  <w:color w:val="0000FF"/>
                  <w:w w:val="96"/>
                </w:rPr>
                <w:t>Amended and Restated Certificate of Incorporation of</w:t>
              </w:r>
            </w:hyperlink>
          </w:p>
        </w:tc>
        <w:tc>
          <w:tcPr>
            <w:tcW w:w="120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3.1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2"/>
              <w:spacing w:after="0" w:line="189" w:lineRule="exact"/>
              <w:rPr>
                <w:sz w:val="20"/>
                <w:szCs w:val="20"/>
                <w:color w:val="auto"/>
              </w:rPr>
            </w:pPr>
            <w:r>
              <w:rPr>
                <w:rFonts w:ascii="Arial" w:cs="Arial" w:eastAsia="Arial" w:hAnsi="Arial"/>
                <w:sz w:val="18"/>
                <w:szCs w:val="18"/>
                <w:color w:val="auto"/>
                <w:w w:val="90"/>
              </w:rPr>
              <w:t>August 4, 2015</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9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ImmunityBio, Inc.</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w w:val="98"/>
              </w:rPr>
            </w:pPr>
            <w:hyperlink r:id="rId264">
              <w:r>
                <w:rPr>
                  <w:rFonts w:ascii="Arial" w:cs="Arial" w:eastAsia="Arial" w:hAnsi="Arial"/>
                  <w:sz w:val="18"/>
                  <w:szCs w:val="18"/>
                  <w:color w:val="0000FF"/>
                  <w:w w:val="98"/>
                </w:rPr>
                <w:t>Certificate of Amendment of Amended and Restated</w:t>
              </w:r>
            </w:hyperlink>
          </w:p>
        </w:tc>
        <w:tc>
          <w:tcPr>
            <w:tcW w:w="120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3.1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2"/>
              <w:spacing w:after="0" w:line="189" w:lineRule="exact"/>
              <w:rPr>
                <w:sz w:val="20"/>
                <w:szCs w:val="20"/>
                <w:color w:val="auto"/>
              </w:rPr>
            </w:pPr>
            <w:r>
              <w:rPr>
                <w:rFonts w:ascii="Arial" w:cs="Arial" w:eastAsia="Arial" w:hAnsi="Arial"/>
                <w:sz w:val="18"/>
                <w:szCs w:val="18"/>
                <w:color w:val="auto"/>
                <w:w w:val="91"/>
              </w:rPr>
              <w:t>March 10,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Certificate of Incorporation of ImmunityBio, Inc.</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8"/>
            <w:shd w:val="clear" w:color="auto" w:fill="CCEEFF"/>
          </w:tcPr>
          <w:p>
            <w:pPr>
              <w:spacing w:after="0" w:line="169" w:lineRule="exact"/>
              <w:rPr>
                <w:rFonts w:ascii="Arial" w:cs="Arial" w:eastAsia="Arial" w:hAnsi="Arial"/>
                <w:sz w:val="18"/>
                <w:szCs w:val="18"/>
                <w:color w:val="0000FF"/>
              </w:rPr>
            </w:pPr>
            <w:hyperlink r:id="rId264">
              <w:r>
                <w:rPr>
                  <w:rFonts w:ascii="Arial" w:cs="Arial" w:eastAsia="Arial" w:hAnsi="Arial"/>
                  <w:sz w:val="18"/>
                  <w:szCs w:val="18"/>
                  <w:color w:val="0000FF"/>
                </w:rPr>
                <w:t>dated March 9, 2021.</w:t>
              </w:r>
            </w:hyperlink>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3"/>
            <w:shd w:val="clear" w:color="auto" w:fill="CCEEFF"/>
          </w:tcPr>
          <w:p>
            <w:pPr>
              <w:spacing w:after="0"/>
              <w:rPr>
                <w:sz w:val="16"/>
                <w:szCs w:val="16"/>
                <w:color w:val="auto"/>
              </w:rPr>
            </w:pPr>
          </w:p>
        </w:tc>
        <w:tc>
          <w:tcPr>
            <w:tcW w:w="10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w w:val="98"/>
              </w:rPr>
            </w:pPr>
            <w:hyperlink r:id="rId265">
              <w:r>
                <w:rPr>
                  <w:rFonts w:ascii="Arial" w:cs="Arial" w:eastAsia="Arial" w:hAnsi="Arial"/>
                  <w:sz w:val="18"/>
                  <w:szCs w:val="18"/>
                  <w:color w:val="0000FF"/>
                  <w:w w:val="98"/>
                </w:rPr>
                <w:t>Certificate of Amendment of Amended and Restated</w:t>
              </w:r>
            </w:hyperlink>
          </w:p>
        </w:tc>
        <w:tc>
          <w:tcPr>
            <w:tcW w:w="120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0"/>
              </w:rPr>
              <w:t>POSASR</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333-255699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3.3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2"/>
              <w:spacing w:after="0" w:line="189" w:lineRule="exact"/>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Certificate of Incorporation of ImmunityBio, Inc.</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8"/>
            <w:shd w:val="clear" w:color="auto" w:fill="CCEEFF"/>
          </w:tcPr>
          <w:p>
            <w:pPr>
              <w:spacing w:after="0" w:line="169" w:lineRule="exact"/>
              <w:rPr>
                <w:rFonts w:ascii="Arial" w:cs="Arial" w:eastAsia="Arial" w:hAnsi="Arial"/>
                <w:sz w:val="18"/>
                <w:szCs w:val="18"/>
                <w:color w:val="0000FF"/>
              </w:rPr>
            </w:pPr>
            <w:hyperlink r:id="rId265">
              <w:r>
                <w:rPr>
                  <w:rFonts w:ascii="Arial" w:cs="Arial" w:eastAsia="Arial" w:hAnsi="Arial"/>
                  <w:sz w:val="18"/>
                  <w:szCs w:val="18"/>
                  <w:color w:val="0000FF"/>
                </w:rPr>
                <w:t>dated February 1, 2022.</w:t>
              </w:r>
            </w:hyperlink>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3"/>
            <w:shd w:val="clear" w:color="auto" w:fill="CCEEFF"/>
          </w:tcPr>
          <w:p>
            <w:pPr>
              <w:spacing w:after="0"/>
              <w:rPr>
                <w:sz w:val="16"/>
                <w:szCs w:val="16"/>
                <w:color w:val="auto"/>
              </w:rPr>
            </w:pPr>
          </w:p>
        </w:tc>
        <w:tc>
          <w:tcPr>
            <w:tcW w:w="10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w w:val="99"/>
              </w:rPr>
            </w:pPr>
            <w:hyperlink r:id="rId266">
              <w:r>
                <w:rPr>
                  <w:rFonts w:ascii="Arial" w:cs="Arial" w:eastAsia="Arial" w:hAnsi="Arial"/>
                  <w:sz w:val="18"/>
                  <w:szCs w:val="18"/>
                  <w:color w:val="0000FF"/>
                  <w:w w:val="99"/>
                </w:rPr>
                <w:t>Amended and Restated Bylaws of ImmunityBio, Inc.</w:t>
              </w:r>
            </w:hyperlink>
          </w:p>
        </w:tc>
        <w:tc>
          <w:tcPr>
            <w:tcW w:w="120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3.2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1"/>
              </w:rPr>
              <w:t>August 12, 2021</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effective as of March 10, 2021.</w:t>
              </w:r>
            </w:hyperlink>
          </w:p>
        </w:tc>
        <w:tc>
          <w:tcPr>
            <w:tcW w:w="10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w w:val="95"/>
              </w:rPr>
            </w:pPr>
            <w:hyperlink r:id="rId267">
              <w:r>
                <w:rPr>
                  <w:rFonts w:ascii="Arial" w:cs="Arial" w:eastAsia="Arial" w:hAnsi="Arial"/>
                  <w:sz w:val="18"/>
                  <w:szCs w:val="18"/>
                  <w:color w:val="0000FF"/>
                  <w:w w:val="95"/>
                </w:rPr>
                <w:t>Nominating Agreement by and between the Registrant</w:t>
              </w:r>
            </w:hyperlink>
          </w:p>
        </w:tc>
        <w:tc>
          <w:tcPr>
            <w:tcW w:w="120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94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7"/>
              </w:rPr>
            </w:pPr>
            <w:hyperlink r:id="rId267">
              <w:r>
                <w:rPr>
                  <w:rFonts w:ascii="Arial" w:cs="Arial" w:eastAsia="Arial" w:hAnsi="Arial"/>
                  <w:sz w:val="18"/>
                  <w:szCs w:val="18"/>
                  <w:color w:val="0000FF"/>
                  <w:w w:val="97"/>
                </w:rPr>
                <w:t>and Cambridge Equities, LP, dated June 18, 2015.</w:t>
              </w:r>
            </w:hyperlink>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18"/>
            <w:shd w:val="clear" w:color="auto" w:fill="CCEEFF"/>
          </w:tcPr>
          <w:p>
            <w:pPr>
              <w:spacing w:after="0" w:line="189" w:lineRule="exact"/>
              <w:rPr>
                <w:rFonts w:ascii="Arial" w:cs="Arial" w:eastAsia="Arial" w:hAnsi="Arial"/>
                <w:sz w:val="18"/>
                <w:szCs w:val="18"/>
                <w:color w:val="0000FF"/>
              </w:rPr>
            </w:pPr>
            <w:hyperlink r:id="rId268">
              <w:r>
                <w:rPr>
                  <w:rFonts w:ascii="Arial" w:cs="Arial" w:eastAsia="Arial" w:hAnsi="Arial"/>
                  <w:sz w:val="18"/>
                  <w:szCs w:val="18"/>
                  <w:color w:val="0000FF"/>
                </w:rPr>
                <w:t>Form of Registration Rights Agreement by and</w:t>
              </w:r>
            </w:hyperlink>
          </w:p>
        </w:tc>
        <w:tc>
          <w:tcPr>
            <w:tcW w:w="120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w w:val="92"/>
              </w:rPr>
            </w:pPr>
            <w:hyperlink r:id="rId268">
              <w:r>
                <w:rPr>
                  <w:rFonts w:ascii="Arial" w:cs="Arial" w:eastAsia="Arial" w:hAnsi="Arial"/>
                  <w:sz w:val="18"/>
                  <w:szCs w:val="18"/>
                  <w:color w:val="0000FF"/>
                  <w:w w:val="92"/>
                </w:rPr>
                <w:t>between the Registrant and the Purchasers of</w:t>
              </w:r>
            </w:hyperlink>
          </w:p>
        </w:tc>
        <w:tc>
          <w:tcPr>
            <w:tcW w:w="740" w:type="dxa"/>
            <w:vAlign w:val="bottom"/>
            <w:tcBorders>
              <w:top w:val="single" w:sz="8" w:color="CCEEFF"/>
            </w:tcBorders>
            <w:gridSpan w:val="11"/>
            <w:shd w:val="clear" w:color="auto" w:fill="CCEEFF"/>
          </w:tcPr>
          <w:p>
            <w:pPr>
              <w:spacing w:after="0" w:line="156" w:lineRule="exact"/>
              <w:rPr>
                <w:rFonts w:ascii="Arial" w:cs="Arial" w:eastAsia="Arial" w:hAnsi="Arial"/>
                <w:sz w:val="18"/>
                <w:szCs w:val="18"/>
                <w:color w:val="0000FF"/>
                <w:w w:val="98"/>
              </w:rPr>
            </w:pPr>
            <w:hyperlink r:id="rId268">
              <w:r>
                <w:rPr>
                  <w:rFonts w:ascii="Arial" w:cs="Arial" w:eastAsia="Arial" w:hAnsi="Arial"/>
                  <w:sz w:val="18"/>
                  <w:szCs w:val="18"/>
                  <w:color w:val="0000FF"/>
                  <w:w w:val="98"/>
                </w:rPr>
                <w:t>Common</w:t>
              </w:r>
            </w:hyperlink>
          </w:p>
        </w:tc>
        <w:tc>
          <w:tcPr>
            <w:tcW w:w="10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9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268">
              <w:r>
                <w:rPr>
                  <w:rFonts w:ascii="Arial" w:cs="Arial" w:eastAsia="Arial" w:hAnsi="Arial"/>
                  <w:sz w:val="18"/>
                  <w:szCs w:val="18"/>
                  <w:color w:val="0000FF"/>
                </w:rPr>
                <w:t>Stock, dated June 2015.</w:t>
              </w:r>
            </w:hyperlink>
          </w:p>
        </w:tc>
        <w:tc>
          <w:tcPr>
            <w:tcW w:w="180" w:type="dxa"/>
            <w:vAlign w:val="bottom"/>
            <w:tcBorders>
              <w:top w:val="single" w:sz="8" w:color="CCEEFF"/>
            </w:tcBorders>
            <w:gridSpan w:val="2"/>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60" w:type="dxa"/>
            <w:vAlign w:val="bottom"/>
          </w:tcPr>
          <w:p>
            <w:pPr>
              <w:ind w:lef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Registration Rights Agreement by and between the</w:t>
              </w:r>
            </w:hyperlink>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333-205124</w:t>
            </w:r>
          </w:p>
        </w:tc>
        <w:tc>
          <w:tcPr>
            <w:tcW w:w="1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32"/>
              <w:spacing w:after="0"/>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771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Registrant and Cambridge Equities, LP, dated</w:t>
        </w:r>
      </w:hyperlink>
    </w:p>
    <w:p>
      <w:pPr>
        <w:ind w:left="1220"/>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December 23, 2014.</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w w:val="97"/>
              </w:rPr>
              <w:t>Incorporated by Reference Herein</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gridSpan w:val="29"/>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29"/>
            <w:vMerge w:val="continue"/>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1760" w:type="dxa"/>
            <w:vAlign w:val="bottom"/>
          </w:tcPr>
          <w:p>
            <w:pPr>
              <w:jc w:val="center"/>
              <w:ind w:right="3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320" w:type="dxa"/>
            <w:vAlign w:val="bottom"/>
            <w:tcBorders>
              <w:bottom w:val="single" w:sz="8" w:color="0000FF"/>
            </w:tcBorders>
            <w:gridSpan w:val="13"/>
            <w:shd w:val="clear" w:color="auto" w:fill="CCEEFF"/>
          </w:tcPr>
          <w:p>
            <w:pPr>
              <w:spacing w:after="0" w:line="189" w:lineRule="exact"/>
              <w:rPr>
                <w:rFonts w:ascii="Arial" w:cs="Arial" w:eastAsia="Arial" w:hAnsi="Arial"/>
                <w:sz w:val="18"/>
                <w:szCs w:val="18"/>
                <w:color w:val="0000FF"/>
                <w:w w:val="90"/>
              </w:rPr>
            </w:pPr>
            <w:hyperlink r:id="rId272">
              <w:r>
                <w:rPr>
                  <w:rFonts w:ascii="Arial" w:cs="Arial" w:eastAsia="Arial" w:hAnsi="Arial"/>
                  <w:sz w:val="18"/>
                  <w:szCs w:val="18"/>
                  <w:color w:val="0000FF"/>
                  <w:w w:val="90"/>
                </w:rPr>
                <w:t>Form of Subscription and Securities Purchase</w:t>
              </w:r>
            </w:hyperlink>
          </w:p>
        </w:tc>
        <w:tc>
          <w:tcPr>
            <w:tcW w:w="840" w:type="dxa"/>
            <w:vAlign w:val="bottom"/>
            <w:tcBorders>
              <w:bottom w:val="single" w:sz="8" w:color="CCEEFF"/>
            </w:tcBorders>
            <w:gridSpan w:val="22"/>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4.5</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35"/>
            <w:shd w:val="clear" w:color="auto" w:fill="CCEEFF"/>
          </w:tcPr>
          <w:p>
            <w:pPr>
              <w:spacing w:after="0" w:line="156" w:lineRule="exact"/>
              <w:rPr>
                <w:rFonts w:ascii="Arial" w:cs="Arial" w:eastAsia="Arial" w:hAnsi="Arial"/>
                <w:sz w:val="18"/>
                <w:szCs w:val="18"/>
                <w:color w:val="0000FF"/>
                <w:w w:val="96"/>
              </w:rPr>
            </w:pPr>
            <w:hyperlink r:id="rId272">
              <w:r>
                <w:rPr>
                  <w:rFonts w:ascii="Arial" w:cs="Arial" w:eastAsia="Arial" w:hAnsi="Arial"/>
                  <w:sz w:val="18"/>
                  <w:szCs w:val="18"/>
                  <w:color w:val="0000FF"/>
                  <w:w w:val="96"/>
                </w:rPr>
                <w:t>Agreement among the Registrant and the Subscribers</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900" w:type="dxa"/>
            <w:vAlign w:val="bottom"/>
            <w:tcBorders>
              <w:top w:val="single" w:sz="8" w:color="0000FF"/>
              <w:bottom w:val="single" w:sz="8" w:color="0000FF"/>
            </w:tcBorders>
            <w:gridSpan w:val="28"/>
            <w:shd w:val="clear" w:color="auto" w:fill="CCEEFF"/>
          </w:tcPr>
          <w:p>
            <w:pPr>
              <w:spacing w:after="0" w:line="169" w:lineRule="exact"/>
              <w:rPr>
                <w:rFonts w:ascii="Arial" w:cs="Arial" w:eastAsia="Arial" w:hAnsi="Arial"/>
                <w:sz w:val="18"/>
                <w:szCs w:val="18"/>
                <w:color w:val="0000FF"/>
                <w:w w:val="90"/>
              </w:rPr>
            </w:pPr>
            <w:hyperlink r:id="rId272">
              <w:r>
                <w:rPr>
                  <w:rFonts w:ascii="Arial" w:cs="Arial" w:eastAsia="Arial" w:hAnsi="Arial"/>
                  <w:sz w:val="18"/>
                  <w:szCs w:val="18"/>
                  <w:color w:val="0000FF"/>
                  <w:w w:val="90"/>
                </w:rPr>
                <w:t>of Series C Preferred Stock, dated as of April 1, 2014.</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4.5</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6"/>
              </w:rPr>
            </w:pPr>
            <w:hyperlink r:id="rId273">
              <w:r>
                <w:rPr>
                  <w:rFonts w:ascii="Arial" w:cs="Arial" w:eastAsia="Arial" w:hAnsi="Arial"/>
                  <w:sz w:val="18"/>
                  <w:szCs w:val="18"/>
                  <w:color w:val="0000FF"/>
                  <w:w w:val="96"/>
                </w:rPr>
                <w:t>Registration Rights Agreement, among the Registrant</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6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1"/>
              </w:rPr>
            </w:pPr>
            <w:hyperlink r:id="rId273">
              <w:r>
                <w:rPr>
                  <w:rFonts w:ascii="Arial" w:cs="Arial" w:eastAsia="Arial" w:hAnsi="Arial"/>
                  <w:sz w:val="18"/>
                  <w:szCs w:val="18"/>
                  <w:color w:val="0000FF"/>
                  <w:w w:val="91"/>
                </w:rPr>
                <w:t>and the purchasers of Series B Preferred Stock, dated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88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rPr>
            </w:pPr>
            <w:hyperlink r:id="rId273">
              <w:r>
                <w:rPr>
                  <w:rFonts w:ascii="Arial" w:cs="Arial" w:eastAsia="Arial" w:hAnsi="Arial"/>
                  <w:sz w:val="18"/>
                  <w:szCs w:val="18"/>
                  <w:color w:val="0000FF"/>
                </w:rPr>
                <w:t>as of June 20, 2013.</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4.6</w:t>
            </w:r>
          </w:p>
        </w:tc>
        <w:tc>
          <w:tcPr>
            <w:tcW w:w="160" w:type="dxa"/>
            <w:vAlign w:val="bottom"/>
            <w:tcBorders>
              <w:right w:val="single" w:sz="8" w:color="CCEEFF"/>
            </w:tcBorders>
            <w:shd w:val="clear" w:color="auto" w:fill="CCEEFF"/>
          </w:tcPr>
          <w:p>
            <w:pPr>
              <w:spacing w:after="0"/>
              <w:rPr>
                <w:sz w:val="18"/>
                <w:szCs w:val="18"/>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74">
              <w:r>
                <w:rPr>
                  <w:rFonts w:ascii="Arial" w:cs="Arial" w:eastAsia="Arial" w:hAnsi="Arial"/>
                  <w:sz w:val="18"/>
                  <w:szCs w:val="18"/>
                  <w:color w:val="0000FF"/>
                </w:rPr>
                <w:t>Specimen Common Stock Certificate.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87"/>
              </w:rPr>
              <w:t>S-8 POS</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May 21, 2021</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4.7</w:t>
            </w:r>
          </w:p>
        </w:tc>
        <w:tc>
          <w:tcPr>
            <w:tcW w:w="160" w:type="dxa"/>
            <w:vAlign w:val="bottom"/>
            <w:tcBorders>
              <w:right w:val="single" w:sz="8" w:color="CCEEFF"/>
            </w:tcBorders>
            <w:shd w:val="clear" w:color="auto" w:fill="CCEEFF"/>
          </w:tcPr>
          <w:p>
            <w:pPr>
              <w:spacing w:after="0"/>
              <w:rPr>
                <w:sz w:val="18"/>
                <w:szCs w:val="18"/>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75">
              <w:r>
                <w:rPr>
                  <w:rFonts w:ascii="Arial" w:cs="Arial" w:eastAsia="Arial" w:hAnsi="Arial"/>
                  <w:sz w:val="18"/>
                  <w:szCs w:val="18"/>
                  <w:color w:val="0000FF"/>
                </w:rPr>
                <w:t>Description of Registrant’s Securities.</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5"/>
              </w:rPr>
            </w:pPr>
            <w:hyperlink r:id="rId276">
              <w:r>
                <w:rPr>
                  <w:rFonts w:ascii="Arial" w:cs="Arial" w:eastAsia="Arial" w:hAnsi="Arial"/>
                  <w:sz w:val="18"/>
                  <w:szCs w:val="18"/>
                  <w:color w:val="0000FF"/>
                  <w:w w:val="95"/>
                </w:rPr>
                <w:t>Voting Agreement, dated as of December 21, 2020, by</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89"/>
              </w:rPr>
              <w:t>December 22, 2020</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8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w w:val="97"/>
              </w:rPr>
            </w:pPr>
            <w:hyperlink r:id="rId276">
              <w:r>
                <w:rPr>
                  <w:rFonts w:ascii="Arial" w:cs="Arial" w:eastAsia="Arial" w:hAnsi="Arial"/>
                  <w:sz w:val="18"/>
                  <w:szCs w:val="18"/>
                  <w:color w:val="0000FF"/>
                  <w:w w:val="97"/>
                </w:rPr>
                <w:t>and among ImmunityBio, Inc., NantKwest, Inc.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4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w w:val="99"/>
              </w:rPr>
            </w:pPr>
            <w:hyperlink r:id="rId276">
              <w:r>
                <w:rPr>
                  <w:rFonts w:ascii="Arial" w:cs="Arial" w:eastAsia="Arial" w:hAnsi="Arial"/>
                  <w:sz w:val="18"/>
                  <w:szCs w:val="18"/>
                  <w:color w:val="0000FF"/>
                  <w:w w:val="99"/>
                </w:rPr>
                <w:t>the NantKwest, Inc. stockholders party thereto.</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5"/>
              </w:rPr>
            </w:pPr>
            <w:hyperlink r:id="rId277">
              <w:r>
                <w:rPr>
                  <w:rFonts w:ascii="Arial" w:cs="Arial" w:eastAsia="Arial" w:hAnsi="Arial"/>
                  <w:sz w:val="18"/>
                  <w:szCs w:val="18"/>
                  <w:color w:val="0000FF"/>
                  <w:w w:val="95"/>
                </w:rPr>
                <w:t>Voting Agreement, dated as of December 21, 2020, by</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89"/>
              </w:rPr>
              <w:t>December 22, 2020</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8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w w:val="97"/>
              </w:rPr>
            </w:pPr>
            <w:hyperlink r:id="rId277">
              <w:r>
                <w:rPr>
                  <w:rFonts w:ascii="Arial" w:cs="Arial" w:eastAsia="Arial" w:hAnsi="Arial"/>
                  <w:sz w:val="18"/>
                  <w:szCs w:val="18"/>
                  <w:color w:val="0000FF"/>
                  <w:w w:val="97"/>
                </w:rPr>
                <w:t>and among ImmunityBio, Inc., NantKwest, Inc.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w w:val="97"/>
              </w:rPr>
            </w:pPr>
            <w:hyperlink r:id="rId277">
              <w:r>
                <w:rPr>
                  <w:rFonts w:ascii="Arial" w:cs="Arial" w:eastAsia="Arial" w:hAnsi="Arial"/>
                  <w:sz w:val="18"/>
                  <w:szCs w:val="18"/>
                  <w:color w:val="0000FF"/>
                  <w:w w:val="97"/>
                </w:rPr>
                <w:t>the ImmunityBio, Inc. stockholders party thereto.</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78">
              <w:r>
                <w:rPr>
                  <w:rFonts w:ascii="Arial" w:cs="Arial" w:eastAsia="Arial" w:hAnsi="Arial"/>
                  <w:sz w:val="18"/>
                  <w:szCs w:val="18"/>
                  <w:color w:val="0000FF"/>
                </w:rPr>
                <w:t>Common Stock Purchase Warrant, dated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10.13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35"/>
            <w:shd w:val="clear" w:color="auto" w:fill="CCEEFF"/>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June 30, 2016, issued by the Company to</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2980" w:type="dxa"/>
            <w:vAlign w:val="bottom"/>
            <w:tcBorders>
              <w:top w:val="single" w:sz="8" w:color="0000FF"/>
              <w:right w:val="single" w:sz="8" w:color="CCEEFF"/>
            </w:tcBorders>
            <w:gridSpan w:val="9"/>
            <w:shd w:val="clear" w:color="auto" w:fill="CCEEFF"/>
          </w:tcPr>
          <w:p>
            <w:pPr>
              <w:spacing w:after="0" w:line="169" w:lineRule="exact"/>
              <w:rPr>
                <w:rFonts w:ascii="Arial" w:cs="Arial" w:eastAsia="Arial" w:hAnsi="Arial"/>
                <w:sz w:val="18"/>
                <w:szCs w:val="18"/>
                <w:color w:val="0000FF"/>
              </w:rPr>
            </w:pPr>
            <w:hyperlink r:id="rId278">
              <w:r>
                <w:rPr>
                  <w:rFonts w:ascii="Arial" w:cs="Arial" w:eastAsia="Arial" w:hAnsi="Arial"/>
                  <w:sz w:val="18"/>
                  <w:szCs w:val="18"/>
                  <w:color w:val="0000FF"/>
                </w:rPr>
                <w:t>NantWorks, LLC.</w:t>
              </w:r>
            </w:hyperlink>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79">
              <w:r>
                <w:rPr>
                  <w:rFonts w:ascii="Arial" w:cs="Arial" w:eastAsia="Arial" w:hAnsi="Arial"/>
                  <w:sz w:val="18"/>
                  <w:szCs w:val="18"/>
                  <w:color w:val="0000FF"/>
                </w:rPr>
                <w:t>Form of Common Stock Purchase Warrant, dated</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89"/>
              </w:rPr>
              <w:t>December 12,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56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279">
              <w:r>
                <w:rPr>
                  <w:rFonts w:ascii="Arial" w:cs="Arial" w:eastAsia="Arial" w:hAnsi="Arial"/>
                  <w:sz w:val="18"/>
                  <w:szCs w:val="18"/>
                  <w:color w:val="0000FF"/>
                  <w:w w:val="91"/>
                </w:rPr>
                <w:t>December 12, 2022, issued by ImmunityBio, Inc.</w:t>
              </w:r>
            </w:hyperlink>
          </w:p>
        </w:tc>
        <w:tc>
          <w:tcPr>
            <w:tcW w:w="600" w:type="dxa"/>
            <w:vAlign w:val="bottom"/>
            <w:tcBorders>
              <w:top w:val="single" w:sz="8" w:color="CCEEFF"/>
            </w:tcBorders>
            <w:gridSpan w:val="19"/>
            <w:shd w:val="clear" w:color="auto" w:fill="CCEEFF"/>
          </w:tcPr>
          <w:p>
            <w:pPr>
              <w:ind w:left="60"/>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to</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8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rPr>
            </w:pPr>
            <w:hyperlink r:id="rId279">
              <w:r>
                <w:rPr>
                  <w:rFonts w:ascii="Arial" w:cs="Arial" w:eastAsia="Arial" w:hAnsi="Arial"/>
                  <w:sz w:val="18"/>
                  <w:szCs w:val="18"/>
                  <w:color w:val="0000FF"/>
                </w:rPr>
                <w:t>the Holder.</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20" w:type="dxa"/>
            <w:vAlign w:val="bottom"/>
            <w:tcBorders>
              <w:right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10.5†</w:t>
            </w: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80">
              <w:r>
                <w:rPr>
                  <w:rFonts w:ascii="Arial" w:cs="Arial" w:eastAsia="Arial" w:hAnsi="Arial"/>
                  <w:sz w:val="18"/>
                  <w:szCs w:val="18"/>
                  <w:color w:val="0000FF"/>
                </w:rPr>
                <w:t>Common Stock Purchase Agreement, dated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16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April 30, 2018, by and among ImmunityBio,</w:t>
              </w:r>
            </w:hyperlink>
          </w:p>
        </w:tc>
        <w:tc>
          <w:tcPr>
            <w:tcW w:w="1000" w:type="dxa"/>
            <w:vAlign w:val="bottom"/>
            <w:tcBorders>
              <w:top w:val="single" w:sz="8" w:color="CCEEFF"/>
            </w:tcBorders>
            <w:gridSpan w:val="24"/>
            <w:shd w:val="clear" w:color="auto" w:fill="CCEEFF"/>
          </w:tcPr>
          <w:p>
            <w:pPr>
              <w:ind w:left="120"/>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Inc. and</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92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280">
              <w:r>
                <w:rPr>
                  <w:rFonts w:ascii="Arial" w:cs="Arial" w:eastAsia="Arial" w:hAnsi="Arial"/>
                  <w:sz w:val="18"/>
                  <w:szCs w:val="18"/>
                  <w:color w:val="0000FF"/>
                </w:rPr>
                <w:t>NantBio, Inc.</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10.6</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rPr>
            </w:pPr>
            <w:hyperlink r:id="rId281">
              <w:r>
                <w:rPr>
                  <w:rFonts w:ascii="Arial" w:cs="Arial" w:eastAsia="Arial" w:hAnsi="Arial"/>
                  <w:sz w:val="18"/>
                  <w:szCs w:val="18"/>
                  <w:color w:val="0000FF"/>
                </w:rPr>
                <w:t>Securities Purchase Agreement, dated as of</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89"/>
              </w:rPr>
              <w:t>December 12, 2022</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12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89"/>
              </w:rPr>
            </w:pPr>
            <w:hyperlink r:id="rId281">
              <w:r>
                <w:rPr>
                  <w:rFonts w:ascii="Arial" w:cs="Arial" w:eastAsia="Arial" w:hAnsi="Arial"/>
                  <w:sz w:val="18"/>
                  <w:szCs w:val="18"/>
                  <w:color w:val="0000FF"/>
                  <w:w w:val="89"/>
                </w:rPr>
                <w:t>December 12, 2022, between ImmunityBio,</w:t>
              </w:r>
            </w:hyperlink>
          </w:p>
        </w:tc>
        <w:tc>
          <w:tcPr>
            <w:tcW w:w="1040" w:type="dxa"/>
            <w:vAlign w:val="bottom"/>
            <w:tcBorders>
              <w:top w:val="single" w:sz="8" w:color="CCEEFF"/>
            </w:tcBorders>
            <w:gridSpan w:val="25"/>
            <w:shd w:val="clear" w:color="auto" w:fill="CCEEFF"/>
          </w:tcPr>
          <w:p>
            <w:pPr>
              <w:ind w:left="100"/>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Inc. and</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rPr>
            </w:pPr>
            <w:hyperlink r:id="rId281">
              <w:r>
                <w:rPr>
                  <w:rFonts w:ascii="Arial" w:cs="Arial" w:eastAsia="Arial" w:hAnsi="Arial"/>
                  <w:sz w:val="18"/>
                  <w:szCs w:val="18"/>
                  <w:color w:val="0000FF"/>
                </w:rPr>
                <w:t>the Purchasers.</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10.7</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5"/>
              </w:rPr>
            </w:pPr>
            <w:hyperlink r:id="rId282">
              <w:r>
                <w:rPr>
                  <w:rFonts w:ascii="Arial" w:cs="Arial" w:eastAsia="Arial" w:hAnsi="Arial"/>
                  <w:sz w:val="18"/>
                  <w:szCs w:val="18"/>
                  <w:color w:val="0000FF"/>
                  <w:w w:val="95"/>
                </w:rPr>
                <w:t>Open Market Sale Agreement dated April 30, 2021, by</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2"/>
              </w:rPr>
              <w:t>May 3, 2021</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400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rPr>
            </w:pPr>
            <w:hyperlink r:id="rId282">
              <w:r>
                <w:rPr>
                  <w:rFonts w:ascii="Arial" w:cs="Arial" w:eastAsia="Arial" w:hAnsi="Arial"/>
                  <w:sz w:val="18"/>
                  <w:szCs w:val="18"/>
                  <w:color w:val="0000FF"/>
                </w:rPr>
                <w:t>and between ImmunityBio, Inc. and Jefferies LLC.</w:t>
              </w:r>
            </w:hyperlink>
          </w:p>
        </w:tc>
        <w:tc>
          <w:tcPr>
            <w:tcW w:w="16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20" w:type="dxa"/>
            <w:vAlign w:val="bottom"/>
            <w:tcBorders>
              <w:right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10.8†</w:t>
            </w: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8"/>
              </w:rPr>
            </w:pPr>
            <w:hyperlink r:id="rId283">
              <w:r>
                <w:rPr>
                  <w:rFonts w:ascii="Arial" w:cs="Arial" w:eastAsia="Arial" w:hAnsi="Arial"/>
                  <w:sz w:val="18"/>
                  <w:szCs w:val="18"/>
                  <w:color w:val="0000FF"/>
                  <w:w w:val="98"/>
                </w:rPr>
                <w:t>Agreement and Plan of Merger, dated May 19, 2017,</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84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3"/>
              </w:rPr>
            </w:pPr>
            <w:hyperlink r:id="rId283">
              <w:r>
                <w:rPr>
                  <w:rFonts w:ascii="Arial" w:cs="Arial" w:eastAsia="Arial" w:hAnsi="Arial"/>
                  <w:sz w:val="18"/>
                  <w:szCs w:val="18"/>
                  <w:color w:val="0000FF"/>
                  <w:w w:val="93"/>
                </w:rPr>
                <w:t>by and among the Company, Altor Acquisition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382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rPr>
            </w:pPr>
            <w:hyperlink r:id="rId283">
              <w:r>
                <w:rPr>
                  <w:rFonts w:ascii="Arial" w:cs="Arial" w:eastAsia="Arial" w:hAnsi="Arial"/>
                  <w:sz w:val="18"/>
                  <w:szCs w:val="18"/>
                  <w:color w:val="0000FF"/>
                </w:rPr>
                <w:t>Altor BioScience Corporation and Shareholder</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20" w:type="dxa"/>
            <w:vAlign w:val="bottom"/>
            <w:tcBorders>
              <w:top w:val="single" w:sz="8" w:color="CCEEFF"/>
            </w:tcBorders>
            <w:gridSpan w:val="5"/>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38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Representative Services LLC.</w:t>
              </w:r>
            </w:hyperlink>
          </w:p>
        </w:tc>
        <w:tc>
          <w:tcPr>
            <w:tcW w:w="320" w:type="dxa"/>
            <w:vAlign w:val="bottom"/>
            <w:tcBorders>
              <w:top w:val="single" w:sz="8" w:color="CCEEFF"/>
            </w:tcBorders>
            <w:gridSpan w:val="5"/>
            <w:shd w:val="clear" w:color="auto" w:fill="CCEEFF"/>
          </w:tcPr>
          <w:p>
            <w:pPr>
              <w:spacing w:after="0"/>
              <w:rPr>
                <w:sz w:val="15"/>
                <w:szCs w:val="15"/>
                <w:color w:val="auto"/>
              </w:rPr>
            </w:pPr>
          </w:p>
        </w:tc>
        <w:tc>
          <w:tcPr>
            <w:tcW w:w="160" w:type="dxa"/>
            <w:vAlign w:val="bottom"/>
            <w:tcBorders>
              <w:top w:val="single" w:sz="8" w:color="CCEEFF"/>
            </w:tcBorders>
            <w:gridSpan w:val="7"/>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220" w:type="dxa"/>
            <w:vAlign w:val="bottom"/>
            <w:tcBorders>
              <w:top w:val="single" w:sz="8" w:color="CCEEFF"/>
            </w:tcBorders>
            <w:gridSpan w:val="5"/>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10.9</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35"/>
            <w:shd w:val="clear" w:color="auto" w:fill="CCEEFF"/>
          </w:tcPr>
          <w:p>
            <w:pPr>
              <w:spacing w:after="0" w:line="189" w:lineRule="exact"/>
              <w:rPr>
                <w:rFonts w:ascii="Arial" w:cs="Arial" w:eastAsia="Arial" w:hAnsi="Arial"/>
                <w:sz w:val="18"/>
                <w:szCs w:val="18"/>
                <w:color w:val="0000FF"/>
                <w:w w:val="99"/>
              </w:rPr>
            </w:pPr>
            <w:hyperlink r:id="rId284">
              <w:r>
                <w:rPr>
                  <w:rFonts w:ascii="Arial" w:cs="Arial" w:eastAsia="Arial" w:hAnsi="Arial"/>
                  <w:sz w:val="18"/>
                  <w:szCs w:val="18"/>
                  <w:color w:val="0000FF"/>
                  <w:w w:val="99"/>
                </w:rPr>
                <w:t>FDA Milestone Contingent Value Rights Agreement,</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10.11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30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89"/>
              </w:rPr>
            </w:pPr>
            <w:hyperlink r:id="rId284">
              <w:r>
                <w:rPr>
                  <w:rFonts w:ascii="Arial" w:cs="Arial" w:eastAsia="Arial" w:hAnsi="Arial"/>
                  <w:sz w:val="18"/>
                  <w:szCs w:val="18"/>
                  <w:color w:val="0000FF"/>
                  <w:w w:val="89"/>
                </w:rPr>
                <w:t>dated as of July 31, 2017, by and between the</w:t>
              </w:r>
            </w:hyperlink>
          </w:p>
        </w:tc>
        <w:tc>
          <w:tcPr>
            <w:tcW w:w="560" w:type="dxa"/>
            <w:vAlign w:val="bottom"/>
            <w:tcBorders>
              <w:top w:val="single" w:sz="8" w:color="0000FF"/>
              <w:bottom w:val="single" w:sz="8" w:color="CCEEFF"/>
            </w:tcBorders>
            <w:gridSpan w:val="14"/>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7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160" w:type="dxa"/>
            <w:vAlign w:val="bottom"/>
            <w:gridSpan w:val="35"/>
            <w:shd w:val="clear" w:color="auto" w:fill="CCEEFF"/>
          </w:tcPr>
          <w:p>
            <w:pPr>
              <w:spacing w:after="0" w:line="169" w:lineRule="exact"/>
              <w:rPr>
                <w:rFonts w:ascii="Arial" w:cs="Arial" w:eastAsia="Arial" w:hAnsi="Arial"/>
                <w:sz w:val="18"/>
                <w:szCs w:val="18"/>
                <w:color w:val="0000FF"/>
                <w:w w:val="99"/>
              </w:rPr>
            </w:pPr>
            <w:hyperlink r:id="rId284">
              <w:r>
                <w:rPr>
                  <w:rFonts w:ascii="Arial" w:cs="Arial" w:eastAsia="Arial" w:hAnsi="Arial"/>
                  <w:sz w:val="18"/>
                  <w:szCs w:val="18"/>
                  <w:color w:val="0000FF"/>
                  <w:w w:val="99"/>
                </w:rPr>
                <w:t>Company and Shareholder Representative Services</w:t>
              </w:r>
            </w:hyperlink>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9"/>
              </w:rPr>
            </w:pPr>
            <w:hyperlink r:id="rId284">
              <w:r>
                <w:rPr>
                  <w:rFonts w:ascii="Arial" w:cs="Arial" w:eastAsia="Arial" w:hAnsi="Arial"/>
                  <w:sz w:val="18"/>
                  <w:szCs w:val="18"/>
                  <w:color w:val="0000FF"/>
                  <w:w w:val="99"/>
                </w:rPr>
                <w:t>LLC.</w:t>
              </w:r>
            </w:hyperlink>
          </w:p>
        </w:tc>
        <w:tc>
          <w:tcPr>
            <w:tcW w:w="330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11"/>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1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1"/>
                <w:szCs w:val="21"/>
                <w:color w:val="auto"/>
              </w:rPr>
            </w:pPr>
          </w:p>
        </w:tc>
        <w:tc>
          <w:tcPr>
            <w:tcW w:w="4160" w:type="dxa"/>
            <w:vAlign w:val="bottom"/>
            <w:gridSpan w:val="35"/>
          </w:tcPr>
          <w:p>
            <w:pPr>
              <w:spacing w:after="0"/>
              <w:rPr>
                <w:rFonts w:ascii="Arial" w:cs="Arial" w:eastAsia="Arial" w:hAnsi="Arial"/>
                <w:sz w:val="18"/>
                <w:szCs w:val="18"/>
                <w:color w:val="0000FF"/>
                <w:w w:val="97"/>
              </w:rPr>
            </w:pPr>
            <w:hyperlink r:id="rId285">
              <w:r>
                <w:rPr>
                  <w:rFonts w:ascii="Arial" w:cs="Arial" w:eastAsia="Arial" w:hAnsi="Arial"/>
                  <w:sz w:val="18"/>
                  <w:szCs w:val="18"/>
                  <w:color w:val="0000FF"/>
                  <w:w w:val="97"/>
                </w:rPr>
                <w:t>Sales Milestone Contingent Value Rights Agreement,</w:t>
              </w:r>
            </w:hyperlink>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333-252232</w:t>
            </w:r>
          </w:p>
        </w:tc>
        <w:tc>
          <w:tcPr>
            <w:tcW w:w="1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31"/>
              <w:spacing w:after="0"/>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285">
              <w:r>
                <w:rPr>
                  <w:rFonts w:ascii="Arial" w:cs="Arial" w:eastAsia="Arial" w:hAnsi="Arial"/>
                  <w:sz w:val="18"/>
                  <w:szCs w:val="18"/>
                  <w:color w:val="0000FF"/>
                  <w:w w:val="89"/>
                </w:rPr>
                <w:t>dated as of July 31, 2017, by and between the</w:t>
              </w:r>
            </w:hyperlink>
          </w:p>
        </w:tc>
        <w:tc>
          <w:tcPr>
            <w:tcW w:w="640" w:type="dxa"/>
            <w:vAlign w:val="bottom"/>
            <w:tcBorders>
              <w:top w:val="single" w:sz="8" w:color="0000FF"/>
            </w:tcBorders>
            <w:gridSpan w:val="18"/>
          </w:tcPr>
          <w:p>
            <w:pPr>
              <w:spacing w:after="0"/>
              <w:rPr>
                <w:sz w:val="13"/>
                <w:szCs w:val="13"/>
                <w:color w:val="auto"/>
              </w:rPr>
            </w:pPr>
          </w:p>
        </w:tc>
        <w:tc>
          <w:tcPr>
            <w:tcW w:w="22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4889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1220"/>
        <w:spacing w:after="0" w:line="205" w:lineRule="auto"/>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Company and Shareholder Representative Services</w:t>
        </w:r>
      </w:hyperlink>
    </w:p>
    <w:p>
      <w:pPr>
        <w:ind w:left="1220"/>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LLC.</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w w:val="97"/>
              </w:rPr>
              <w:t>Incorporated by Reference Herein</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gridSpan w:val="23"/>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23"/>
            <w:vMerge w:val="continue"/>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1760" w:type="dxa"/>
            <w:vAlign w:val="bottom"/>
          </w:tcPr>
          <w:p>
            <w:pPr>
              <w:jc w:val="center"/>
              <w:ind w:right="3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Borders>
              <w:right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10.11†</w:t>
            </w: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88">
              <w:r>
                <w:rPr>
                  <w:rFonts w:ascii="Arial" w:cs="Arial" w:eastAsia="Arial" w:hAnsi="Arial"/>
                  <w:sz w:val="18"/>
                  <w:szCs w:val="18"/>
                  <w:color w:val="0000FF"/>
                </w:rPr>
                <w:t>Agreement and Plan of Merger, entered into as of</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60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288">
              <w:r>
                <w:rPr>
                  <w:rFonts w:ascii="Arial" w:cs="Arial" w:eastAsia="Arial" w:hAnsi="Arial"/>
                  <w:sz w:val="18"/>
                  <w:szCs w:val="18"/>
                  <w:color w:val="0000FF"/>
                </w:rPr>
                <w:t>May 15, 2018, by and among the Company,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160" w:type="dxa"/>
            <w:vAlign w:val="bottom"/>
            <w:gridSpan w:val="26"/>
            <w:shd w:val="clear" w:color="auto" w:fill="CCEEFF"/>
          </w:tcPr>
          <w:p>
            <w:pPr>
              <w:spacing w:after="0" w:line="169" w:lineRule="exact"/>
              <w:rPr>
                <w:rFonts w:ascii="Arial" w:cs="Arial" w:eastAsia="Arial" w:hAnsi="Arial"/>
                <w:sz w:val="18"/>
                <w:szCs w:val="18"/>
                <w:color w:val="0000FF"/>
                <w:w w:val="96"/>
              </w:rPr>
            </w:pPr>
            <w:hyperlink r:id="rId288">
              <w:r>
                <w:rPr>
                  <w:rFonts w:ascii="Arial" w:cs="Arial" w:eastAsia="Arial" w:hAnsi="Arial"/>
                  <w:sz w:val="18"/>
                  <w:szCs w:val="18"/>
                  <w:color w:val="0000FF"/>
                  <w:w w:val="96"/>
                </w:rPr>
                <w:t>Receptome Acquisition Corporation, Receptome, Inc.,</w:t>
              </w:r>
            </w:hyperlink>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92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288">
              <w:r>
                <w:rPr>
                  <w:rFonts w:ascii="Arial" w:cs="Arial" w:eastAsia="Arial" w:hAnsi="Arial"/>
                  <w:sz w:val="18"/>
                  <w:szCs w:val="18"/>
                  <w:color w:val="0000FF"/>
                </w:rPr>
                <w:t>and the Selling Stockholder thereunder.</w:t>
              </w:r>
            </w:hyperlink>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2"/>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10.12</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289">
              <w:r>
                <w:rPr>
                  <w:rFonts w:ascii="Arial" w:cs="Arial" w:eastAsia="Arial" w:hAnsi="Arial"/>
                  <w:sz w:val="18"/>
                  <w:szCs w:val="18"/>
                  <w:color w:val="0000FF"/>
                  <w:w w:val="96"/>
                </w:rPr>
                <w:t>Promissory Note between ImmunityBio, Inc. and Nant</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89"/>
              </w:rPr>
              <w:t>December 12, 2022</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94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289">
              <w:r>
                <w:rPr>
                  <w:rFonts w:ascii="Arial" w:cs="Arial" w:eastAsia="Arial" w:hAnsi="Arial"/>
                  <w:sz w:val="18"/>
                  <w:szCs w:val="18"/>
                  <w:color w:val="0000FF"/>
                </w:rPr>
                <w:t>Capital, LLC dated December 12, 2022.</w:t>
              </w:r>
            </w:hyperlink>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10.13</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290">
              <w:r>
                <w:rPr>
                  <w:rFonts w:ascii="Arial" w:cs="Arial" w:eastAsia="Arial" w:hAnsi="Arial"/>
                  <w:sz w:val="18"/>
                  <w:szCs w:val="18"/>
                  <w:color w:val="0000FF"/>
                  <w:w w:val="96"/>
                </w:rPr>
                <w:t>Promissory Note between ImmunityBio, Inc. and Nant</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94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290">
              <w:r>
                <w:rPr>
                  <w:rFonts w:ascii="Arial" w:cs="Arial" w:eastAsia="Arial" w:hAnsi="Arial"/>
                  <w:sz w:val="18"/>
                  <w:szCs w:val="18"/>
                  <w:color w:val="0000FF"/>
                </w:rPr>
                <w:t>Capital, LLC dated August 31, 2022.</w:t>
              </w:r>
            </w:hyperlink>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10.14</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91">
              <w:r>
                <w:rPr>
                  <w:rFonts w:ascii="Arial" w:cs="Arial" w:eastAsia="Arial" w:hAnsi="Arial"/>
                  <w:sz w:val="18"/>
                  <w:szCs w:val="18"/>
                  <w:color w:val="0000FF"/>
                </w:rPr>
                <w:t>Amended and Restated Promissory Note between</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6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7"/>
              </w:rPr>
            </w:pPr>
            <w:hyperlink r:id="rId291">
              <w:r>
                <w:rPr>
                  <w:rFonts w:ascii="Arial" w:cs="Arial" w:eastAsia="Arial" w:hAnsi="Arial"/>
                  <w:sz w:val="18"/>
                  <w:szCs w:val="18"/>
                  <w:color w:val="0000FF"/>
                  <w:w w:val="97"/>
                </w:rPr>
                <w:t>ImmunityBio, Inc. and Nant Capital, LLC dated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46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rPr>
            </w:pPr>
            <w:hyperlink r:id="rId291">
              <w:r>
                <w:rPr>
                  <w:rFonts w:ascii="Arial" w:cs="Arial" w:eastAsia="Arial" w:hAnsi="Arial"/>
                  <w:sz w:val="18"/>
                  <w:szCs w:val="18"/>
                  <w:color w:val="0000FF"/>
                </w:rPr>
                <w:t>August 31, 2022.</w:t>
              </w:r>
            </w:hyperlink>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10.15</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w w:val="97"/>
              </w:rPr>
            </w:pPr>
            <w:hyperlink r:id="rId292">
              <w:r>
                <w:rPr>
                  <w:rFonts w:ascii="Arial" w:cs="Arial" w:eastAsia="Arial" w:hAnsi="Arial"/>
                  <w:sz w:val="18"/>
                  <w:szCs w:val="18"/>
                  <w:color w:val="0000FF"/>
                  <w:w w:val="97"/>
                </w:rPr>
                <w:t>Amended and Restated Convertible Promissory Note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8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7"/>
              </w:rPr>
            </w:pPr>
            <w:hyperlink r:id="rId292">
              <w:r>
                <w:rPr>
                  <w:rFonts w:ascii="Arial" w:cs="Arial" w:eastAsia="Arial" w:hAnsi="Arial"/>
                  <w:sz w:val="18"/>
                  <w:szCs w:val="18"/>
                  <w:color w:val="0000FF"/>
                  <w:w w:val="97"/>
                </w:rPr>
                <w:t>between ImmunityBio, Inc. and Nant Capital, LLC</w:t>
              </w:r>
            </w:hyperlink>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68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r:id="rId292">
              <w:r>
                <w:rPr>
                  <w:rFonts w:ascii="Arial" w:cs="Arial" w:eastAsia="Arial" w:hAnsi="Arial"/>
                  <w:sz w:val="18"/>
                  <w:szCs w:val="18"/>
                  <w:color w:val="0000FF"/>
                </w:rPr>
                <w:t>dated August 31,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10.16</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w w:val="97"/>
              </w:rPr>
            </w:pPr>
            <w:hyperlink r:id="rId293">
              <w:r>
                <w:rPr>
                  <w:rFonts w:ascii="Arial" w:cs="Arial" w:eastAsia="Arial" w:hAnsi="Arial"/>
                  <w:sz w:val="18"/>
                  <w:szCs w:val="18"/>
                  <w:color w:val="0000FF"/>
                  <w:w w:val="97"/>
                </w:rPr>
                <w:t>Amended and Restated Convertible Promissory Note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8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7"/>
              </w:rPr>
            </w:pPr>
            <w:hyperlink r:id="rId293">
              <w:r>
                <w:rPr>
                  <w:rFonts w:ascii="Arial" w:cs="Arial" w:eastAsia="Arial" w:hAnsi="Arial"/>
                  <w:sz w:val="18"/>
                  <w:szCs w:val="18"/>
                  <w:color w:val="0000FF"/>
                  <w:w w:val="97"/>
                </w:rPr>
                <w:t>between ImmunityBio, Inc. and Nant Capital, LLC</w:t>
              </w:r>
            </w:hyperlink>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0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rPr>
            </w:pPr>
            <w:hyperlink r:id="rId293">
              <w:r>
                <w:rPr>
                  <w:rFonts w:ascii="Arial" w:cs="Arial" w:eastAsia="Arial" w:hAnsi="Arial"/>
                  <w:sz w:val="18"/>
                  <w:szCs w:val="18"/>
                  <w:color w:val="0000FF"/>
                </w:rPr>
                <w:t>dated August 31,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10.17</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94">
              <w:r>
                <w:rPr>
                  <w:rFonts w:ascii="Arial" w:cs="Arial" w:eastAsia="Arial" w:hAnsi="Arial"/>
                  <w:sz w:val="18"/>
                  <w:szCs w:val="18"/>
                  <w:color w:val="0000FF"/>
                </w:rPr>
                <w:t>Second Amended and Restated Convertible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26"/>
            <w:shd w:val="clear" w:color="auto" w:fill="CCEEFF"/>
          </w:tcPr>
          <w:p>
            <w:pPr>
              <w:spacing w:after="0" w:line="156" w:lineRule="exact"/>
              <w:rPr>
                <w:rFonts w:ascii="Arial" w:cs="Arial" w:eastAsia="Arial" w:hAnsi="Arial"/>
                <w:sz w:val="18"/>
                <w:szCs w:val="18"/>
                <w:color w:val="0000FF"/>
              </w:rPr>
            </w:pPr>
            <w:hyperlink r:id="rId294">
              <w:r>
                <w:rPr>
                  <w:rFonts w:ascii="Arial" w:cs="Arial" w:eastAsia="Arial" w:hAnsi="Arial"/>
                  <w:sz w:val="18"/>
                  <w:szCs w:val="18"/>
                  <w:color w:val="0000FF"/>
                </w:rPr>
                <w:t>Promissory Note between ImmunityBio, Inc. and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294">
              <w:r>
                <w:rPr>
                  <w:rFonts w:ascii="Arial" w:cs="Arial" w:eastAsia="Arial" w:hAnsi="Arial"/>
                  <w:sz w:val="18"/>
                  <w:szCs w:val="18"/>
                  <w:color w:val="0000FF"/>
                </w:rPr>
                <w:t>Nant Capital, LLC dated August 31,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10.18</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95">
              <w:r>
                <w:rPr>
                  <w:rFonts w:ascii="Arial" w:cs="Arial" w:eastAsia="Arial" w:hAnsi="Arial"/>
                  <w:sz w:val="18"/>
                  <w:szCs w:val="18"/>
                  <w:color w:val="0000FF"/>
                </w:rPr>
                <w:t>Second Amended and Restated Convertible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26"/>
            <w:shd w:val="clear" w:color="auto" w:fill="CCEEFF"/>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Promissory Note between ImmunityBio, Inc. and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295">
              <w:r>
                <w:rPr>
                  <w:rFonts w:ascii="Arial" w:cs="Arial" w:eastAsia="Arial" w:hAnsi="Arial"/>
                  <w:sz w:val="18"/>
                  <w:szCs w:val="18"/>
                  <w:color w:val="0000FF"/>
                </w:rPr>
                <w:t>NantWorks, LLC dated August 31,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10.19</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96">
              <w:r>
                <w:rPr>
                  <w:rFonts w:ascii="Arial" w:cs="Arial" w:eastAsia="Arial" w:hAnsi="Arial"/>
                  <w:sz w:val="18"/>
                  <w:szCs w:val="18"/>
                  <w:color w:val="0000FF"/>
                </w:rPr>
                <w:t>Second Amended and Restated Convertible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3580" w:type="dxa"/>
            <w:vAlign w:val="bottom"/>
            <w:tcBorders>
              <w:bottom w:val="single" w:sz="8" w:color="0000FF"/>
            </w:tcBorders>
            <w:gridSpan w:val="14"/>
            <w:shd w:val="clear" w:color="auto" w:fill="CCEEFF"/>
          </w:tcPr>
          <w:p>
            <w:pPr>
              <w:spacing w:after="0" w:line="156" w:lineRule="exact"/>
              <w:rPr>
                <w:rFonts w:ascii="Arial" w:cs="Arial" w:eastAsia="Arial" w:hAnsi="Arial"/>
                <w:sz w:val="18"/>
                <w:szCs w:val="18"/>
                <w:color w:val="0000FF"/>
                <w:w w:val="92"/>
              </w:rPr>
            </w:pPr>
            <w:hyperlink r:id="rId296">
              <w:r>
                <w:rPr>
                  <w:rFonts w:ascii="Arial" w:cs="Arial" w:eastAsia="Arial" w:hAnsi="Arial"/>
                  <w:sz w:val="18"/>
                  <w:szCs w:val="18"/>
                  <w:color w:val="0000FF"/>
                  <w:w w:val="92"/>
                </w:rPr>
                <w:t>Promissory Note between ImmunityBio, Inc. and</w:t>
              </w:r>
            </w:hyperlink>
          </w:p>
        </w:tc>
        <w:tc>
          <w:tcPr>
            <w:tcW w:w="58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69" w:lineRule="exact"/>
              <w:rPr>
                <w:rFonts w:ascii="Arial" w:cs="Arial" w:eastAsia="Arial" w:hAnsi="Arial"/>
                <w:sz w:val="18"/>
                <w:szCs w:val="18"/>
                <w:color w:val="0000FF"/>
              </w:rPr>
            </w:pPr>
            <w:hyperlink r:id="rId296">
              <w:r>
                <w:rPr>
                  <w:rFonts w:ascii="Arial" w:cs="Arial" w:eastAsia="Arial" w:hAnsi="Arial"/>
                  <w:sz w:val="18"/>
                  <w:szCs w:val="18"/>
                  <w:color w:val="0000FF"/>
                </w:rPr>
                <w:t>NantCancerStemCell, LLC dated August 31, 2022.</w:t>
              </w:r>
            </w:hyperlink>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10.20</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rPr>
            </w:pPr>
            <w:hyperlink r:id="rId297">
              <w:r>
                <w:rPr>
                  <w:rFonts w:ascii="Arial" w:cs="Arial" w:eastAsia="Arial" w:hAnsi="Arial"/>
                  <w:sz w:val="18"/>
                  <w:szCs w:val="18"/>
                  <w:color w:val="0000FF"/>
                </w:rPr>
                <w:t>Second Amended and Restated Convertible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2022</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gridSpan w:val="6"/>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26"/>
            <w:shd w:val="clear" w:color="auto" w:fill="CCEEFF"/>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Promissory Note between ImmunityBio, Inc. and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297">
              <w:r>
                <w:rPr>
                  <w:rFonts w:ascii="Arial" w:cs="Arial" w:eastAsia="Arial" w:hAnsi="Arial"/>
                  <w:sz w:val="18"/>
                  <w:szCs w:val="18"/>
                  <w:color w:val="0000FF"/>
                </w:rPr>
                <w:t>NantMobile, LLC dated August 31, 2022.</w:t>
              </w:r>
            </w:hyperlink>
          </w:p>
        </w:tc>
        <w:tc>
          <w:tcPr>
            <w:tcW w:w="8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10.21</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380" w:type="dxa"/>
            <w:vAlign w:val="bottom"/>
            <w:tcBorders>
              <w:bottom w:val="single" w:sz="8" w:color="0000FF"/>
            </w:tcBorders>
            <w:gridSpan w:val="11"/>
            <w:shd w:val="clear" w:color="auto" w:fill="CCEEFF"/>
          </w:tcPr>
          <w:p>
            <w:pPr>
              <w:spacing w:after="0" w:line="189" w:lineRule="exact"/>
              <w:rPr>
                <w:rFonts w:ascii="Arial" w:cs="Arial" w:eastAsia="Arial" w:hAnsi="Arial"/>
                <w:sz w:val="18"/>
                <w:szCs w:val="18"/>
                <w:color w:val="0000FF"/>
                <w:w w:val="90"/>
              </w:rPr>
            </w:pPr>
            <w:hyperlink r:id="rId298">
              <w:r>
                <w:rPr>
                  <w:rFonts w:ascii="Arial" w:cs="Arial" w:eastAsia="Arial" w:hAnsi="Arial"/>
                  <w:sz w:val="18"/>
                  <w:szCs w:val="18"/>
                  <w:color w:val="0000FF"/>
                  <w:w w:val="90"/>
                </w:rPr>
                <w:t>Lease Agreement by and between ARE-JOHN</w:t>
              </w:r>
            </w:hyperlink>
          </w:p>
        </w:tc>
        <w:tc>
          <w:tcPr>
            <w:tcW w:w="780" w:type="dxa"/>
            <w:vAlign w:val="bottom"/>
            <w:tcBorders>
              <w:bottom w:val="single" w:sz="8" w:color="CCEEFF"/>
            </w:tcBorders>
            <w:gridSpan w:val="15"/>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3"/>
              </w:rPr>
              <w:t>S-1/A</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10.19</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1"/>
              </w:rPr>
              <w:t>July 27, 2015</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26"/>
            <w:shd w:val="clear" w:color="auto" w:fill="CCEEFF"/>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HOPKINS COURT, LLC and the Company, dated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64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rPr>
            </w:pPr>
            <w:hyperlink r:id="rId298">
              <w:r>
                <w:rPr>
                  <w:rFonts w:ascii="Arial" w:cs="Arial" w:eastAsia="Arial" w:hAnsi="Arial"/>
                  <w:sz w:val="18"/>
                  <w:szCs w:val="18"/>
                  <w:color w:val="0000FF"/>
                </w:rPr>
                <w:t>June 19, 2015.</w:t>
              </w:r>
            </w:hyperlink>
          </w:p>
        </w:tc>
        <w:tc>
          <w:tcPr>
            <w:tcW w:w="80" w:type="dxa"/>
            <w:vAlign w:val="bottom"/>
            <w:tcBorders>
              <w:top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10.22</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26"/>
            <w:shd w:val="clear" w:color="auto" w:fill="CCEEFF"/>
          </w:tcPr>
          <w:p>
            <w:pPr>
              <w:spacing w:after="0" w:line="189" w:lineRule="exact"/>
              <w:rPr>
                <w:rFonts w:ascii="Arial" w:cs="Arial" w:eastAsia="Arial" w:hAnsi="Arial"/>
                <w:sz w:val="18"/>
                <w:szCs w:val="18"/>
                <w:color w:val="0000FF"/>
                <w:w w:val="95"/>
              </w:rPr>
            </w:pPr>
            <w:hyperlink r:id="rId299">
              <w:r>
                <w:rPr>
                  <w:rFonts w:ascii="Arial" w:cs="Arial" w:eastAsia="Arial" w:hAnsi="Arial"/>
                  <w:sz w:val="18"/>
                  <w:szCs w:val="18"/>
                  <w:color w:val="0000FF"/>
                  <w:w w:val="95"/>
                </w:rPr>
                <w:t>First Amendment to Lease dated July 16, 2015 by and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0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w w:val="97"/>
              </w:rPr>
            </w:pPr>
            <w:hyperlink r:id="rId299">
              <w:r>
                <w:rPr>
                  <w:rFonts w:ascii="Arial" w:cs="Arial" w:eastAsia="Arial" w:hAnsi="Arial"/>
                  <w:sz w:val="18"/>
                  <w:szCs w:val="18"/>
                  <w:color w:val="0000FF"/>
                  <w:w w:val="97"/>
                </w:rPr>
                <w:t>between ARE-JOHN HOPKINS COURT, LLC and</w:t>
              </w:r>
            </w:hyperlink>
          </w:p>
        </w:tc>
        <w:tc>
          <w:tcPr>
            <w:tcW w:w="260" w:type="dxa"/>
            <w:vAlign w:val="bottom"/>
            <w:tcBorders>
              <w:top w:val="single" w:sz="8" w:color="CCEEFF"/>
            </w:tcBorders>
            <w:gridSpan w:val="4"/>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10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1"/>
              </w:rPr>
            </w:pPr>
            <w:hyperlink r:id="rId299">
              <w:r>
                <w:rPr>
                  <w:rFonts w:ascii="Arial" w:cs="Arial" w:eastAsia="Arial" w:hAnsi="Arial"/>
                  <w:sz w:val="18"/>
                  <w:szCs w:val="18"/>
                  <w:color w:val="0000FF"/>
                  <w:w w:val="91"/>
                </w:rPr>
                <w:t>Conkwest, Inc.</w:t>
              </w:r>
            </w:hyperlink>
          </w:p>
        </w:tc>
        <w:tc>
          <w:tcPr>
            <w:tcW w:w="262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0" w:type="dxa"/>
            <w:vAlign w:val="bottom"/>
          </w:tcPr>
          <w:p>
            <w:pPr>
              <w:ind w:left="12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1"/>
                <w:szCs w:val="21"/>
                <w:color w:val="auto"/>
              </w:rPr>
            </w:pPr>
          </w:p>
        </w:tc>
        <w:tc>
          <w:tcPr>
            <w:tcW w:w="4160" w:type="dxa"/>
            <w:vAlign w:val="bottom"/>
            <w:gridSpan w:val="26"/>
          </w:tcPr>
          <w:p>
            <w:pPr>
              <w:spacing w:after="0"/>
              <w:rPr>
                <w:rFonts w:ascii="Arial" w:cs="Arial" w:eastAsia="Arial" w:hAnsi="Arial"/>
                <w:sz w:val="18"/>
                <w:szCs w:val="18"/>
                <w:color w:val="0000FF"/>
              </w:rPr>
            </w:pPr>
            <w:hyperlink r:id="rId300">
              <w:r>
                <w:rPr>
                  <w:rFonts w:ascii="Arial" w:cs="Arial" w:eastAsia="Arial" w:hAnsi="Arial"/>
                  <w:sz w:val="18"/>
                  <w:szCs w:val="18"/>
                  <w:color w:val="0000FF"/>
                </w:rPr>
                <w:t>Second Amendment to Lease effective as of</w:t>
              </w:r>
            </w:hyperlink>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001-37507</w:t>
            </w:r>
          </w:p>
        </w:tc>
        <w:tc>
          <w:tcPr>
            <w:tcW w:w="1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51"/>
              <w:spacing w:after="0"/>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300">
              <w:r>
                <w:rPr>
                  <w:rFonts w:ascii="Arial" w:cs="Arial" w:eastAsia="Arial" w:hAnsi="Arial"/>
                  <w:sz w:val="18"/>
                  <w:szCs w:val="18"/>
                  <w:color w:val="0000FF"/>
                  <w:w w:val="91"/>
                </w:rPr>
                <w:t>June 18, 2016 by and between ARE-JOHN</w:t>
              </w:r>
            </w:hyperlink>
          </w:p>
        </w:tc>
        <w:tc>
          <w:tcPr>
            <w:tcW w:w="76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300">
              <w:r>
                <w:rPr>
                  <w:rFonts w:ascii="Arial" w:cs="Arial" w:eastAsia="Arial" w:hAnsi="Arial"/>
                  <w:sz w:val="18"/>
                  <w:szCs w:val="18"/>
                  <w:color w:val="0000FF"/>
                  <w:w w:val="91"/>
                </w:rPr>
                <w:t>HOPKINS</w:t>
              </w:r>
            </w:hyperlink>
          </w:p>
        </w:tc>
        <w:tc>
          <w:tcPr>
            <w:tcW w:w="2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4889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1220"/>
        <w:spacing w:after="0" w:line="205" w:lineRule="auto"/>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COURT, LLC and NantKwest, Inc., fka</w:t>
        </w:r>
      </w:hyperlink>
    </w:p>
    <w:p>
      <w:pPr>
        <w:ind w:left="1220"/>
        <w:spacing w:after="0"/>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Conkwest, Inc.</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w w:val="97"/>
              </w:rPr>
              <w:t>Incorporated by Reference Herein</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760" w:type="dxa"/>
            <w:vAlign w:val="bottom"/>
            <w:gridSpan w:val="31"/>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760" w:type="dxa"/>
            <w:vAlign w:val="bottom"/>
            <w:gridSpan w:val="31"/>
            <w:vMerge w:val="continue"/>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1760" w:type="dxa"/>
            <w:vAlign w:val="bottom"/>
          </w:tcPr>
          <w:p>
            <w:pPr>
              <w:jc w:val="center"/>
              <w:ind w:right="3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rPr>
            </w:pPr>
            <w:hyperlink r:id="rId303">
              <w:r>
                <w:rPr>
                  <w:rFonts w:ascii="Arial" w:cs="Arial" w:eastAsia="Arial" w:hAnsi="Arial"/>
                  <w:sz w:val="18"/>
                  <w:szCs w:val="18"/>
                  <w:color w:val="0000FF"/>
                </w:rPr>
                <w:t>Third Amendment to Lease dated April 12, 2022 by</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8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w w:val="94"/>
              </w:rPr>
            </w:pPr>
            <w:hyperlink r:id="rId303">
              <w:r>
                <w:rPr>
                  <w:rFonts w:ascii="Arial" w:cs="Arial" w:eastAsia="Arial" w:hAnsi="Arial"/>
                  <w:sz w:val="18"/>
                  <w:szCs w:val="18"/>
                  <w:color w:val="0000FF"/>
                  <w:w w:val="94"/>
                </w:rPr>
                <w:t>and between ARE-JOHN HOPKINS COURT,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303">
              <w:r>
                <w:rPr>
                  <w:rFonts w:ascii="Arial" w:cs="Arial" w:eastAsia="Arial" w:hAnsi="Arial"/>
                  <w:sz w:val="18"/>
                  <w:szCs w:val="18"/>
                  <w:color w:val="0000FF"/>
                </w:rPr>
                <w:t>and ImmunityBio, Inc.</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10.25</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0000FF"/>
            </w:tcBorders>
            <w:gridSpan w:val="12"/>
            <w:shd w:val="clear" w:color="auto" w:fill="CCEEFF"/>
          </w:tcPr>
          <w:p>
            <w:pPr>
              <w:spacing w:after="0" w:line="189" w:lineRule="exact"/>
              <w:rPr>
                <w:rFonts w:ascii="Arial" w:cs="Arial" w:eastAsia="Arial" w:hAnsi="Arial"/>
                <w:sz w:val="18"/>
                <w:szCs w:val="18"/>
                <w:color w:val="0000FF"/>
                <w:w w:val="90"/>
              </w:rPr>
            </w:pPr>
            <w:hyperlink r:id="rId304">
              <w:r>
                <w:rPr>
                  <w:rFonts w:ascii="Arial" w:cs="Arial" w:eastAsia="Arial" w:hAnsi="Arial"/>
                  <w:sz w:val="18"/>
                  <w:szCs w:val="18"/>
                  <w:color w:val="0000FF"/>
                  <w:w w:val="90"/>
                </w:rPr>
                <w:t>Facility License Agreement by and between</w:t>
              </w:r>
            </w:hyperlink>
          </w:p>
        </w:tc>
        <w:tc>
          <w:tcPr>
            <w:tcW w:w="980" w:type="dxa"/>
            <w:vAlign w:val="bottom"/>
            <w:tcBorders>
              <w:bottom w:val="single" w:sz="8" w:color="CCEEFF"/>
            </w:tcBorders>
            <w:gridSpan w:val="20"/>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10-K</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10.23</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1"/>
              </w:rPr>
              <w:t>March 30, 2016</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160" w:type="dxa"/>
            <w:vAlign w:val="bottom"/>
            <w:gridSpan w:val="32"/>
            <w:shd w:val="clear" w:color="auto" w:fill="CCEEFF"/>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NantWorks, LLC and the Company, dated as of</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304">
              <w:r>
                <w:rPr>
                  <w:rFonts w:ascii="Arial" w:cs="Arial" w:eastAsia="Arial" w:hAnsi="Arial"/>
                  <w:sz w:val="18"/>
                  <w:szCs w:val="18"/>
                  <w:color w:val="0000FF"/>
                </w:rPr>
                <w:t>November 6, 2015.</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10.26</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740" w:type="dxa"/>
            <w:vAlign w:val="bottom"/>
            <w:tcBorders>
              <w:bottom w:val="single" w:sz="8" w:color="0000FF"/>
            </w:tcBorders>
            <w:gridSpan w:val="22"/>
            <w:shd w:val="clear" w:color="auto" w:fill="CCEEFF"/>
          </w:tcPr>
          <w:p>
            <w:pPr>
              <w:spacing w:after="0" w:line="189" w:lineRule="exact"/>
              <w:rPr>
                <w:rFonts w:ascii="Arial" w:cs="Arial" w:eastAsia="Arial" w:hAnsi="Arial"/>
                <w:sz w:val="18"/>
                <w:szCs w:val="18"/>
                <w:color w:val="0000FF"/>
                <w:w w:val="92"/>
              </w:rPr>
            </w:pPr>
            <w:hyperlink r:id="rId305">
              <w:r>
                <w:rPr>
                  <w:rFonts w:ascii="Arial" w:cs="Arial" w:eastAsia="Arial" w:hAnsi="Arial"/>
                  <w:sz w:val="18"/>
                  <w:szCs w:val="18"/>
                  <w:color w:val="0000FF"/>
                  <w:w w:val="92"/>
                </w:rPr>
                <w:t>First Amendment to Facility License Agreement by</w:t>
              </w:r>
            </w:hyperlink>
          </w:p>
        </w:tc>
        <w:tc>
          <w:tcPr>
            <w:tcW w:w="420" w:type="dxa"/>
            <w:vAlign w:val="bottom"/>
            <w:tcBorders>
              <w:bottom w:val="single" w:sz="8" w:color="CCEEFF"/>
            </w:tcBorders>
            <w:gridSpan w:val="10"/>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2020</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160" w:type="dxa"/>
            <w:vAlign w:val="bottom"/>
            <w:gridSpan w:val="32"/>
            <w:shd w:val="clear" w:color="auto" w:fill="CCEEFF"/>
          </w:tcPr>
          <w:p>
            <w:pPr>
              <w:spacing w:after="0" w:line="156" w:lineRule="exact"/>
              <w:rPr>
                <w:rFonts w:ascii="Arial" w:cs="Arial" w:eastAsia="Arial" w:hAnsi="Arial"/>
                <w:sz w:val="18"/>
                <w:szCs w:val="18"/>
                <w:color w:val="0000FF"/>
                <w:w w:val="93"/>
              </w:rPr>
            </w:pPr>
            <w:hyperlink r:id="rId305">
              <w:r>
                <w:rPr>
                  <w:rFonts w:ascii="Arial" w:cs="Arial" w:eastAsia="Arial" w:hAnsi="Arial"/>
                  <w:sz w:val="18"/>
                  <w:szCs w:val="18"/>
                  <w:color w:val="0000FF"/>
                  <w:w w:val="93"/>
                </w:rPr>
                <w:t>and between NantWorks, LLC and the Company, dated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rPr>
            </w:pPr>
            <w:hyperlink r:id="rId305">
              <w:r>
                <w:rPr>
                  <w:rFonts w:ascii="Arial" w:cs="Arial" w:eastAsia="Arial" w:hAnsi="Arial"/>
                  <w:sz w:val="18"/>
                  <w:szCs w:val="18"/>
                  <w:color w:val="0000FF"/>
                </w:rPr>
                <w:t>as of September 14, 2020.</w:t>
              </w:r>
            </w:hyperlink>
          </w:p>
        </w:tc>
        <w:tc>
          <w:tcPr>
            <w:tcW w:w="1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rPr>
            </w:pPr>
            <w:hyperlink r:id="rId306">
              <w:r>
                <w:rPr>
                  <w:rFonts w:ascii="Arial" w:cs="Arial" w:eastAsia="Arial" w:hAnsi="Arial"/>
                  <w:sz w:val="18"/>
                  <w:szCs w:val="18"/>
                  <w:color w:val="0000FF"/>
                </w:rPr>
                <w:t>Second Amendment to Facility License Agreement,</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effective as of May 1, 2022, by and between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306">
              <w:r>
                <w:rPr>
                  <w:rFonts w:ascii="Arial" w:cs="Arial" w:eastAsia="Arial" w:hAnsi="Arial"/>
                  <w:sz w:val="18"/>
                  <w:szCs w:val="18"/>
                  <w:color w:val="0000FF"/>
                </w:rPr>
                <w:t>NantWorks, LLC, the Licensor, and</w:t>
              </w:r>
            </w:hyperlink>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3"/>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ImmunityBio, Inc., the Licensee.</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3"/>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w w:val="96"/>
              </w:rPr>
            </w:pPr>
            <w:hyperlink r:id="rId307">
              <w:r>
                <w:rPr>
                  <w:rFonts w:ascii="Arial" w:cs="Arial" w:eastAsia="Arial" w:hAnsi="Arial"/>
                  <w:sz w:val="18"/>
                  <w:szCs w:val="18"/>
                  <w:color w:val="0000FF"/>
                  <w:w w:val="96"/>
                </w:rPr>
                <w:t>Commercial Lease by and between 605 Doug St, LLC</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November 10, 2016</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307">
              <w:r>
                <w:rPr>
                  <w:rFonts w:ascii="Arial" w:cs="Arial" w:eastAsia="Arial" w:hAnsi="Arial"/>
                  <w:sz w:val="18"/>
                  <w:szCs w:val="18"/>
                  <w:color w:val="0000FF"/>
                  <w:w w:val="91"/>
                </w:rPr>
                <w:t>and the Company, dated September 15, 2016.</w:t>
              </w:r>
            </w:hyperlink>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gridSpan w:val="2"/>
            <w:shd w:val="clear" w:color="auto" w:fill="CCEEFF"/>
          </w:tcPr>
          <w:p>
            <w:pPr>
              <w:spacing w:after="0"/>
              <w:rPr>
                <w:sz w:val="16"/>
                <w:szCs w:val="16"/>
                <w:color w:val="auto"/>
              </w:rPr>
            </w:pPr>
          </w:p>
        </w:tc>
        <w:tc>
          <w:tcPr>
            <w:tcW w:w="60" w:type="dxa"/>
            <w:vAlign w:val="bottom"/>
            <w:tcBorders>
              <w:top w:val="single" w:sz="8" w:color="0000FF"/>
            </w:tcBorders>
            <w:gridSpan w:val="3"/>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10.29+</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0000FF"/>
            </w:tcBorders>
            <w:gridSpan w:val="27"/>
            <w:shd w:val="clear" w:color="auto" w:fill="CCEEFF"/>
          </w:tcPr>
          <w:p>
            <w:pPr>
              <w:spacing w:after="0" w:line="189" w:lineRule="exact"/>
              <w:rPr>
                <w:rFonts w:ascii="Arial" w:cs="Arial" w:eastAsia="Arial" w:hAnsi="Arial"/>
                <w:sz w:val="18"/>
                <w:szCs w:val="18"/>
                <w:color w:val="0000FF"/>
                <w:w w:val="90"/>
              </w:rPr>
            </w:pPr>
            <w:hyperlink r:id="rId308">
              <w:r>
                <w:rPr>
                  <w:rFonts w:ascii="Arial" w:cs="Arial" w:eastAsia="Arial" w:hAnsi="Arial"/>
                  <w:sz w:val="18"/>
                  <w:szCs w:val="18"/>
                  <w:color w:val="0000FF"/>
                  <w:w w:val="90"/>
                </w:rPr>
                <w:t>Commercial Lease by and between Duley Road, LLC</w:t>
              </w:r>
            </w:hyperlink>
          </w:p>
        </w:tc>
        <w:tc>
          <w:tcPr>
            <w:tcW w:w="280" w:type="dxa"/>
            <w:vAlign w:val="bottom"/>
            <w:tcBorders>
              <w:bottom w:val="single" w:sz="8" w:color="CCEEFF"/>
            </w:tcBorders>
            <w:gridSpan w:val="5"/>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3"/>
              </w:rPr>
              <w:t>S-4/A</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160" w:type="dxa"/>
            <w:vAlign w:val="bottom"/>
            <w:gridSpan w:val="32"/>
            <w:shd w:val="clear" w:color="auto" w:fill="CCEEFF"/>
          </w:tcPr>
          <w:p>
            <w:pPr>
              <w:spacing w:after="0" w:line="156" w:lineRule="exact"/>
              <w:rPr>
                <w:rFonts w:ascii="Arial" w:cs="Arial" w:eastAsia="Arial" w:hAnsi="Arial"/>
                <w:sz w:val="18"/>
                <w:szCs w:val="18"/>
                <w:color w:val="0000FF"/>
              </w:rPr>
            </w:pPr>
            <w:hyperlink r:id="rId308">
              <w:r>
                <w:rPr>
                  <w:rFonts w:ascii="Arial" w:cs="Arial" w:eastAsia="Arial" w:hAnsi="Arial"/>
                  <w:sz w:val="18"/>
                  <w:szCs w:val="18"/>
                  <w:color w:val="0000FF"/>
                </w:rPr>
                <w:t>and Altor BioScience Manufacturing Company, LLC</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rPr>
            </w:pPr>
            <w:hyperlink r:id="rId308">
              <w:r>
                <w:rPr>
                  <w:rFonts w:ascii="Arial" w:cs="Arial" w:eastAsia="Arial" w:hAnsi="Arial"/>
                  <w:sz w:val="18"/>
                  <w:szCs w:val="18"/>
                  <w:color w:val="0000FF"/>
                </w:rPr>
                <w:t>dated February 1, 2017.</w:t>
              </w:r>
            </w:hyperlink>
          </w:p>
        </w:tc>
        <w:tc>
          <w:tcPr>
            <w:tcW w:w="100" w:type="dxa"/>
            <w:vAlign w:val="bottom"/>
            <w:tcBorders>
              <w:top w:val="single" w:sz="8" w:color="CCEEFF"/>
            </w:tcBorders>
            <w:gridSpan w:val="3"/>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w w:val="97"/>
              </w:rPr>
            </w:pPr>
            <w:hyperlink r:id="rId309">
              <w:r>
                <w:rPr>
                  <w:rFonts w:ascii="Arial" w:cs="Arial" w:eastAsia="Arial" w:hAnsi="Arial"/>
                  <w:sz w:val="18"/>
                  <w:szCs w:val="18"/>
                  <w:color w:val="0000FF"/>
                  <w:w w:val="97"/>
                </w:rPr>
                <w:t>Commercial Lease by and between Duley Road, LLC</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3"/>
              </w:rPr>
              <w:t>S-4/A</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95"/>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8"/>
              </w:rPr>
            </w:pPr>
            <w:hyperlink r:id="rId309">
              <w:r>
                <w:rPr>
                  <w:rFonts w:ascii="Arial" w:cs="Arial" w:eastAsia="Arial" w:hAnsi="Arial"/>
                  <w:sz w:val="18"/>
                  <w:szCs w:val="18"/>
                  <w:color w:val="0000FF"/>
                  <w:w w:val="88"/>
                </w:rPr>
                <w:t>and the Company, dated January 28, 2019.</w:t>
              </w:r>
            </w:hyperlink>
          </w:p>
        </w:tc>
        <w:tc>
          <w:tcPr>
            <w:tcW w:w="2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w w:val="97"/>
              </w:rPr>
            </w:pPr>
            <w:hyperlink r:id="rId310">
              <w:r>
                <w:rPr>
                  <w:rFonts w:ascii="Arial" w:cs="Arial" w:eastAsia="Arial" w:hAnsi="Arial"/>
                  <w:sz w:val="18"/>
                  <w:szCs w:val="18"/>
                  <w:color w:val="0000FF"/>
                  <w:w w:val="97"/>
                </w:rPr>
                <w:t>Commercial Lease by and between Duley Road, LLC</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3"/>
              </w:rPr>
              <w:t>S-4/A</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95"/>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88"/>
              </w:rPr>
            </w:pPr>
            <w:hyperlink r:id="rId310">
              <w:r>
                <w:rPr>
                  <w:rFonts w:ascii="Arial" w:cs="Arial" w:eastAsia="Arial" w:hAnsi="Arial"/>
                  <w:sz w:val="18"/>
                  <w:szCs w:val="18"/>
                  <w:color w:val="0000FF"/>
                  <w:w w:val="88"/>
                </w:rPr>
                <w:t>and the Company, dated January 28, 2019.</w:t>
              </w:r>
            </w:hyperlink>
          </w:p>
        </w:tc>
        <w:tc>
          <w:tcPr>
            <w:tcW w:w="2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rPr>
            </w:pPr>
            <w:hyperlink r:id="rId311">
              <w:r>
                <w:rPr>
                  <w:rFonts w:ascii="Arial" w:cs="Arial" w:eastAsia="Arial" w:hAnsi="Arial"/>
                  <w:sz w:val="18"/>
                  <w:szCs w:val="18"/>
                  <w:color w:val="0000FF"/>
                </w:rPr>
                <w:t>Sublease Agreement between Altor BioScience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2020</w:t>
            </w:r>
          </w:p>
        </w:tc>
        <w:tc>
          <w:tcPr>
            <w:tcW w:w="0" w:type="dxa"/>
            <w:vAlign w:val="bottom"/>
          </w:tcPr>
          <w:p>
            <w:pPr>
              <w:spacing w:after="0"/>
              <w:rPr>
                <w:sz w:val="1"/>
                <w:szCs w:val="1"/>
                <w:color w:val="auto"/>
              </w:rPr>
            </w:pPr>
          </w:p>
        </w:tc>
      </w:tr>
      <w:tr>
        <w:trPr>
          <w:trHeight w:val="181"/>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4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87"/>
              </w:rPr>
            </w:pPr>
            <w:hyperlink r:id="rId311">
              <w:r>
                <w:rPr>
                  <w:rFonts w:ascii="Arial" w:cs="Arial" w:eastAsia="Arial" w:hAnsi="Arial"/>
                  <w:sz w:val="18"/>
                  <w:szCs w:val="18"/>
                  <w:color w:val="0000FF"/>
                  <w:w w:val="87"/>
                </w:rPr>
                <w:t>Manufacturing Company, LLC and the Company,</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0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CCEEFF"/>
            </w:tcBorders>
            <w:gridSpan w:val="5"/>
            <w:shd w:val="clear" w:color="auto" w:fill="CCEEFF"/>
          </w:tcPr>
          <w:p>
            <w:pPr>
              <w:spacing w:after="0" w:line="149" w:lineRule="exact"/>
              <w:rPr>
                <w:rFonts w:ascii="Arial" w:cs="Arial" w:eastAsia="Arial" w:hAnsi="Arial"/>
                <w:sz w:val="17"/>
                <w:szCs w:val="17"/>
                <w:color w:val="0000FF"/>
                <w:w w:val="93"/>
              </w:rPr>
            </w:pPr>
            <w:hyperlink r:id="rId311">
              <w:r>
                <w:rPr>
                  <w:rFonts w:ascii="Arial" w:cs="Arial" w:eastAsia="Arial" w:hAnsi="Arial"/>
                  <w:sz w:val="17"/>
                  <w:szCs w:val="17"/>
                  <w:color w:val="0000FF"/>
                  <w:w w:val="93"/>
                </w:rPr>
                <w:t>dated as of September 30,</w:t>
              </w:r>
            </w:hyperlink>
          </w:p>
        </w:tc>
        <w:tc>
          <w:tcPr>
            <w:tcW w:w="700" w:type="dxa"/>
            <w:vAlign w:val="bottom"/>
            <w:tcBorders>
              <w:top w:val="single" w:sz="8" w:color="0000FF"/>
            </w:tcBorders>
            <w:gridSpan w:val="4"/>
            <w:shd w:val="clear" w:color="auto" w:fill="CCEEFF"/>
          </w:tcPr>
          <w:p>
            <w:pPr>
              <w:jc w:val="right"/>
              <w:ind w:right="280"/>
              <w:spacing w:after="0" w:line="149" w:lineRule="exact"/>
              <w:rPr>
                <w:rFonts w:ascii="Arial" w:cs="Arial" w:eastAsia="Arial" w:hAnsi="Arial"/>
                <w:sz w:val="17"/>
                <w:szCs w:val="17"/>
                <w:color w:val="0000FF"/>
                <w:w w:val="93"/>
              </w:rPr>
            </w:pPr>
            <w:hyperlink r:id="rId311">
              <w:r>
                <w:rPr>
                  <w:rFonts w:ascii="Arial" w:cs="Arial" w:eastAsia="Arial" w:hAnsi="Arial"/>
                  <w:sz w:val="17"/>
                  <w:szCs w:val="17"/>
                  <w:color w:val="0000FF"/>
                  <w:w w:val="93"/>
                </w:rPr>
                <w:t>2020.</w:t>
              </w:r>
            </w:hyperlink>
          </w:p>
        </w:tc>
        <w:tc>
          <w:tcPr>
            <w:tcW w:w="4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gridSpan w:val="5"/>
            <w:shd w:val="clear" w:color="auto" w:fill="CCEEFF"/>
          </w:tcPr>
          <w:p>
            <w:pPr>
              <w:spacing w:after="0"/>
              <w:rPr>
                <w:sz w:val="14"/>
                <w:szCs w:val="14"/>
                <w:color w:val="auto"/>
              </w:rPr>
            </w:pPr>
          </w:p>
        </w:tc>
        <w:tc>
          <w:tcPr>
            <w:tcW w:w="160" w:type="dxa"/>
            <w:vAlign w:val="bottom"/>
            <w:tcBorders>
              <w:top w:val="single" w:sz="8" w:color="0000FF"/>
            </w:tcBorders>
            <w:gridSpan w:val="3"/>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rPr>
            </w:pPr>
            <w:hyperlink r:id="rId312">
              <w:r>
                <w:rPr>
                  <w:rFonts w:ascii="Arial" w:cs="Arial" w:eastAsia="Arial" w:hAnsi="Arial"/>
                  <w:sz w:val="18"/>
                  <w:szCs w:val="18"/>
                  <w:color w:val="0000FF"/>
                </w:rPr>
                <w:t>Commercial Lease between 605 Nash, LLC and the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2"/>
              </w:rPr>
              <w:t>March 4, 2021</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Company, dated February 11, 2021.</w:t>
              </w:r>
            </w:hyperlink>
          </w:p>
        </w:tc>
        <w:tc>
          <w:tcPr>
            <w:tcW w:w="6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rPr>
            </w:pPr>
            <w:hyperlink r:id="rId313">
              <w:r>
                <w:rPr>
                  <w:rFonts w:ascii="Arial" w:cs="Arial" w:eastAsia="Arial" w:hAnsi="Arial"/>
                  <w:sz w:val="18"/>
                  <w:szCs w:val="18"/>
                  <w:color w:val="0000FF"/>
                </w:rPr>
                <w:t>First Amendment to Lease (Expansion &amp; Extension)</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August 12,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5"/>
              </w:rPr>
            </w:pPr>
            <w:hyperlink r:id="rId313">
              <w:r>
                <w:rPr>
                  <w:rFonts w:ascii="Arial" w:cs="Arial" w:eastAsia="Arial" w:hAnsi="Arial"/>
                  <w:sz w:val="18"/>
                  <w:szCs w:val="18"/>
                  <w:color w:val="0000FF"/>
                  <w:w w:val="95"/>
                </w:rPr>
                <w:t>made and entered into as of May 28, 2021 by and</w:t>
              </w:r>
            </w:hyperlink>
          </w:p>
        </w:tc>
        <w:tc>
          <w:tcPr>
            <w:tcW w:w="14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5"/>
              </w:rPr>
            </w:pPr>
            <w:hyperlink r:id="rId313">
              <w:r>
                <w:rPr>
                  <w:rFonts w:ascii="Arial" w:cs="Arial" w:eastAsia="Arial" w:hAnsi="Arial"/>
                  <w:sz w:val="18"/>
                  <w:szCs w:val="18"/>
                  <w:color w:val="0000FF"/>
                  <w:w w:val="95"/>
                </w:rPr>
                <w:t>between 605 Nash, LLC and ImmunityBio, Inc.</w:t>
              </w:r>
            </w:hyperlink>
          </w:p>
        </w:tc>
        <w:tc>
          <w:tcPr>
            <w:tcW w:w="380" w:type="dxa"/>
            <w:vAlign w:val="bottom"/>
            <w:tcBorders>
              <w:top w:val="single" w:sz="8" w:color="CCEEFF"/>
            </w:tcBorders>
            <w:gridSpan w:val="10"/>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60" w:type="dxa"/>
            <w:vAlign w:val="bottom"/>
            <w:gridSpan w:val="32"/>
            <w:shd w:val="clear" w:color="auto" w:fill="CCEEFF"/>
          </w:tcPr>
          <w:p>
            <w:pPr>
              <w:spacing w:after="0" w:line="189" w:lineRule="exact"/>
              <w:rPr>
                <w:rFonts w:ascii="Arial" w:cs="Arial" w:eastAsia="Arial" w:hAnsi="Arial"/>
                <w:sz w:val="18"/>
                <w:szCs w:val="18"/>
                <w:color w:val="0000FF"/>
                <w:w w:val="94"/>
              </w:rPr>
            </w:pPr>
            <w:hyperlink r:id="rId314">
              <w:r>
                <w:rPr>
                  <w:rFonts w:ascii="Arial" w:cs="Arial" w:eastAsia="Arial" w:hAnsi="Arial"/>
                  <w:sz w:val="18"/>
                  <w:szCs w:val="18"/>
                  <w:color w:val="0000FF"/>
                  <w:w w:val="94"/>
                </w:rPr>
                <w:t>Membership Interest Purchase Agreement entered into</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as of September 27, 2021 by and among Nant</w:t>
              </w:r>
            </w:hyperlink>
          </w:p>
        </w:tc>
        <w:tc>
          <w:tcPr>
            <w:tcW w:w="220" w:type="dxa"/>
            <w:vAlign w:val="bottom"/>
            <w:tcBorders>
              <w:top w:val="single" w:sz="8" w:color="CCEEFF"/>
            </w:tcBorders>
            <w:gridSpan w:val="3"/>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314">
              <w:r>
                <w:rPr>
                  <w:rFonts w:ascii="Arial" w:cs="Arial" w:eastAsia="Arial" w:hAnsi="Arial"/>
                  <w:sz w:val="18"/>
                  <w:szCs w:val="18"/>
                  <w:color w:val="0000FF"/>
                </w:rPr>
                <w:t>Capital, LLC and ImmunityBio, Inc.</w:t>
              </w:r>
            </w:hyperlink>
          </w:p>
        </w:tc>
        <w:tc>
          <w:tcPr>
            <w:tcW w:w="860" w:type="dxa"/>
            <w:vAlign w:val="bottom"/>
            <w:tcBorders>
              <w:top w:val="single" w:sz="8" w:color="CCEEFF"/>
            </w:tcBorders>
            <w:gridSpan w:val="17"/>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60" w:type="dxa"/>
            <w:vAlign w:val="bottom"/>
          </w:tcPr>
          <w:p>
            <w:pPr>
              <w:ind w:left="12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32"/>
          </w:tcPr>
          <w:p>
            <w:pPr>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Industrial/Commercial Lease Agreement dated</w:t>
              </w:r>
            </w:hyperlink>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001-37507</w:t>
            </w:r>
          </w:p>
        </w:tc>
        <w:tc>
          <w:tcPr>
            <w:tcW w:w="1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31"/>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771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220"/>
        <w:spacing w:after="0" w:line="219" w:lineRule="auto"/>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September 27, 2021 by and between 557 Doug St,</w:t>
        </w:r>
      </w:hyperlink>
    </w:p>
    <w:p>
      <w:pPr>
        <w:ind w:left="1220"/>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LLC and ImmunityBio, Inc.</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w w:val="97"/>
              </w:rPr>
              <w:t>Incorporated by Reference Herein</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36"/>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36"/>
            <w:vMerge w:val="continue"/>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1760" w:type="dxa"/>
            <w:vAlign w:val="bottom"/>
          </w:tcPr>
          <w:p>
            <w:pPr>
              <w:jc w:val="center"/>
              <w:ind w:right="3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10.37</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6"/>
              </w:rPr>
            </w:pPr>
            <w:hyperlink r:id="rId318">
              <w:r>
                <w:rPr>
                  <w:rFonts w:ascii="Arial" w:cs="Arial" w:eastAsia="Arial" w:hAnsi="Arial"/>
                  <w:sz w:val="18"/>
                  <w:szCs w:val="18"/>
                  <w:color w:val="0000FF"/>
                  <w:w w:val="96"/>
                </w:rPr>
                <w:t>Lease Termination Agreement effective May 31, 2022</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2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w w:val="92"/>
              </w:rPr>
            </w:pPr>
            <w:hyperlink r:id="rId318">
              <w:r>
                <w:rPr>
                  <w:rFonts w:ascii="Arial" w:cs="Arial" w:eastAsia="Arial" w:hAnsi="Arial"/>
                  <w:sz w:val="18"/>
                  <w:szCs w:val="18"/>
                  <w:color w:val="0000FF"/>
                  <w:w w:val="92"/>
                </w:rPr>
                <w:t>by and between ImmunityBio, Inc. and 557 Doug St.,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86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rPr>
            </w:pPr>
            <w:hyperlink r:id="rId318">
              <w:r>
                <w:rPr>
                  <w:rFonts w:ascii="Arial" w:cs="Arial" w:eastAsia="Arial" w:hAnsi="Arial"/>
                  <w:sz w:val="18"/>
                  <w:szCs w:val="18"/>
                  <w:color w:val="0000FF"/>
                </w:rPr>
                <w:t>LLC.</w:t>
              </w:r>
            </w:hyperlink>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10.38</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19">
              <w:r>
                <w:rPr>
                  <w:rFonts w:ascii="Arial" w:cs="Arial" w:eastAsia="Arial" w:hAnsi="Arial"/>
                  <w:sz w:val="18"/>
                  <w:szCs w:val="18"/>
                  <w:color w:val="0000FF"/>
                </w:rPr>
                <w:t>Commercial Lease Agreement dated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264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88"/>
              </w:rPr>
            </w:pPr>
            <w:hyperlink r:id="rId319">
              <w:r>
                <w:rPr>
                  <w:rFonts w:ascii="Arial" w:cs="Arial" w:eastAsia="Arial" w:hAnsi="Arial"/>
                  <w:sz w:val="18"/>
                  <w:szCs w:val="18"/>
                  <w:color w:val="0000FF"/>
                  <w:w w:val="88"/>
                </w:rPr>
                <w:t>September 27, 2021 by and between</w:t>
              </w:r>
            </w:hyperlink>
          </w:p>
        </w:tc>
        <w:tc>
          <w:tcPr>
            <w:tcW w:w="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gridSpan w:val="29"/>
            <w:shd w:val="clear" w:color="auto" w:fill="CCEEFF"/>
          </w:tcPr>
          <w:p>
            <w:pPr>
              <w:ind w:left="20"/>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420 Nash, LLC</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rPr>
            </w:pPr>
            <w:hyperlink r:id="rId319">
              <w:r>
                <w:rPr>
                  <w:rFonts w:ascii="Arial" w:cs="Arial" w:eastAsia="Arial" w:hAnsi="Arial"/>
                  <w:sz w:val="18"/>
                  <w:szCs w:val="18"/>
                  <w:color w:val="0000FF"/>
                </w:rPr>
                <w:t>and ImmunityBio, Inc.</w:t>
              </w:r>
            </w:hyperlink>
          </w:p>
        </w:tc>
        <w:tc>
          <w:tcPr>
            <w:tcW w:w="14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10.39</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20">
              <w:r>
                <w:rPr>
                  <w:rFonts w:ascii="Arial" w:cs="Arial" w:eastAsia="Arial" w:hAnsi="Arial"/>
                  <w:sz w:val="18"/>
                  <w:szCs w:val="18"/>
                  <w:color w:val="0000FF"/>
                </w:rPr>
                <w:t>Fort Schuyler Management Corporation Lease,</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May 10, 2022</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40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w w:val="93"/>
              </w:rPr>
            </w:pPr>
            <w:hyperlink r:id="rId320">
              <w:r>
                <w:rPr>
                  <w:rFonts w:ascii="Arial" w:cs="Arial" w:eastAsia="Arial" w:hAnsi="Arial"/>
                  <w:sz w:val="18"/>
                  <w:szCs w:val="18"/>
                  <w:color w:val="0000FF"/>
                  <w:w w:val="93"/>
                </w:rPr>
                <w:t>effective as of October 1, 2021, between Fort</w:t>
              </w:r>
            </w:hyperlink>
          </w:p>
        </w:tc>
        <w:tc>
          <w:tcPr>
            <w:tcW w:w="760" w:type="dxa"/>
            <w:vAlign w:val="bottom"/>
            <w:tcBorders>
              <w:top w:val="single" w:sz="8" w:color="CCEEFF"/>
            </w:tcBorders>
            <w:gridSpan w:val="21"/>
            <w:shd w:val="clear" w:color="auto" w:fill="CCEEFF"/>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Schuyler</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4000" w:type="dxa"/>
            <w:vAlign w:val="bottom"/>
            <w:tcBorders>
              <w:top w:val="single" w:sz="8" w:color="0000FF"/>
            </w:tcBorders>
            <w:gridSpan w:val="36"/>
            <w:shd w:val="clear" w:color="auto" w:fill="CCEEFF"/>
          </w:tcPr>
          <w:p>
            <w:pPr>
              <w:spacing w:after="0" w:line="169" w:lineRule="exact"/>
              <w:rPr>
                <w:rFonts w:ascii="Arial" w:cs="Arial" w:eastAsia="Arial" w:hAnsi="Arial"/>
                <w:sz w:val="18"/>
                <w:szCs w:val="18"/>
                <w:color w:val="0000FF"/>
              </w:rPr>
            </w:pPr>
            <w:hyperlink r:id="rId320">
              <w:r>
                <w:rPr>
                  <w:rFonts w:ascii="Arial" w:cs="Arial" w:eastAsia="Arial" w:hAnsi="Arial"/>
                  <w:sz w:val="18"/>
                  <w:szCs w:val="18"/>
                  <w:color w:val="0000FF"/>
                </w:rPr>
                <w:t>Management Corporation, as Landlord, and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Athenex, Inc., as Tenant.</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10.40</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21">
              <w:r>
                <w:rPr>
                  <w:rFonts w:ascii="Arial" w:cs="Arial" w:eastAsia="Arial" w:hAnsi="Arial"/>
                  <w:sz w:val="18"/>
                  <w:szCs w:val="18"/>
                  <w:color w:val="0000FF"/>
                </w:rPr>
                <w:t>First Amendment to Lease, effective as of</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May 10, 2022</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3480" w:type="dxa"/>
            <w:vAlign w:val="bottom"/>
            <w:tcBorders>
              <w:bottom w:val="single" w:sz="8" w:color="0000FF"/>
            </w:tcBorders>
            <w:gridSpan w:val="23"/>
            <w:shd w:val="clear" w:color="auto" w:fill="CCEEFF"/>
          </w:tcPr>
          <w:p>
            <w:pPr>
              <w:spacing w:after="0" w:line="156" w:lineRule="exact"/>
              <w:rPr>
                <w:rFonts w:ascii="Arial" w:cs="Arial" w:eastAsia="Arial" w:hAnsi="Arial"/>
                <w:sz w:val="18"/>
                <w:szCs w:val="18"/>
                <w:color w:val="0000FF"/>
                <w:w w:val="90"/>
              </w:rPr>
            </w:pPr>
            <w:hyperlink r:id="rId321">
              <w:r>
                <w:rPr>
                  <w:rFonts w:ascii="Arial" w:cs="Arial" w:eastAsia="Arial" w:hAnsi="Arial"/>
                  <w:sz w:val="18"/>
                  <w:szCs w:val="18"/>
                  <w:color w:val="0000FF"/>
                  <w:w w:val="90"/>
                </w:rPr>
                <w:t>February 14, 2022, by and among Fort Schuyler</w:t>
              </w:r>
            </w:hyperlink>
          </w:p>
        </w:tc>
        <w:tc>
          <w:tcPr>
            <w:tcW w:w="680" w:type="dxa"/>
            <w:vAlign w:val="bottom"/>
            <w:tcBorders>
              <w:bottom w:val="single" w:sz="8" w:color="CCEEFF"/>
            </w:tcBorders>
            <w:gridSpan w:val="18"/>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69" w:lineRule="exact"/>
              <w:rPr>
                <w:rFonts w:ascii="Arial" w:cs="Arial" w:eastAsia="Arial" w:hAnsi="Arial"/>
                <w:sz w:val="18"/>
                <w:szCs w:val="18"/>
                <w:color w:val="0000FF"/>
              </w:rPr>
            </w:pPr>
            <w:hyperlink r:id="rId321">
              <w:r>
                <w:rPr>
                  <w:rFonts w:ascii="Arial" w:cs="Arial" w:eastAsia="Arial" w:hAnsi="Arial"/>
                  <w:sz w:val="18"/>
                  <w:szCs w:val="18"/>
                  <w:color w:val="0000FF"/>
                </w:rPr>
                <w:t>Management Corporation and ImmunityBio, Inc.</w:t>
              </w:r>
            </w:hyperlink>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10.41</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22">
              <w:r>
                <w:rPr>
                  <w:rFonts w:ascii="Arial" w:cs="Arial" w:eastAsia="Arial" w:hAnsi="Arial"/>
                  <w:sz w:val="18"/>
                  <w:szCs w:val="18"/>
                  <w:color w:val="0000FF"/>
                </w:rPr>
                <w:t>Industrial/Commercial Lease Agreement dated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38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3"/>
              </w:rPr>
            </w:pPr>
            <w:hyperlink r:id="rId322">
              <w:r>
                <w:rPr>
                  <w:rFonts w:ascii="Arial" w:cs="Arial" w:eastAsia="Arial" w:hAnsi="Arial"/>
                  <w:sz w:val="18"/>
                  <w:szCs w:val="18"/>
                  <w:color w:val="0000FF"/>
                  <w:w w:val="93"/>
                </w:rPr>
                <w:t>May 1, 2022 by and between 23 Alaska, LLC</w:t>
              </w:r>
            </w:hyperlink>
          </w:p>
        </w:tc>
        <w:tc>
          <w:tcPr>
            <w:tcW w:w="780" w:type="dxa"/>
            <w:vAlign w:val="bottom"/>
            <w:tcBorders>
              <w:top w:val="single" w:sz="8" w:color="CCEEFF"/>
            </w:tcBorders>
            <w:gridSpan w:val="22"/>
            <w:shd w:val="clear" w:color="auto" w:fill="CCEEFF"/>
          </w:tcPr>
          <w:p>
            <w:pPr>
              <w:spacing w:after="0" w:line="156" w:lineRule="exact"/>
              <w:rPr>
                <w:rFonts w:ascii="Arial" w:cs="Arial" w:eastAsia="Arial" w:hAnsi="Arial"/>
                <w:sz w:val="18"/>
                <w:szCs w:val="18"/>
                <w:color w:val="0000FF"/>
              </w:rPr>
            </w:pPr>
            <w:hyperlink r:id="rId322">
              <w:r>
                <w:rPr>
                  <w:rFonts w:ascii="Arial" w:cs="Arial" w:eastAsia="Arial" w:hAnsi="Arial"/>
                  <w:sz w:val="18"/>
                  <w:szCs w:val="18"/>
                  <w:color w:val="0000FF"/>
                </w:rPr>
                <w:t>and</w:t>
              </w:r>
            </w:hyperlink>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60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rPr>
            </w:pPr>
            <w:hyperlink r:id="rId322">
              <w:r>
                <w:rPr>
                  <w:rFonts w:ascii="Arial" w:cs="Arial" w:eastAsia="Arial" w:hAnsi="Arial"/>
                  <w:sz w:val="18"/>
                  <w:szCs w:val="18"/>
                  <w:color w:val="0000FF"/>
                </w:rPr>
                <w:t>ImmunityBio, Inc.</w:t>
              </w:r>
            </w:hyperlink>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20" w:type="dxa"/>
            <w:vAlign w:val="bottom"/>
            <w:tcBorders>
              <w:right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10.42†</w:t>
            </w: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23">
              <w:r>
                <w:rPr>
                  <w:rFonts w:ascii="Arial" w:cs="Arial" w:eastAsia="Arial" w:hAnsi="Arial"/>
                  <w:sz w:val="18"/>
                  <w:szCs w:val="18"/>
                  <w:color w:val="0000FF"/>
                </w:rPr>
                <w:t>Purchase Agreement by and between Athenex, Inc.</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12, 2022</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0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and ImmunityBio, Inc. dated January 7, 2022.</w:t>
              </w:r>
            </w:hyperlink>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10.43+</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6"/>
              </w:rPr>
            </w:pPr>
            <w:hyperlink r:id="rId324">
              <w:r>
                <w:rPr>
                  <w:rFonts w:ascii="Arial" w:cs="Arial" w:eastAsia="Arial" w:hAnsi="Arial"/>
                  <w:sz w:val="18"/>
                  <w:szCs w:val="18"/>
                  <w:color w:val="0000FF"/>
                  <w:w w:val="96"/>
                </w:rPr>
                <w:t>Letter Agreement effective as of July 1, 2019 between</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August 6, 2019</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94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Immuno-Oncology Clinic, Inc. and the Company.</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10.44</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5"/>
              </w:rPr>
            </w:pPr>
            <w:hyperlink r:id="rId325">
              <w:r>
                <w:rPr>
                  <w:rFonts w:ascii="Arial" w:cs="Arial" w:eastAsia="Arial" w:hAnsi="Arial"/>
                  <w:sz w:val="18"/>
                  <w:szCs w:val="18"/>
                  <w:color w:val="0000FF"/>
                  <w:w w:val="95"/>
                </w:rPr>
                <w:t>First Amendment to the July 1, 2019 Letter Agreement</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May 11, 2020</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040" w:type="dxa"/>
            <w:vAlign w:val="bottom"/>
            <w:tcBorders>
              <w:top w:val="single" w:sz="8" w:color="0000FF"/>
              <w:bottom w:val="single" w:sz="8" w:color="0000FF"/>
            </w:tcBorders>
            <w:gridSpan w:val="38"/>
            <w:shd w:val="clear" w:color="auto" w:fill="CCEEFF"/>
          </w:tcPr>
          <w:p>
            <w:pPr>
              <w:spacing w:after="0" w:line="156" w:lineRule="exact"/>
              <w:rPr>
                <w:rFonts w:ascii="Arial" w:cs="Arial" w:eastAsia="Arial" w:hAnsi="Arial"/>
                <w:sz w:val="18"/>
                <w:szCs w:val="18"/>
                <w:color w:val="0000FF"/>
                <w:w w:val="93"/>
              </w:rPr>
            </w:pPr>
            <w:hyperlink r:id="rId325">
              <w:r>
                <w:rPr>
                  <w:rFonts w:ascii="Arial" w:cs="Arial" w:eastAsia="Arial" w:hAnsi="Arial"/>
                  <w:sz w:val="18"/>
                  <w:szCs w:val="18"/>
                  <w:color w:val="0000FF"/>
                  <w:w w:val="93"/>
                </w:rPr>
                <w:t>by and between Immuno-Oncology Clinic, Inc. and the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7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60" w:type="dxa"/>
            <w:vAlign w:val="bottom"/>
            <w:gridSpan w:val="39"/>
            <w:shd w:val="clear" w:color="auto" w:fill="CCEEFF"/>
          </w:tcPr>
          <w:p>
            <w:pPr>
              <w:spacing w:after="0" w:line="169" w:lineRule="exact"/>
              <w:rPr>
                <w:rFonts w:ascii="Arial" w:cs="Arial" w:eastAsia="Arial" w:hAnsi="Arial"/>
                <w:sz w:val="18"/>
                <w:szCs w:val="18"/>
                <w:color w:val="0000FF"/>
              </w:rPr>
            </w:pPr>
            <w:hyperlink r:id="rId325">
              <w:r>
                <w:rPr>
                  <w:rFonts w:ascii="Arial" w:cs="Arial" w:eastAsia="Arial" w:hAnsi="Arial"/>
                  <w:sz w:val="18"/>
                  <w:szCs w:val="18"/>
                  <w:color w:val="0000FF"/>
                </w:rPr>
                <w:t>Company, dated March 31, 2020.</w:t>
              </w:r>
            </w:hyperlink>
          </w:p>
        </w:tc>
        <w:tc>
          <w:tcPr>
            <w:tcW w:w="100" w:type="dxa"/>
            <w:vAlign w:val="bottom"/>
            <w:gridSpan w:val="2"/>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10.45</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3"/>
              </w:rPr>
            </w:pPr>
            <w:hyperlink r:id="rId326">
              <w:r>
                <w:rPr>
                  <w:rFonts w:ascii="Arial" w:cs="Arial" w:eastAsia="Arial" w:hAnsi="Arial"/>
                  <w:sz w:val="18"/>
                  <w:szCs w:val="18"/>
                  <w:color w:val="0000FF"/>
                  <w:w w:val="93"/>
                </w:rPr>
                <w:t>Amended and Restated Shared Services Agreement by</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91"/>
              </w:rPr>
              <w:t>August 15, 2016</w:t>
            </w:r>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8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w w:val="96"/>
              </w:rPr>
            </w:pPr>
            <w:hyperlink r:id="rId326">
              <w:r>
                <w:rPr>
                  <w:rFonts w:ascii="Arial" w:cs="Arial" w:eastAsia="Arial" w:hAnsi="Arial"/>
                  <w:sz w:val="18"/>
                  <w:szCs w:val="18"/>
                  <w:color w:val="0000FF"/>
                  <w:w w:val="96"/>
                </w:rPr>
                <w:t>and between NantKwest, Inc. and NantWorks, LLC,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78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326">
              <w:r>
                <w:rPr>
                  <w:rFonts w:ascii="Arial" w:cs="Arial" w:eastAsia="Arial" w:hAnsi="Arial"/>
                  <w:sz w:val="18"/>
                  <w:szCs w:val="18"/>
                  <w:color w:val="0000FF"/>
                </w:rPr>
                <w:t>dated June 28, 2016.</w:t>
              </w:r>
            </w:hyperlink>
          </w:p>
        </w:tc>
        <w:tc>
          <w:tcPr>
            <w:tcW w:w="180" w:type="dxa"/>
            <w:vAlign w:val="bottom"/>
            <w:tcBorders>
              <w:top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10.46#^</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27">
              <w:r>
                <w:rPr>
                  <w:rFonts w:ascii="Arial" w:cs="Arial" w:eastAsia="Arial" w:hAnsi="Arial"/>
                  <w:sz w:val="18"/>
                  <w:szCs w:val="18"/>
                  <w:color w:val="0000FF"/>
                </w:rPr>
                <w:t>Offer Letter between the Company and Richard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4"/>
              </w:rPr>
              <w:t>10-Q</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0"/>
              </w:rPr>
              <w:t>November 9, 2020</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4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Adcock, dated October 26, 2020.</w:t>
              </w:r>
            </w:hyperlink>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5"/>
            <w:shd w:val="clear" w:color="auto" w:fill="CCEEFF"/>
          </w:tcPr>
          <w:p>
            <w:pPr>
              <w:spacing w:after="0"/>
              <w:rPr>
                <w:sz w:val="16"/>
                <w:szCs w:val="16"/>
                <w:color w:val="auto"/>
              </w:rPr>
            </w:pPr>
          </w:p>
        </w:tc>
        <w:tc>
          <w:tcPr>
            <w:tcW w:w="300" w:type="dxa"/>
            <w:vAlign w:val="bottom"/>
            <w:tcBorders>
              <w:top w:val="single" w:sz="8" w:color="CCEEFF"/>
            </w:tcBorders>
            <w:gridSpan w:val="7"/>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10.47#^</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180" w:type="dxa"/>
            <w:vAlign w:val="bottom"/>
            <w:tcBorders>
              <w:bottom w:val="single" w:sz="8" w:color="0000FF"/>
            </w:tcBorders>
            <w:gridSpan w:val="16"/>
            <w:shd w:val="clear" w:color="auto" w:fill="CCEEFF"/>
          </w:tcPr>
          <w:p>
            <w:pPr>
              <w:spacing w:after="0" w:line="189" w:lineRule="exact"/>
              <w:rPr>
                <w:rFonts w:ascii="Arial" w:cs="Arial" w:eastAsia="Arial" w:hAnsi="Arial"/>
                <w:sz w:val="18"/>
                <w:szCs w:val="18"/>
                <w:color w:val="0000FF"/>
                <w:w w:val="90"/>
              </w:rPr>
            </w:pPr>
            <w:hyperlink r:id="rId328">
              <w:r>
                <w:rPr>
                  <w:rFonts w:ascii="Arial" w:cs="Arial" w:eastAsia="Arial" w:hAnsi="Arial"/>
                  <w:sz w:val="18"/>
                  <w:szCs w:val="18"/>
                  <w:color w:val="0000FF"/>
                  <w:w w:val="90"/>
                </w:rPr>
                <w:t>Offer Letter, dated August 3, 2020, between</w:t>
              </w:r>
            </w:hyperlink>
          </w:p>
        </w:tc>
        <w:tc>
          <w:tcPr>
            <w:tcW w:w="980" w:type="dxa"/>
            <w:vAlign w:val="bottom"/>
            <w:tcBorders>
              <w:bottom w:val="single" w:sz="8" w:color="CCEEFF"/>
            </w:tcBorders>
            <w:gridSpan w:val="25"/>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333-252232</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90"/>
        </w:trPr>
        <w:tc>
          <w:tcPr>
            <w:tcW w:w="10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56" w:lineRule="exact"/>
              <w:rPr>
                <w:rFonts w:ascii="Arial" w:cs="Arial" w:eastAsia="Arial" w:hAnsi="Arial"/>
                <w:sz w:val="18"/>
                <w:szCs w:val="18"/>
                <w:color w:val="0000FF"/>
              </w:rPr>
            </w:pPr>
            <w:hyperlink r:id="rId328">
              <w:r>
                <w:rPr>
                  <w:rFonts w:ascii="Arial" w:cs="Arial" w:eastAsia="Arial" w:hAnsi="Arial"/>
                  <w:sz w:val="18"/>
                  <w:szCs w:val="18"/>
                  <w:color w:val="0000FF"/>
                </w:rPr>
                <w:t>ImmunityBio, Inc. and David Sachs.</w:t>
              </w:r>
            </w:hyperlink>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10.48</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328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2"/>
              </w:rPr>
            </w:pPr>
            <w:hyperlink r:id="rId329">
              <w:r>
                <w:rPr>
                  <w:rFonts w:ascii="Arial" w:cs="Arial" w:eastAsia="Arial" w:hAnsi="Arial"/>
                  <w:sz w:val="18"/>
                  <w:szCs w:val="18"/>
                  <w:color w:val="0000FF"/>
                  <w:w w:val="92"/>
                </w:rPr>
                <w:t>Form of Indemnification Agreement between</w:t>
              </w:r>
            </w:hyperlink>
          </w:p>
        </w:tc>
        <w:tc>
          <w:tcPr>
            <w:tcW w:w="880" w:type="dxa"/>
            <w:vAlign w:val="bottom"/>
            <w:tcBorders>
              <w:bottom w:val="single" w:sz="8" w:color="CCEEFF"/>
            </w:tcBorders>
            <w:gridSpan w:val="24"/>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160" w:type="dxa"/>
            <w:vAlign w:val="bottom"/>
            <w:gridSpan w:val="41"/>
            <w:shd w:val="clear" w:color="auto" w:fill="CCEEFF"/>
          </w:tcPr>
          <w:p>
            <w:pPr>
              <w:spacing w:after="0" w:line="156" w:lineRule="exact"/>
              <w:rPr>
                <w:rFonts w:ascii="Arial" w:cs="Arial" w:eastAsia="Arial" w:hAnsi="Arial"/>
                <w:sz w:val="18"/>
                <w:szCs w:val="18"/>
                <w:color w:val="0000FF"/>
              </w:rPr>
            </w:pPr>
            <w:hyperlink r:id="rId329">
              <w:r>
                <w:rPr>
                  <w:rFonts w:ascii="Arial" w:cs="Arial" w:eastAsia="Arial" w:hAnsi="Arial"/>
                  <w:sz w:val="18"/>
                  <w:szCs w:val="18"/>
                  <w:color w:val="0000FF"/>
                </w:rPr>
                <w:t>ImmunityBio, Inc. and each of its Directors and</w:t>
              </w:r>
            </w:hyperlink>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46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rPr>
            </w:pPr>
            <w:hyperlink r:id="rId329">
              <w:r>
                <w:rPr>
                  <w:rFonts w:ascii="Arial" w:cs="Arial" w:eastAsia="Arial" w:hAnsi="Arial"/>
                  <w:sz w:val="18"/>
                  <w:szCs w:val="18"/>
                  <w:color w:val="0000FF"/>
                </w:rPr>
                <w:t>Executive Officers.</w:t>
              </w:r>
            </w:hyperlink>
          </w:p>
        </w:tc>
        <w:tc>
          <w:tcPr>
            <w:tcW w:w="200" w:type="dxa"/>
            <w:vAlign w:val="bottom"/>
            <w:tcBorders>
              <w:top w:val="single" w:sz="8" w:color="CCEEFF"/>
            </w:tcBorders>
            <w:gridSpan w:val="5"/>
            <w:shd w:val="clear" w:color="auto" w:fill="CCEEFF"/>
          </w:tcPr>
          <w:p>
            <w:pPr>
              <w:spacing w:after="0"/>
              <w:rPr>
                <w:sz w:val="16"/>
                <w:szCs w:val="16"/>
                <w:color w:val="auto"/>
              </w:rPr>
            </w:pPr>
          </w:p>
        </w:tc>
        <w:tc>
          <w:tcPr>
            <w:tcW w:w="300" w:type="dxa"/>
            <w:vAlign w:val="bottom"/>
            <w:tcBorders>
              <w:top w:val="single" w:sz="8" w:color="CCEEFF"/>
            </w:tcBorders>
            <w:gridSpan w:val="7"/>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10.49#</w:t>
            </w:r>
          </w:p>
        </w:tc>
        <w:tc>
          <w:tcPr>
            <w:tcW w:w="160" w:type="dxa"/>
            <w:vAlign w:val="bottom"/>
            <w:tcBorders>
              <w:right w:val="single" w:sz="8" w:color="CCEEFF"/>
            </w:tcBorders>
            <w:shd w:val="clear" w:color="auto" w:fill="CCEEFF"/>
          </w:tcPr>
          <w:p>
            <w:pPr>
              <w:spacing w:after="0"/>
              <w:rPr>
                <w:sz w:val="18"/>
                <w:szCs w:val="18"/>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30">
              <w:r>
                <w:rPr>
                  <w:rFonts w:ascii="Arial" w:cs="Arial" w:eastAsia="Arial" w:hAnsi="Arial"/>
                  <w:sz w:val="18"/>
                  <w:szCs w:val="18"/>
                  <w:color w:val="0000FF"/>
                </w:rPr>
                <w:t>Executive Incentive Compensation Plan.</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3"/>
              </w:rPr>
              <w:t>S-1/A</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right="51"/>
              <w:spacing w:after="0" w:line="189" w:lineRule="exact"/>
              <w:rPr>
                <w:sz w:val="20"/>
                <w:szCs w:val="20"/>
                <w:color w:val="auto"/>
              </w:rPr>
            </w:pPr>
            <w:r>
              <w:rPr>
                <w:rFonts w:ascii="Arial" w:cs="Arial" w:eastAsia="Arial" w:hAnsi="Arial"/>
                <w:sz w:val="18"/>
                <w:szCs w:val="18"/>
                <w:color w:val="auto"/>
                <w:w w:val="91"/>
              </w:rPr>
              <w:t>July 15, 2015</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10.50#</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6"/>
              </w:rPr>
            </w:pPr>
            <w:hyperlink r:id="rId331">
              <w:r>
                <w:rPr>
                  <w:rFonts w:ascii="Arial" w:cs="Arial" w:eastAsia="Arial" w:hAnsi="Arial"/>
                  <w:sz w:val="18"/>
                  <w:szCs w:val="18"/>
                  <w:color w:val="0000FF"/>
                  <w:w w:val="96"/>
                </w:rPr>
                <w:t>2014 NantKwest, Inc. Equity Incentive Plan and forms</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S-1</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333-205124</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7"/>
              </w:rPr>
              <w:t>June 19, 2015</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402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rPr>
            </w:pPr>
            <w:hyperlink r:id="rId331">
              <w:r>
                <w:rPr>
                  <w:rFonts w:ascii="Arial" w:cs="Arial" w:eastAsia="Arial" w:hAnsi="Arial"/>
                  <w:sz w:val="18"/>
                  <w:szCs w:val="18"/>
                  <w:color w:val="0000FF"/>
                </w:rPr>
                <w:t>of agreement thereunder.</w:t>
              </w:r>
            </w:hyperlink>
          </w:p>
        </w:tc>
        <w:tc>
          <w:tcPr>
            <w:tcW w:w="140" w:type="dxa"/>
            <w:vAlign w:val="bottom"/>
            <w:tcBorders>
              <w:top w:val="single" w:sz="8" w:color="CCEEFF"/>
            </w:tcBorders>
            <w:gridSpan w:val="4"/>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10.51#</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rPr>
            </w:pPr>
            <w:hyperlink r:id="rId332">
              <w:r>
                <w:rPr>
                  <w:rFonts w:ascii="Arial" w:cs="Arial" w:eastAsia="Arial" w:hAnsi="Arial"/>
                  <w:sz w:val="18"/>
                  <w:szCs w:val="18"/>
                  <w:color w:val="0000FF"/>
                </w:rPr>
                <w:t>ImmunityBio, Inc. 2015 Equity Incentive Plan and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S-8</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333-265599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7"/>
              </w:rPr>
              <w:t>June 14, 2022</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366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332">
              <w:r>
                <w:rPr>
                  <w:rFonts w:ascii="Arial" w:cs="Arial" w:eastAsia="Arial" w:hAnsi="Arial"/>
                  <w:sz w:val="18"/>
                  <w:szCs w:val="18"/>
                  <w:color w:val="0000FF"/>
                </w:rPr>
                <w:t>forms of agreement thereunder.</w:t>
              </w:r>
            </w:hyperlink>
          </w:p>
        </w:tc>
        <w:tc>
          <w:tcPr>
            <w:tcW w:w="300" w:type="dxa"/>
            <w:vAlign w:val="bottom"/>
            <w:tcBorders>
              <w:top w:val="single" w:sz="8" w:color="CCEEFF"/>
            </w:tcBorders>
            <w:gridSpan w:val="7"/>
            <w:shd w:val="clear" w:color="auto" w:fill="CCEEFF"/>
          </w:tcPr>
          <w:p>
            <w:pPr>
              <w:spacing w:after="0"/>
              <w:rPr>
                <w:sz w:val="16"/>
                <w:szCs w:val="16"/>
                <w:color w:val="auto"/>
              </w:rPr>
            </w:pPr>
          </w:p>
        </w:tc>
        <w:tc>
          <w:tcPr>
            <w:tcW w:w="200" w:type="dxa"/>
            <w:vAlign w:val="bottom"/>
            <w:tcBorders>
              <w:top w:val="single" w:sz="8" w:color="CCEEFF"/>
            </w:tcBorders>
            <w:gridSpan w:val="7"/>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10.52#</w:t>
            </w:r>
          </w:p>
        </w:tc>
        <w:tc>
          <w:tcPr>
            <w:tcW w:w="160" w:type="dxa"/>
            <w:vAlign w:val="bottom"/>
            <w:tcBorders>
              <w:right w:val="single" w:sz="8" w:color="CCEEFF"/>
            </w:tcBorders>
            <w:shd w:val="clear" w:color="auto" w:fill="CCEEFF"/>
          </w:tcPr>
          <w:p>
            <w:pPr>
              <w:spacing w:after="0"/>
              <w:rPr>
                <w:sz w:val="16"/>
                <w:szCs w:val="16"/>
                <w:color w:val="auto"/>
              </w:rPr>
            </w:pPr>
          </w:p>
        </w:tc>
        <w:tc>
          <w:tcPr>
            <w:tcW w:w="4160" w:type="dxa"/>
            <w:vAlign w:val="bottom"/>
            <w:gridSpan w:val="41"/>
            <w:shd w:val="clear" w:color="auto" w:fill="CCEEFF"/>
          </w:tcPr>
          <w:p>
            <w:pPr>
              <w:spacing w:after="0" w:line="189" w:lineRule="exact"/>
              <w:rPr>
                <w:rFonts w:ascii="Arial" w:cs="Arial" w:eastAsia="Arial" w:hAnsi="Arial"/>
                <w:sz w:val="18"/>
                <w:szCs w:val="18"/>
                <w:color w:val="0000FF"/>
                <w:w w:val="97"/>
              </w:rPr>
            </w:pPr>
            <w:hyperlink r:id="rId333">
              <w:r>
                <w:rPr>
                  <w:rFonts w:ascii="Arial" w:cs="Arial" w:eastAsia="Arial" w:hAnsi="Arial"/>
                  <w:sz w:val="18"/>
                  <w:szCs w:val="18"/>
                  <w:color w:val="0000FF"/>
                  <w:w w:val="97"/>
                </w:rPr>
                <w:t>NantCell, Inc. 2015 Stock Incentive Plan and forms of</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333-252332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10.14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center"/>
              <w:ind w:right="31"/>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396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agreement thereunder.</w:t>
              </w:r>
            </w:hyperlink>
          </w:p>
        </w:tc>
        <w:tc>
          <w:tcPr>
            <w:tcW w:w="200" w:type="dxa"/>
            <w:vAlign w:val="bottom"/>
            <w:tcBorders>
              <w:top w:val="single" w:sz="8" w:color="CCEEFF"/>
            </w:tcBorders>
            <w:gridSpan w:val="7"/>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9"/>
              </w:rPr>
              <w:t>Incorporated by Reference Herein</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gridSpan w:val="16"/>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16"/>
            <w:vMerge w:val="continue"/>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File No.</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17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40"/>
        </w:trPr>
        <w:tc>
          <w:tcPr>
            <w:tcW w:w="10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rFonts w:ascii="Arial" w:cs="Arial" w:eastAsia="Arial" w:hAnsi="Arial"/>
                <w:sz w:val="18"/>
                <w:szCs w:val="18"/>
                <w:color w:val="0000FF"/>
              </w:rPr>
            </w:pPr>
            <w:hyperlink r:id="rId335">
              <w:r>
                <w:rPr>
                  <w:rFonts w:ascii="Arial" w:cs="Arial" w:eastAsia="Arial" w:hAnsi="Arial"/>
                  <w:sz w:val="18"/>
                  <w:szCs w:val="18"/>
                  <w:color w:val="0000FF"/>
                </w:rPr>
                <w:t>Assignment Agreement, dated July 2, 2017, by and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333-252332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center"/>
              <w:ind w:right="74"/>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5"/>
        </w:trPr>
        <w:tc>
          <w:tcPr>
            <w:tcW w:w="10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0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6"/>
              </w:rPr>
            </w:pPr>
            <w:hyperlink r:id="rId335">
              <w:r>
                <w:rPr>
                  <w:rFonts w:ascii="Arial" w:cs="Arial" w:eastAsia="Arial" w:hAnsi="Arial"/>
                  <w:sz w:val="18"/>
                  <w:szCs w:val="18"/>
                  <w:color w:val="0000FF"/>
                  <w:w w:val="96"/>
                </w:rPr>
                <w:t>between NantPharma, LLC and Immunotherapy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rPr>
            </w:pPr>
            <w:hyperlink r:id="rId335">
              <w:r>
                <w:rPr>
                  <w:rFonts w:ascii="Arial" w:cs="Arial" w:eastAsia="Arial" w:hAnsi="Arial"/>
                  <w:sz w:val="18"/>
                  <w:szCs w:val="18"/>
                  <w:color w:val="0000FF"/>
                </w:rPr>
                <w:t>NANTibody, LLC.</w:t>
              </w:r>
            </w:hyperlink>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rFonts w:ascii="Arial" w:cs="Arial" w:eastAsia="Arial" w:hAnsi="Arial"/>
                <w:sz w:val="18"/>
                <w:szCs w:val="18"/>
                <w:color w:val="0000FF"/>
              </w:rPr>
            </w:pPr>
            <w:hyperlink r:id="rId336">
              <w:r>
                <w:rPr>
                  <w:rFonts w:ascii="Arial" w:cs="Arial" w:eastAsia="Arial" w:hAnsi="Arial"/>
                  <w:sz w:val="18"/>
                  <w:szCs w:val="18"/>
                  <w:color w:val="0000FF"/>
                </w:rPr>
                <w:t>Letter Agreement, dated February 14, 2018, by and</w:t>
              </w:r>
            </w:hyperlink>
          </w:p>
        </w:tc>
        <w:tc>
          <w:tcPr>
            <w:tcW w:w="118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S-4</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333-252332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center"/>
              <w:ind w:right="74"/>
              <w:spacing w:after="0" w:line="189" w:lineRule="exact"/>
              <w:rPr>
                <w:sz w:val="20"/>
                <w:szCs w:val="20"/>
                <w:color w:val="auto"/>
              </w:rPr>
            </w:pPr>
            <w:r>
              <w:rPr>
                <w:rFonts w:ascii="Arial" w:cs="Arial" w:eastAsia="Arial" w:hAnsi="Arial"/>
                <w:sz w:val="18"/>
                <w:szCs w:val="18"/>
                <w:color w:val="auto"/>
                <w:w w:val="89"/>
              </w:rPr>
              <w:t>January 19, 2021</w:t>
            </w:r>
          </w:p>
        </w:tc>
        <w:tc>
          <w:tcPr>
            <w:tcW w:w="0" w:type="dxa"/>
            <w:vAlign w:val="bottom"/>
          </w:tcPr>
          <w:p>
            <w:pPr>
              <w:spacing w:after="0"/>
              <w:rPr>
                <w:sz w:val="1"/>
                <w:szCs w:val="1"/>
                <w:color w:val="auto"/>
              </w:rPr>
            </w:pPr>
          </w:p>
        </w:tc>
      </w:tr>
      <w:tr>
        <w:trPr>
          <w:trHeight w:val="156"/>
        </w:trPr>
        <w:tc>
          <w:tcPr>
            <w:tcW w:w="10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2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6"/>
              </w:rPr>
            </w:pPr>
            <w:hyperlink r:id="rId336">
              <w:r>
                <w:rPr>
                  <w:rFonts w:ascii="Arial" w:cs="Arial" w:eastAsia="Arial" w:hAnsi="Arial"/>
                  <w:sz w:val="18"/>
                  <w:szCs w:val="18"/>
                  <w:color w:val="0000FF"/>
                  <w:w w:val="96"/>
                </w:rPr>
                <w:t>between NantPharma, LLC and Immunotherapy</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rPr>
            </w:pPr>
            <w:hyperlink r:id="rId336">
              <w:r>
                <w:rPr>
                  <w:rFonts w:ascii="Arial" w:cs="Arial" w:eastAsia="Arial" w:hAnsi="Arial"/>
                  <w:sz w:val="18"/>
                  <w:szCs w:val="18"/>
                  <w:color w:val="0000FF"/>
                </w:rPr>
                <w:t>NANTibody, LLC.</w:t>
              </w:r>
            </w:hyperlink>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rFonts w:ascii="Arial" w:cs="Arial" w:eastAsia="Arial" w:hAnsi="Arial"/>
                <w:sz w:val="18"/>
                <w:szCs w:val="18"/>
                <w:color w:val="0000FF"/>
              </w:rPr>
            </w:pPr>
            <w:hyperlink r:id="rId337">
              <w:r>
                <w:rPr>
                  <w:rFonts w:ascii="Arial" w:cs="Arial" w:eastAsia="Arial" w:hAnsi="Arial"/>
                  <w:sz w:val="18"/>
                  <w:szCs w:val="18"/>
                  <w:color w:val="0000FF"/>
                </w:rPr>
                <w:t>Notice of Pendancy of Proposed Settlement of</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99.1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center"/>
              <w:ind w:right="74"/>
              <w:spacing w:after="0" w:line="189" w:lineRule="exact"/>
              <w:rPr>
                <w:sz w:val="20"/>
                <w:szCs w:val="20"/>
                <w:color w:val="auto"/>
              </w:rPr>
            </w:pPr>
            <w:r>
              <w:rPr>
                <w:rFonts w:ascii="Arial" w:cs="Arial" w:eastAsia="Arial" w:hAnsi="Arial"/>
                <w:sz w:val="18"/>
                <w:szCs w:val="18"/>
                <w:color w:val="auto"/>
                <w:w w:val="87"/>
              </w:rPr>
              <w:t>June 10, 2019</w:t>
            </w: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3"/>
              </w:rPr>
            </w:pPr>
            <w:hyperlink r:id="rId337">
              <w:r>
                <w:rPr>
                  <w:rFonts w:ascii="Arial" w:cs="Arial" w:eastAsia="Arial" w:hAnsi="Arial"/>
                  <w:sz w:val="18"/>
                  <w:szCs w:val="18"/>
                  <w:color w:val="0000FF"/>
                  <w:w w:val="93"/>
                </w:rPr>
                <w:t>Stockholder Derivative Action dated May 31,</w:t>
              </w:r>
            </w:hyperlink>
          </w:p>
        </w:tc>
        <w:tc>
          <w:tcPr>
            <w:tcW w:w="460" w:type="dxa"/>
            <w:vAlign w:val="bottom"/>
            <w:tcBorders>
              <w:top w:val="single" w:sz="8" w:color="CCEEFF"/>
            </w:tcBorders>
            <w:gridSpan w:val="7"/>
            <w:shd w:val="clear" w:color="auto" w:fill="CCEEFF"/>
          </w:tcPr>
          <w:p>
            <w:pPr>
              <w:jc w:val="right"/>
              <w:ind w:right="60"/>
              <w:spacing w:after="0" w:line="156" w:lineRule="exact"/>
              <w:rPr>
                <w:rFonts w:ascii="Arial" w:cs="Arial" w:eastAsia="Arial" w:hAnsi="Arial"/>
                <w:sz w:val="18"/>
                <w:szCs w:val="18"/>
                <w:color w:val="0000FF"/>
                <w:w w:val="84"/>
              </w:rPr>
            </w:pPr>
            <w:hyperlink r:id="rId337">
              <w:r>
                <w:rPr>
                  <w:rFonts w:ascii="Arial" w:cs="Arial" w:eastAsia="Arial" w:hAnsi="Arial"/>
                  <w:sz w:val="18"/>
                  <w:szCs w:val="18"/>
                  <w:color w:val="0000FF"/>
                  <w:w w:val="84"/>
                </w:rPr>
                <w:t>2019.</w:t>
              </w:r>
            </w:hyperlink>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rFonts w:ascii="Arial" w:cs="Arial" w:eastAsia="Arial" w:hAnsi="Arial"/>
                <w:sz w:val="18"/>
                <w:szCs w:val="18"/>
                <w:color w:val="0000FF"/>
              </w:rPr>
            </w:pPr>
            <w:hyperlink r:id="rId338">
              <w:r>
                <w:rPr>
                  <w:rFonts w:ascii="Arial" w:cs="Arial" w:eastAsia="Arial" w:hAnsi="Arial"/>
                  <w:sz w:val="18"/>
                  <w:szCs w:val="18"/>
                  <w:color w:val="0000FF"/>
                </w:rPr>
                <w:t>Stipulation and Agreement of Settlement dated</w:t>
              </w:r>
            </w:hyperlink>
          </w:p>
        </w:tc>
        <w:tc>
          <w:tcPr>
            <w:tcW w:w="118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001-37507</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99.2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center"/>
              <w:ind w:right="74"/>
              <w:spacing w:after="0" w:line="189" w:lineRule="exact"/>
              <w:rPr>
                <w:sz w:val="20"/>
                <w:szCs w:val="20"/>
                <w:color w:val="auto"/>
              </w:rPr>
            </w:pPr>
            <w:r>
              <w:rPr>
                <w:rFonts w:ascii="Arial" w:cs="Arial" w:eastAsia="Arial" w:hAnsi="Arial"/>
                <w:sz w:val="18"/>
                <w:szCs w:val="18"/>
                <w:color w:val="auto"/>
                <w:w w:val="87"/>
              </w:rPr>
              <w:t>June 10, 2019</w:t>
            </w: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April 10, 2019.</w:t>
              </w:r>
            </w:hyperlink>
          </w:p>
        </w:tc>
        <w:tc>
          <w:tcPr>
            <w:tcW w:w="3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Subsidiaries of ImmunityBio, Inc. as of</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0000FF"/>
            </w:tcBorders>
            <w:gridSpan w:val="8"/>
            <w:shd w:val="clear" w:color="auto" w:fill="CCEEFF"/>
          </w:tcPr>
          <w:p>
            <w:pPr>
              <w:spacing w:after="0" w:line="156" w:lineRule="exact"/>
              <w:rPr>
                <w:sz w:val="20"/>
                <w:szCs w:val="20"/>
                <w:color w:val="auto"/>
              </w:rPr>
            </w:pPr>
            <w:r>
              <w:rPr>
                <w:rFonts w:ascii="Arial" w:cs="Arial" w:eastAsia="Arial" w:hAnsi="Arial"/>
                <w:sz w:val="18"/>
                <w:szCs w:val="18"/>
                <w:color w:val="0000FF"/>
              </w:rPr>
              <w:t>December 31, 2022.</w:t>
            </w:r>
          </w:p>
        </w:tc>
        <w:tc>
          <w:tcPr>
            <w:tcW w:w="4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Consent of Ernst &amp; Young LLP, Independent</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40" w:type="dxa"/>
            <w:vAlign w:val="bottom"/>
            <w:tcBorders>
              <w:top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rPr>
              <w:t>Registered Public Accounting Firm.</w:t>
            </w:r>
          </w:p>
        </w:tc>
        <w:tc>
          <w:tcPr>
            <w:tcW w:w="440" w:type="dxa"/>
            <w:vAlign w:val="bottom"/>
            <w:tcBorders>
              <w:top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Power of Attorney (Contained in Signature Page to</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8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this Annual Report on Form 10-K).</w:t>
            </w:r>
          </w:p>
        </w:tc>
        <w:tc>
          <w:tcPr>
            <w:tcW w:w="120" w:type="dxa"/>
            <w:vAlign w:val="bottom"/>
            <w:tcBorders>
              <w:top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Rule 13a-14(a)/15(d)-14(a) Certification of Principal</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17"/>
            <w:shd w:val="clear" w:color="auto" w:fill="CCEEFF"/>
          </w:tcPr>
          <w:p>
            <w:pPr>
              <w:spacing w:after="0" w:line="156" w:lineRule="exact"/>
              <w:rPr>
                <w:sz w:val="20"/>
                <w:szCs w:val="20"/>
                <w:color w:val="auto"/>
              </w:rPr>
            </w:pPr>
            <w:r>
              <w:rPr>
                <w:rFonts w:ascii="Arial" w:cs="Arial" w:eastAsia="Arial" w:hAnsi="Arial"/>
                <w:sz w:val="18"/>
                <w:szCs w:val="18"/>
                <w:color w:val="0000FF"/>
              </w:rPr>
              <w:t>Executive Officer.</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Rule 13a-14(a)/15(d)-14(a) Certification of Principal</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17"/>
            <w:shd w:val="clear" w:color="auto" w:fill="CCEEFF"/>
          </w:tcPr>
          <w:p>
            <w:pPr>
              <w:spacing w:after="0" w:line="156" w:lineRule="exact"/>
              <w:rPr>
                <w:sz w:val="20"/>
                <w:szCs w:val="20"/>
                <w:color w:val="auto"/>
              </w:rPr>
            </w:pPr>
            <w:r>
              <w:rPr>
                <w:rFonts w:ascii="Arial" w:cs="Arial" w:eastAsia="Arial" w:hAnsi="Arial"/>
                <w:sz w:val="18"/>
                <w:szCs w:val="18"/>
                <w:color w:val="0000FF"/>
              </w:rPr>
              <w:t>Financial Officer.</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8"/>
              </w:rPr>
              <w:t>Section 1350 Certification of Chief Executive Officer.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9"/>
              </w:rPr>
              <w:t>Section 1350 Certification of Chief Financial Officer.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Instance Document (the instance</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1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auto"/>
                <w:w w:val="96"/>
              </w:rPr>
              <w:t>document does not appear in the Interactive Data File</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w w:val="95"/>
              </w:rPr>
              <w:t>because its XBRL tags are embedded within the Inline</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document).</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Document.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Document.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5"/>
                <w:szCs w:val="15"/>
                <w:color w:val="auto"/>
              </w:rPr>
            </w:pPr>
          </w:p>
        </w:tc>
        <w:tc>
          <w:tcPr>
            <w:tcW w:w="41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1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6180" w:hanging="1124"/>
        <w:spacing w:after="0" w:line="235"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60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9" w:lineRule="exact"/>
        <w:rPr>
          <w:sz w:val="20"/>
          <w:szCs w:val="20"/>
          <w:color w:val="auto"/>
        </w:rPr>
      </w:pPr>
    </w:p>
    <w:p>
      <w:pPr>
        <w:ind w:left="660" w:hanging="652"/>
        <w:spacing w:after="0" w:line="269" w:lineRule="auto"/>
        <w:tabs>
          <w:tab w:leader="none" w:pos="37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Annual Report are deemed furnished and not filed with the SEC and are not to be incorporated by reference into any filing of ImmunityBio, Inc. under the Securities Act or the Exchange Act, whether made before or after the date of this Annual Report, irrespective of any general incorporation language contained in such filing.</w:t>
      </w:r>
    </w:p>
    <w:p>
      <w:pPr>
        <w:spacing w:after="0" w:line="16" w:lineRule="exact"/>
        <w:rPr>
          <w:sz w:val="20"/>
          <w:szCs w:val="20"/>
          <w:color w:val="auto"/>
        </w:rPr>
      </w:pPr>
    </w:p>
    <w:p>
      <w:pPr>
        <w:ind w:left="660" w:right="80" w:hanging="652"/>
        <w:spacing w:after="0" w:line="275" w:lineRule="auto"/>
        <w:tabs>
          <w:tab w:leader="none" w:pos="2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Schedules and exhibits have been omitted pursuant to Item 601(b)(2) of Regulation S-K. The company agrees to furnish to the SEC a copy of any omitted schedule or exhibit upon request.</w:t>
      </w:r>
    </w:p>
    <w:p>
      <w:pPr>
        <w:spacing w:after="0" w:line="24" w:lineRule="exact"/>
        <w:rPr>
          <w:sz w:val="20"/>
          <w:szCs w:val="20"/>
          <w:color w:val="auto"/>
        </w:rPr>
      </w:pPr>
    </w:p>
    <w:p>
      <w:pPr>
        <w:ind w:left="660" w:right="80" w:hanging="652"/>
        <w:spacing w:after="0" w:line="275" w:lineRule="auto"/>
        <w:tabs>
          <w:tab w:leader="none" w:pos="306" w:val="left"/>
        </w:tabs>
        <w:numPr>
          <w:ilvl w:val="0"/>
          <w:numId w:val="99"/>
        </w:numPr>
        <w:rPr>
          <w:rFonts w:ascii="Arial" w:cs="Arial" w:eastAsia="Arial" w:hAnsi="Arial"/>
          <w:sz w:val="16"/>
          <w:szCs w:val="16"/>
          <w:color w:val="auto"/>
        </w:rPr>
      </w:pPr>
      <w:r>
        <w:rPr>
          <w:rFonts w:ascii="Arial" w:cs="Arial" w:eastAsia="Arial" w:hAnsi="Arial"/>
          <w:sz w:val="16"/>
          <w:szCs w:val="16"/>
          <w:color w:val="auto"/>
        </w:rPr>
        <w:t>Schedules and exhibits have been omitted pursuant to Item 601(a)(5) of Regulation S-K. The company agrees to furnish to the SEC a copy of any omitted schedule or exhibit upon request.</w:t>
      </w:r>
    </w:p>
    <w:p>
      <w:pPr>
        <w:spacing w:after="0" w:line="24"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59"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Portions of this exhibit have been redacted in compliance with Regulation S-K Item 601(a)(6).</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as amended, the registrant has duly caused this Annual Report on Form 10-K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b w:val="1"/>
                <w:bCs w:val="1"/>
                <w:color w:val="auto"/>
              </w:rPr>
              <w:t>IMMUNITYBIO, INC.</w:t>
            </w:r>
          </w:p>
        </w:tc>
      </w:tr>
      <w:tr>
        <w:trPr>
          <w:trHeight w:val="256"/>
        </w:trPr>
        <w:tc>
          <w:tcPr>
            <w:tcW w:w="3780" w:type="dxa"/>
            <w:vAlign w:val="bottom"/>
          </w:tcPr>
          <w:p>
            <w:pPr>
              <w:spacing w:after="0"/>
              <w:rPr>
                <w:sz w:val="22"/>
                <w:szCs w:val="22"/>
                <w:color w:val="auto"/>
              </w:rPr>
            </w:pPr>
          </w:p>
        </w:tc>
        <w:tc>
          <w:tcPr>
            <w:tcW w:w="7440" w:type="dxa"/>
            <w:vAlign w:val="bottom"/>
            <w:gridSpan w:val="2"/>
          </w:tcPr>
          <w:p>
            <w:pPr>
              <w:ind w:left="2280"/>
              <w:spacing w:after="0"/>
              <w:rPr>
                <w:sz w:val="20"/>
                <w:szCs w:val="20"/>
                <w:color w:val="auto"/>
              </w:rPr>
            </w:pPr>
            <w:r>
              <w:rPr>
                <w:rFonts w:ascii="Arial" w:cs="Arial" w:eastAsia="Arial" w:hAnsi="Arial"/>
                <w:sz w:val="18"/>
                <w:szCs w:val="18"/>
                <w:i w:val="1"/>
                <w:iCs w:val="1"/>
                <w:color w:val="auto"/>
              </w:rPr>
              <w:t>Registrant</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rPr>
              <w:t>Date: March 1, 2023</w:t>
            </w:r>
          </w:p>
        </w:tc>
        <w:tc>
          <w:tcPr>
            <w:tcW w:w="2700" w:type="dxa"/>
            <w:vAlign w:val="bottom"/>
          </w:tcPr>
          <w:p>
            <w:pPr>
              <w:ind w:left="22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Adcock</w:t>
            </w:r>
          </w:p>
        </w:tc>
      </w:tr>
      <w:tr>
        <w:trPr>
          <w:trHeight w:val="243"/>
        </w:trPr>
        <w:tc>
          <w:tcPr>
            <w:tcW w:w="37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Richard Adcock</w:t>
            </w:r>
          </w:p>
        </w:tc>
      </w:tr>
      <w:tr>
        <w:trPr>
          <w:trHeight w:val="257"/>
        </w:trPr>
        <w:tc>
          <w:tcPr>
            <w:tcW w:w="37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7"/>
        </w:trPr>
        <w:tc>
          <w:tcPr>
            <w:tcW w:w="37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rPr>
              <w:t>Date: March 1, 2023</w:t>
            </w:r>
          </w:p>
        </w:tc>
        <w:tc>
          <w:tcPr>
            <w:tcW w:w="2700" w:type="dxa"/>
            <w:vAlign w:val="bottom"/>
          </w:tcPr>
          <w:p>
            <w:pPr>
              <w:ind w:left="22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Sachs</w:t>
            </w:r>
          </w:p>
        </w:tc>
      </w:tr>
      <w:tr>
        <w:trPr>
          <w:trHeight w:val="243"/>
        </w:trPr>
        <w:tc>
          <w:tcPr>
            <w:tcW w:w="37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David C. Sachs</w:t>
            </w:r>
          </w:p>
        </w:tc>
      </w:tr>
      <w:tr>
        <w:trPr>
          <w:trHeight w:val="257"/>
        </w:trPr>
        <w:tc>
          <w:tcPr>
            <w:tcW w:w="37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37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rPr>
              <w:t>Date: March 1, 2023</w:t>
            </w:r>
          </w:p>
        </w:tc>
        <w:tc>
          <w:tcPr>
            <w:tcW w:w="2700" w:type="dxa"/>
            <w:vAlign w:val="bottom"/>
          </w:tcPr>
          <w:p>
            <w:pPr>
              <w:ind w:left="22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Regan J. Lauer</w:t>
            </w:r>
          </w:p>
        </w:tc>
      </w:tr>
      <w:tr>
        <w:trPr>
          <w:trHeight w:val="243"/>
        </w:trPr>
        <w:tc>
          <w:tcPr>
            <w:tcW w:w="37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Regan J. Lauer</w:t>
            </w:r>
          </w:p>
        </w:tc>
      </w:tr>
    </w:tbl>
    <w:p>
      <w:pPr>
        <w:spacing w:after="0" w:line="2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Each person whose signature appears below constitutes and appoints Richard Adcock, David C. Sachs and Jason Liljestrom,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6"/>
                <w:szCs w:val="16"/>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
        </w:trPr>
        <w:tc>
          <w:tcPr>
            <w:tcW w:w="3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3"/>
        </w:trPr>
        <w:tc>
          <w:tcPr>
            <w:tcW w:w="3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Global Chief Scientific and Medical Officer, and</w:t>
            </w:r>
          </w:p>
        </w:tc>
        <w:tc>
          <w:tcPr>
            <w:tcW w:w="2380" w:type="dxa"/>
            <w:vAlign w:val="bottom"/>
          </w:tcPr>
          <w:p>
            <w:pPr>
              <w:spacing w:after="0"/>
              <w:rPr>
                <w:sz w:val="22"/>
                <w:szCs w:val="22"/>
                <w:color w:val="auto"/>
              </w:rPr>
            </w:pPr>
          </w:p>
        </w:tc>
      </w:tr>
      <w:tr>
        <w:trPr>
          <w:trHeight w:val="24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Patrick Soon-Shiong</w:t>
            </w:r>
          </w:p>
        </w:tc>
        <w:tc>
          <w:tcPr>
            <w:tcW w:w="240" w:type="dxa"/>
            <w:vAlign w:val="bottom"/>
          </w:tcPr>
          <w:p>
            <w:pPr>
              <w:spacing w:after="0"/>
              <w:rPr>
                <w:sz w:val="21"/>
                <w:szCs w:val="21"/>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Chairman of the Board of Directors</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9"/>
              </w:rPr>
              <w:t>Patrick Soon-Shiong</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79"/>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Chief Executive Officer, President and Director</w:t>
            </w:r>
          </w:p>
        </w:tc>
        <w:tc>
          <w:tcPr>
            <w:tcW w:w="2380" w:type="dxa"/>
            <w:vAlign w:val="bottom"/>
          </w:tcPr>
          <w:p>
            <w:pPr>
              <w:spacing w:after="0"/>
              <w:rPr>
                <w:sz w:val="24"/>
                <w:szCs w:val="24"/>
                <w:color w:val="auto"/>
              </w:rPr>
            </w:pPr>
          </w:p>
        </w:tc>
      </w:tr>
      <w:tr>
        <w:trPr>
          <w:trHeight w:val="24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Adcock</w:t>
            </w:r>
          </w:p>
        </w:tc>
        <w:tc>
          <w:tcPr>
            <w:tcW w:w="240" w:type="dxa"/>
            <w:vAlign w:val="bottom"/>
          </w:tcPr>
          <w:p>
            <w:pPr>
              <w:spacing w:after="0"/>
              <w:rPr>
                <w:sz w:val="21"/>
                <w:szCs w:val="21"/>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Richard Adcock</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79"/>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380" w:type="dxa"/>
            <w:vAlign w:val="bottom"/>
          </w:tcPr>
          <w:p>
            <w:pPr>
              <w:spacing w:after="0"/>
              <w:rPr>
                <w:sz w:val="24"/>
                <w:szCs w:val="24"/>
                <w:color w:val="auto"/>
              </w:rPr>
            </w:pPr>
          </w:p>
        </w:tc>
      </w:tr>
      <w:tr>
        <w:trPr>
          <w:trHeight w:val="24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C. Sachs</w:t>
            </w:r>
          </w:p>
        </w:tc>
        <w:tc>
          <w:tcPr>
            <w:tcW w:w="240" w:type="dxa"/>
            <w:vAlign w:val="bottom"/>
          </w:tcPr>
          <w:p>
            <w:pPr>
              <w:spacing w:after="0"/>
              <w:rPr>
                <w:sz w:val="21"/>
                <w:szCs w:val="21"/>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7"/>
              </w:rPr>
              <w:t>(Principal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9"/>
              </w:rPr>
              <w:t>David C. Sachs</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79"/>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Accounting Officer</w:t>
            </w:r>
          </w:p>
        </w:tc>
        <w:tc>
          <w:tcPr>
            <w:tcW w:w="2380" w:type="dxa"/>
            <w:vAlign w:val="bottom"/>
          </w:tcPr>
          <w:p>
            <w:pPr>
              <w:spacing w:after="0"/>
              <w:rPr>
                <w:sz w:val="24"/>
                <w:szCs w:val="24"/>
                <w:color w:val="auto"/>
              </w:rPr>
            </w:pPr>
          </w:p>
        </w:tc>
      </w:tr>
      <w:tr>
        <w:trPr>
          <w:trHeight w:val="24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Regan J. Lauer</w:t>
            </w:r>
          </w:p>
        </w:tc>
        <w:tc>
          <w:tcPr>
            <w:tcW w:w="240" w:type="dxa"/>
            <w:vAlign w:val="bottom"/>
          </w:tcPr>
          <w:p>
            <w:pPr>
              <w:spacing w:after="0"/>
              <w:rPr>
                <w:sz w:val="21"/>
                <w:szCs w:val="21"/>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Officer)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Regan J. Lauer</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Barry J. Simon</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Corporate Affairs Officer and 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2"/>
              </w:rPr>
              <w:t>Barry J. Simon</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D. Blaszyk</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D. Blaszyk</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Owen Brennan</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John Owen Brennan</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Wesley Clark</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Wesley Clark</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Cheryl L. Cohen</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2"/>
              </w:rPr>
              <w:t>Cheryl L. Cohen</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Linda Maxwell</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5"/>
              </w:rPr>
              <w:t>Linda Maxwell</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33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Christobel Selecky</w:t>
            </w:r>
          </w:p>
        </w:tc>
        <w:tc>
          <w:tcPr>
            <w:tcW w:w="24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March 1, 2023</w:t>
            </w:r>
          </w:p>
        </w:tc>
      </w:tr>
      <w:tr>
        <w:trPr>
          <w:trHeight w:val="228"/>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8"/>
              </w:rPr>
              <w:t>Christobel Selecky</w:t>
            </w:r>
          </w:p>
        </w:tc>
        <w:tc>
          <w:tcPr>
            <w:tcW w:w="2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449"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00" w:type="dxa"/>
            <w:vAlign w:val="bottom"/>
            <w:gridSpan w:val="4"/>
          </w:tcPr>
          <w:p>
            <w:pPr>
              <w:ind w:left="3760"/>
              <w:spacing w:after="0"/>
              <w:rPr>
                <w:sz w:val="20"/>
                <w:szCs w:val="20"/>
                <w:color w:val="auto"/>
              </w:rPr>
            </w:pPr>
            <w:r>
              <w:rPr>
                <w:rFonts w:ascii="Arial" w:cs="Arial" w:eastAsia="Arial" w:hAnsi="Arial"/>
                <w:sz w:val="20"/>
                <w:szCs w:val="20"/>
                <w:b w:val="1"/>
                <w:bCs w:val="1"/>
                <w:color w:val="auto"/>
              </w:rPr>
              <w:t>SUBSIDIARIES OF IMMUNITYBIO, INC</w:t>
            </w:r>
            <w:r>
              <w:rPr>
                <w:rFonts w:ascii="Arial" w:cs="Arial" w:eastAsia="Arial" w:hAnsi="Arial"/>
                <w:sz w:val="20"/>
                <w:szCs w:val="20"/>
                <w:color w:val="auto"/>
              </w:rPr>
              <w:t>.</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6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20"/>
                <w:szCs w:val="20"/>
                <w:b w:val="1"/>
                <w:bCs w:val="1"/>
                <w:color w:val="auto"/>
                <w:w w:val="87"/>
              </w:rPr>
              <w:t>Percentage of</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88"/>
              </w:rPr>
              <w:t>Voting Securities</w:t>
            </w:r>
          </w:p>
        </w:tc>
        <w:tc>
          <w:tcPr>
            <w:tcW w:w="0" w:type="dxa"/>
            <w:vAlign w:val="bottom"/>
          </w:tcPr>
          <w:p>
            <w:pPr>
              <w:spacing w:after="0"/>
              <w:rPr>
                <w:sz w:val="1"/>
                <w:szCs w:val="1"/>
                <w:color w:val="auto"/>
              </w:rPr>
            </w:pPr>
          </w:p>
        </w:tc>
      </w:tr>
      <w:tr>
        <w:trPr>
          <w:trHeight w:val="198"/>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gridSpan w:val="2"/>
            <w:vMerge w:val="restart"/>
          </w:tcPr>
          <w:p>
            <w:pPr>
              <w:jc w:val="center"/>
              <w:ind w:right="300"/>
              <w:spacing w:after="0"/>
              <w:rPr>
                <w:sz w:val="20"/>
                <w:szCs w:val="20"/>
                <w:color w:val="auto"/>
              </w:rPr>
            </w:pPr>
            <w:r>
              <w:rPr>
                <w:rFonts w:ascii="Arial" w:cs="Arial" w:eastAsia="Arial" w:hAnsi="Arial"/>
                <w:sz w:val="20"/>
                <w:szCs w:val="20"/>
                <w:b w:val="1"/>
                <w:bCs w:val="1"/>
                <w:color w:val="auto"/>
                <w:w w:val="88"/>
              </w:rPr>
              <w:t>Jurisdiction of</w:t>
            </w:r>
          </w:p>
        </w:tc>
        <w:tc>
          <w:tcPr>
            <w:tcW w:w="2440" w:type="dxa"/>
            <w:vAlign w:val="bottom"/>
          </w:tcPr>
          <w:p>
            <w:pPr>
              <w:jc w:val="center"/>
              <w:spacing w:after="0" w:line="198" w:lineRule="exact"/>
              <w:rPr>
                <w:sz w:val="20"/>
                <w:szCs w:val="20"/>
                <w:color w:val="auto"/>
              </w:rPr>
            </w:pPr>
            <w:r>
              <w:rPr>
                <w:rFonts w:ascii="Arial" w:cs="Arial" w:eastAsia="Arial" w:hAnsi="Arial"/>
                <w:sz w:val="20"/>
                <w:szCs w:val="20"/>
                <w:b w:val="1"/>
                <w:bCs w:val="1"/>
                <w:color w:val="auto"/>
                <w:w w:val="90"/>
              </w:rPr>
              <w:t>Owned Directly</w:t>
            </w:r>
          </w:p>
        </w:tc>
        <w:tc>
          <w:tcPr>
            <w:tcW w:w="0" w:type="dxa"/>
            <w:vAlign w:val="bottom"/>
          </w:tcPr>
          <w:p>
            <w:pPr>
              <w:spacing w:after="0"/>
              <w:rPr>
                <w:sz w:val="1"/>
                <w:szCs w:val="1"/>
                <w:color w:val="auto"/>
              </w:rPr>
            </w:pPr>
          </w:p>
        </w:tc>
      </w:tr>
      <w:tr>
        <w:trPr>
          <w:trHeight w:val="193"/>
        </w:trPr>
        <w:tc>
          <w:tcPr>
            <w:tcW w:w="6360" w:type="dxa"/>
            <w:vAlign w:val="bottom"/>
            <w:gridSpan w:val="2"/>
            <w:vMerge w:val="restart"/>
          </w:tcPr>
          <w:p>
            <w:pPr>
              <w:ind w:left="2180"/>
              <w:spacing w:after="0"/>
              <w:rPr>
                <w:sz w:val="20"/>
                <w:szCs w:val="20"/>
                <w:color w:val="auto"/>
              </w:rPr>
            </w:pPr>
            <w:r>
              <w:rPr>
                <w:rFonts w:ascii="Arial" w:cs="Arial" w:eastAsia="Arial" w:hAnsi="Arial"/>
                <w:sz w:val="20"/>
                <w:szCs w:val="20"/>
                <w:b w:val="1"/>
                <w:bCs w:val="1"/>
                <w:color w:val="auto"/>
              </w:rPr>
              <w:t>Name of Subsidiary</w:t>
            </w:r>
          </w:p>
        </w:tc>
        <w:tc>
          <w:tcPr>
            <w:tcW w:w="2440" w:type="dxa"/>
            <w:vAlign w:val="bottom"/>
            <w:gridSpan w:val="2"/>
            <w:vMerge w:val="continue"/>
          </w:tcPr>
          <w:p>
            <w:pPr>
              <w:spacing w:after="0"/>
              <w:rPr>
                <w:sz w:val="16"/>
                <w:szCs w:val="16"/>
                <w:color w:val="auto"/>
              </w:rPr>
            </w:pPr>
          </w:p>
        </w:tc>
        <w:tc>
          <w:tcPr>
            <w:tcW w:w="244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2"/>
              </w:rPr>
              <w:t>or Indirectly by</w:t>
            </w:r>
          </w:p>
        </w:tc>
        <w:tc>
          <w:tcPr>
            <w:tcW w:w="0" w:type="dxa"/>
            <w:vAlign w:val="bottom"/>
          </w:tcPr>
          <w:p>
            <w:pPr>
              <w:spacing w:after="0"/>
              <w:rPr>
                <w:sz w:val="1"/>
                <w:szCs w:val="1"/>
                <w:color w:val="auto"/>
              </w:rPr>
            </w:pPr>
          </w:p>
        </w:tc>
      </w:tr>
      <w:tr>
        <w:trPr>
          <w:trHeight w:val="252"/>
        </w:trPr>
        <w:tc>
          <w:tcPr>
            <w:tcW w:w="6360" w:type="dxa"/>
            <w:vAlign w:val="bottom"/>
            <w:gridSpan w:val="2"/>
            <w:vMerge w:val="continue"/>
          </w:tcPr>
          <w:p>
            <w:pPr>
              <w:spacing w:after="0"/>
              <w:rPr>
                <w:sz w:val="21"/>
                <w:szCs w:val="21"/>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1"/>
              </w:rPr>
              <w:t>Organization</w:t>
            </w:r>
          </w:p>
        </w:tc>
        <w:tc>
          <w:tcPr>
            <w:tcW w:w="2440" w:type="dxa"/>
            <w:vAlign w:val="bottom"/>
          </w:tcPr>
          <w:p>
            <w:pPr>
              <w:jc w:val="center"/>
              <w:spacing w:after="0"/>
              <w:rPr>
                <w:sz w:val="20"/>
                <w:szCs w:val="20"/>
                <w:color w:val="auto"/>
              </w:rPr>
            </w:pPr>
            <w:r>
              <w:rPr>
                <w:rFonts w:ascii="Arial" w:cs="Arial" w:eastAsia="Arial" w:hAnsi="Arial"/>
                <w:sz w:val="20"/>
                <w:szCs w:val="20"/>
                <w:b w:val="1"/>
                <w:bCs w:val="1"/>
                <w:color w:val="auto"/>
                <w:w w:val="93"/>
              </w:rPr>
              <w:t>ImmunityBio, Inc.</w:t>
            </w:r>
          </w:p>
        </w:tc>
        <w:tc>
          <w:tcPr>
            <w:tcW w:w="0" w:type="dxa"/>
            <w:vAlign w:val="bottom"/>
          </w:tcPr>
          <w:p>
            <w:pPr>
              <w:spacing w:after="0"/>
              <w:rPr>
                <w:sz w:val="1"/>
                <w:szCs w:val="1"/>
                <w:color w:val="auto"/>
              </w:rPr>
            </w:pPr>
          </w:p>
        </w:tc>
      </w:tr>
      <w:tr>
        <w:trPr>
          <w:trHeight w:val="244"/>
        </w:trPr>
        <w:tc>
          <w:tcPr>
            <w:tcW w:w="60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Infacell Therapeutics, Inc.</w:t>
            </w:r>
          </w:p>
        </w:tc>
        <w:tc>
          <w:tcPr>
            <w:tcW w:w="340" w:type="dxa"/>
            <w:vAlign w:val="bottom"/>
          </w:tcPr>
          <w:p>
            <w:pPr>
              <w:spacing w:after="0"/>
              <w:rPr>
                <w:sz w:val="21"/>
                <w:szCs w:val="21"/>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300" w:type="dxa"/>
            <w:vAlign w:val="bottom"/>
          </w:tcPr>
          <w:p>
            <w:pPr>
              <w:spacing w:after="0"/>
              <w:rPr>
                <w:sz w:val="21"/>
                <w:szCs w:val="21"/>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3"/>
        </w:trPr>
        <w:tc>
          <w:tcPr>
            <w:tcW w:w="6360" w:type="dxa"/>
            <w:vAlign w:val="bottom"/>
            <w:gridSpan w:val="2"/>
          </w:tcPr>
          <w:p>
            <w:pPr>
              <w:ind w:left="20"/>
              <w:spacing w:after="0"/>
              <w:rPr>
                <w:sz w:val="20"/>
                <w:szCs w:val="20"/>
                <w:color w:val="auto"/>
              </w:rPr>
            </w:pPr>
            <w:r>
              <w:rPr>
                <w:rFonts w:ascii="Arial" w:cs="Arial" w:eastAsia="Arial" w:hAnsi="Arial"/>
                <w:sz w:val="20"/>
                <w:szCs w:val="20"/>
                <w:color w:val="auto"/>
              </w:rPr>
              <w:t>Inex Bio, Inc.</w:t>
            </w:r>
          </w:p>
        </w:tc>
        <w:tc>
          <w:tcPr>
            <w:tcW w:w="244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Republic of Korea</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0"/>
              <w:spacing w:after="0"/>
              <w:rPr>
                <w:sz w:val="20"/>
                <w:szCs w:val="20"/>
                <w:color w:val="auto"/>
              </w:rPr>
            </w:pPr>
            <w:r>
              <w:rPr>
                <w:rFonts w:ascii="Arial" w:cs="Arial" w:eastAsia="Arial" w:hAnsi="Arial"/>
                <w:sz w:val="20"/>
                <w:szCs w:val="20"/>
                <w:color w:val="auto"/>
              </w:rPr>
              <w:t>NantCell, Inc.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Etubics Corporation</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Altor BioScience,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380"/>
              <w:spacing w:after="0"/>
              <w:rPr>
                <w:sz w:val="20"/>
                <w:szCs w:val="20"/>
                <w:color w:val="auto"/>
              </w:rPr>
            </w:pPr>
            <w:r>
              <w:rPr>
                <w:rFonts w:ascii="Arial" w:cs="Arial" w:eastAsia="Arial" w:hAnsi="Arial"/>
                <w:sz w:val="20"/>
                <w:szCs w:val="20"/>
                <w:color w:val="auto"/>
              </w:rPr>
              <w:t>Altor BioScience Manufacturing Company,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Receptome, Inc.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VBC Holdings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92.0%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380"/>
              <w:spacing w:after="0"/>
              <w:rPr>
                <w:sz w:val="20"/>
                <w:szCs w:val="20"/>
                <w:color w:val="auto"/>
              </w:rPr>
            </w:pPr>
            <w:r>
              <w:rPr>
                <w:rFonts w:ascii="Arial" w:cs="Arial" w:eastAsia="Arial" w:hAnsi="Arial"/>
                <w:sz w:val="20"/>
                <w:szCs w:val="20"/>
                <w:color w:val="auto"/>
              </w:rPr>
              <w:t>VivaBioCell, S.p.A.</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98"/>
              </w:rPr>
              <w:t>Italy</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GlobeImmune, Inc.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69.1%</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20"/>
              <w:spacing w:after="0"/>
              <w:rPr>
                <w:sz w:val="20"/>
                <w:szCs w:val="20"/>
                <w:color w:val="auto"/>
              </w:rPr>
            </w:pPr>
            <w:r>
              <w:rPr>
                <w:rFonts w:ascii="Arial" w:cs="Arial" w:eastAsia="Arial" w:hAnsi="Arial"/>
                <w:sz w:val="20"/>
                <w:szCs w:val="20"/>
                <w:color w:val="auto"/>
              </w:rPr>
              <w:t>Immunotherapy NANTibody,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60.0%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380"/>
              <w:spacing w:after="0"/>
              <w:rPr>
                <w:sz w:val="20"/>
                <w:szCs w:val="20"/>
                <w:color w:val="auto"/>
              </w:rPr>
            </w:pPr>
            <w:r>
              <w:rPr>
                <w:rFonts w:ascii="Arial" w:cs="Arial" w:eastAsia="Arial" w:hAnsi="Arial"/>
                <w:sz w:val="20"/>
                <w:szCs w:val="20"/>
                <w:color w:val="auto"/>
              </w:rPr>
              <w:t>IgDraSol, Inc.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20"/>
              <w:spacing w:after="0"/>
              <w:rPr>
                <w:sz w:val="20"/>
                <w:szCs w:val="20"/>
                <w:color w:val="auto"/>
              </w:rPr>
            </w:pPr>
            <w:r>
              <w:rPr>
                <w:rFonts w:ascii="Arial" w:cs="Arial" w:eastAsia="Arial" w:hAnsi="Arial"/>
                <w:sz w:val="20"/>
                <w:szCs w:val="20"/>
                <w:color w:val="auto"/>
              </w:rPr>
              <w:t>MCLR Parent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180"/>
              <w:spacing w:after="0"/>
              <w:rPr>
                <w:sz w:val="20"/>
                <w:szCs w:val="20"/>
                <w:color w:val="auto"/>
              </w:rPr>
            </w:pPr>
            <w:r>
              <w:rPr>
                <w:rFonts w:ascii="Arial" w:cs="Arial" w:eastAsia="Arial" w:hAnsi="Arial"/>
                <w:sz w:val="20"/>
                <w:szCs w:val="20"/>
                <w:color w:val="auto"/>
              </w:rPr>
              <w:t>Mariposa Clinic Co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180"/>
              <w:spacing w:after="0"/>
              <w:rPr>
                <w:sz w:val="20"/>
                <w:szCs w:val="20"/>
                <w:color w:val="auto"/>
              </w:rPr>
            </w:pPr>
            <w:r>
              <w:rPr>
                <w:rFonts w:ascii="Arial" w:cs="Arial" w:eastAsia="Arial" w:hAnsi="Arial"/>
                <w:sz w:val="20"/>
                <w:szCs w:val="20"/>
                <w:color w:val="auto"/>
              </w:rPr>
              <w:t>Mariposa Lab Co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7"/>
        </w:trPr>
        <w:tc>
          <w:tcPr>
            <w:tcW w:w="6360" w:type="dxa"/>
            <w:vAlign w:val="bottom"/>
            <w:gridSpan w:val="2"/>
          </w:tcPr>
          <w:p>
            <w:pPr>
              <w:ind w:left="180"/>
              <w:spacing w:after="0"/>
              <w:rPr>
                <w:sz w:val="20"/>
                <w:szCs w:val="20"/>
                <w:color w:val="auto"/>
              </w:rPr>
            </w:pPr>
            <w:r>
              <w:rPr>
                <w:rFonts w:ascii="Arial" w:cs="Arial" w:eastAsia="Arial" w:hAnsi="Arial"/>
                <w:sz w:val="20"/>
                <w:szCs w:val="20"/>
                <w:color w:val="auto"/>
              </w:rPr>
              <w:t>Mariposa Radiology Co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20"/>
              <w:spacing w:after="0"/>
              <w:rPr>
                <w:sz w:val="20"/>
                <w:szCs w:val="20"/>
                <w:color w:val="auto"/>
              </w:rPr>
            </w:pPr>
            <w:r>
              <w:rPr>
                <w:rFonts w:ascii="Arial" w:cs="Arial" w:eastAsia="Arial" w:hAnsi="Arial"/>
                <w:sz w:val="20"/>
                <w:szCs w:val="20"/>
                <w:color w:val="auto"/>
              </w:rPr>
              <w:t>AccessBio LLC</w:t>
            </w:r>
          </w:p>
        </w:tc>
        <w:tc>
          <w:tcPr>
            <w:tcW w:w="24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Delaware</w:t>
            </w:r>
          </w:p>
        </w:tc>
        <w:tc>
          <w:tcPr>
            <w:tcW w:w="24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108" w:lineRule="exact"/>
        <w:rPr>
          <w:sz w:val="20"/>
          <w:szCs w:val="20"/>
          <w:color w:val="auto"/>
        </w:rPr>
      </w:pPr>
    </w:p>
    <w:p>
      <w:pPr>
        <w:ind w:left="640" w:right="700" w:hanging="890"/>
        <w:spacing w:after="0" w:line="260" w:lineRule="auto"/>
        <w:tabs>
          <w:tab w:leader="none" w:pos="620" w:val="left"/>
        </w:tabs>
        <w:rPr>
          <w:sz w:val="20"/>
          <w:szCs w:val="20"/>
          <w:color w:val="auto"/>
        </w:rPr>
      </w:pPr>
      <w:r>
        <w:rPr>
          <w:rFonts w:ascii="Arial" w:cs="Arial" w:eastAsia="Arial" w:hAnsi="Arial"/>
          <w:sz w:val="20"/>
          <w:szCs w:val="20"/>
          <w:color w:val="auto"/>
        </w:rPr>
        <w:t>Note:</w:t>
        <w:tab/>
        <w:t>All of the subsidiaries shown above are included in our consolidated financial statements. Inactive subsidiaries have not been included in the above list.</w:t>
      </w:r>
    </w:p>
    <w:p>
      <w:pPr>
        <w:sectPr>
          <w:pgSz w:w="11900" w:h="16838" w:orient="portrait"/>
          <w:cols w:equalWidth="0" w:num="1">
            <w:col w:w="11240"/>
          </w:cols>
          <w:pgMar w:left="320" w:top="130"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62" w:lineRule="exact"/>
        <w:rPr>
          <w:sz w:val="20"/>
          <w:szCs w:val="20"/>
          <w:color w:val="auto"/>
        </w:rPr>
      </w:pPr>
    </w:p>
    <w:p>
      <w:pPr>
        <w:ind w:left="880" w:hanging="431"/>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Registration Statement (Form S-8 No. 333-205942) pertaining to the 2014 Equity Incentive Plan and 2015 Equity Incentive Plan;</w:t>
      </w:r>
    </w:p>
    <w:p>
      <w:pPr>
        <w:spacing w:after="0" w:line="144" w:lineRule="exact"/>
        <w:rPr>
          <w:rFonts w:ascii="Arial" w:cs="Arial" w:eastAsia="Arial" w:hAnsi="Arial"/>
          <w:sz w:val="18"/>
          <w:szCs w:val="18"/>
          <w:color w:val="auto"/>
        </w:rPr>
      </w:pPr>
    </w:p>
    <w:p>
      <w:pPr>
        <w:ind w:left="880" w:hanging="431"/>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Registration Statement (Form S-8 No. 333-233082) pertaining to the 2015 Equity Incentive Plan as Amended and Restated;</w:t>
      </w:r>
    </w:p>
    <w:p>
      <w:pPr>
        <w:spacing w:after="0" w:line="130" w:lineRule="exact"/>
        <w:rPr>
          <w:rFonts w:ascii="Arial" w:cs="Arial" w:eastAsia="Arial" w:hAnsi="Arial"/>
          <w:sz w:val="18"/>
          <w:szCs w:val="18"/>
          <w:color w:val="auto"/>
        </w:rPr>
      </w:pPr>
    </w:p>
    <w:p>
      <w:pPr>
        <w:ind w:left="880" w:hanging="431"/>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Registration Statement (Form S-8 No. 333-243725) pertaining to the 2015 Equity Incentive Plan as Amended and Restated;</w:t>
      </w:r>
    </w:p>
    <w:p>
      <w:pPr>
        <w:spacing w:after="0" w:line="144" w:lineRule="exact"/>
        <w:rPr>
          <w:rFonts w:ascii="Arial" w:cs="Arial" w:eastAsia="Arial" w:hAnsi="Arial"/>
          <w:sz w:val="18"/>
          <w:szCs w:val="18"/>
          <w:color w:val="auto"/>
        </w:rPr>
      </w:pPr>
    </w:p>
    <w:p>
      <w:pPr>
        <w:ind w:left="900" w:right="580" w:hanging="451"/>
        <w:spacing w:after="0" w:line="332" w:lineRule="auto"/>
        <w:tabs>
          <w:tab w:leader="none" w:pos="8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Registration Statement (Post-Effective Amendment No. 1 on Form S-8 to Form S-4 No. 333-252232) for the registration of common stock reserved for issuance pursuant to the Amended and Restated ImmunityBio, Inc. 2015 Stock Incentive Plan;</w:t>
      </w:r>
    </w:p>
    <w:p>
      <w:pPr>
        <w:spacing w:after="0" w:line="7" w:lineRule="exact"/>
        <w:rPr>
          <w:rFonts w:ascii="Arial" w:cs="Arial" w:eastAsia="Arial" w:hAnsi="Arial"/>
          <w:sz w:val="18"/>
          <w:szCs w:val="18"/>
          <w:color w:val="auto"/>
        </w:rPr>
      </w:pPr>
    </w:p>
    <w:p>
      <w:pPr>
        <w:ind w:left="900" w:right="260" w:hanging="451"/>
        <w:spacing w:after="0" w:line="257" w:lineRule="auto"/>
        <w:tabs>
          <w:tab w:leader="none" w:pos="89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Registration Statement (Form S-3 No. 333-255699) of ImmunityBio, Inc. for the registration of common stock, preferred stock, debt securities, warrants and units, as amended by Post-Effective Amendment No. 1 on Form S-3, Post-Effective Amendment No. 2 on Form S-3, and Post-Effective Amendment No. 3 on Form S-3;</w:t>
      </w:r>
    </w:p>
    <w:p>
      <w:pPr>
        <w:spacing w:after="0" w:line="84" w:lineRule="exact"/>
        <w:rPr>
          <w:rFonts w:ascii="Arial" w:cs="Arial" w:eastAsia="Arial" w:hAnsi="Arial"/>
          <w:sz w:val="20"/>
          <w:szCs w:val="20"/>
          <w:color w:val="auto"/>
        </w:rPr>
      </w:pPr>
    </w:p>
    <w:p>
      <w:pPr>
        <w:ind w:left="880" w:hanging="431"/>
        <w:spacing w:after="0"/>
        <w:tabs>
          <w:tab w:leader="none" w:pos="8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Registration Statement (Form S-8 No. 333-265599) pertaining to the 2015 Equity Incentive Plan, as Amended; and</w:t>
      </w:r>
    </w:p>
    <w:p>
      <w:pPr>
        <w:spacing w:after="0" w:line="121" w:lineRule="exact"/>
        <w:rPr>
          <w:rFonts w:ascii="Arial" w:cs="Arial" w:eastAsia="Arial" w:hAnsi="Arial"/>
          <w:sz w:val="20"/>
          <w:szCs w:val="20"/>
          <w:color w:val="auto"/>
        </w:rPr>
      </w:pPr>
    </w:p>
    <w:p>
      <w:pPr>
        <w:ind w:left="900" w:right="260" w:hanging="451"/>
        <w:spacing w:after="0" w:line="260" w:lineRule="auto"/>
        <w:tabs>
          <w:tab w:leader="none" w:pos="89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Registration Statement (Form S-3 No. 333-269608) of ImmunityBio, Inc. for the registration of common stock, preferred stock, debt securities, depositary shares, warrants, subscription rights, purchase contracts, and units.</w:t>
      </w:r>
    </w:p>
    <w:p>
      <w:pPr>
        <w:spacing w:after="0" w:line="136"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of our reports dated March 1, 2023, with respect to the consolidated financial statements of ImmunityBio, Inc. and subsidiaries and the effectiveness of internal control over financial reporting of ImmunityBio, Inc. and subsidiaries included in this Annual Report (Form 10-K) of ImmunityBio, Inc. for the year ended December 31, 2022.</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March 1, 2023</w:t>
      </w:r>
    </w:p>
    <w:p>
      <w:pPr>
        <w:sectPr>
          <w:pgSz w:w="11900" w:h="16838" w:orient="portrait"/>
          <w:cols w:equalWidth="0" w:num="1">
            <w:col w:w="11240"/>
          </w:cols>
          <w:pgMar w:left="320" w:top="11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Adcock, certify that:</w:t>
      </w:r>
    </w:p>
    <w:p>
      <w:pPr>
        <w:spacing w:after="0" w:line="225"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ImmunityBio,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20" w:type="dxa"/>
            <w:vAlign w:val="bottom"/>
          </w:tcPr>
          <w:p>
            <w:pPr>
              <w:spacing w:after="0"/>
              <w:rPr>
                <w:sz w:val="20"/>
                <w:szCs w:val="20"/>
                <w:color w:val="auto"/>
              </w:rPr>
            </w:pPr>
            <w:r>
              <w:rPr>
                <w:rFonts w:ascii="Arial" w:cs="Arial" w:eastAsia="Arial" w:hAnsi="Arial"/>
                <w:sz w:val="18"/>
                <w:szCs w:val="18"/>
                <w:color w:val="auto"/>
              </w:rPr>
              <w:t>Date: March 1, 2023</w:t>
            </w: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Adcock</w:t>
            </w:r>
          </w:p>
        </w:tc>
      </w:tr>
      <w:tr>
        <w:trPr>
          <w:trHeight w:val="222"/>
        </w:trPr>
        <w:tc>
          <w:tcPr>
            <w:tcW w:w="3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Richard Adcock</w:t>
            </w:r>
          </w:p>
        </w:tc>
      </w:tr>
      <w:tr>
        <w:trPr>
          <w:trHeight w:val="230"/>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 Sachs, certify that:</w:t>
      </w:r>
    </w:p>
    <w:p>
      <w:pPr>
        <w:spacing w:after="0" w:line="22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ImmunityBio,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320" w:type="dxa"/>
            <w:vAlign w:val="bottom"/>
          </w:tcPr>
          <w:p>
            <w:pPr>
              <w:spacing w:after="0"/>
              <w:rPr>
                <w:sz w:val="20"/>
                <w:szCs w:val="20"/>
                <w:color w:val="auto"/>
              </w:rPr>
            </w:pPr>
            <w:r>
              <w:rPr>
                <w:rFonts w:ascii="Arial" w:cs="Arial" w:eastAsia="Arial" w:hAnsi="Arial"/>
                <w:sz w:val="18"/>
                <w:szCs w:val="18"/>
                <w:color w:val="auto"/>
              </w:rPr>
              <w:t>Date: March 1, 2023</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Sachs</w:t>
            </w:r>
          </w:p>
        </w:tc>
      </w:tr>
      <w:tr>
        <w:trPr>
          <w:trHeight w:val="222"/>
        </w:trPr>
        <w:tc>
          <w:tcPr>
            <w:tcW w:w="3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David C. Sachs</w:t>
            </w: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3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18 U.S.C. </w:t>
      </w:r>
      <w:r>
        <w:rPr>
          <w:rFonts w:ascii="Arial" w:cs="Arial" w:eastAsia="Arial" w:hAnsi="Arial"/>
          <w:sz w:val="16"/>
          <w:szCs w:val="16"/>
          <w:b w:val="1"/>
          <w:bCs w:val="1"/>
          <w:color w:val="auto"/>
        </w:rPr>
        <w:t>§</w:t>
      </w:r>
      <w:r>
        <w:rPr>
          <w:rFonts w:ascii="Arial" w:cs="Arial" w:eastAsia="Arial" w:hAnsi="Arial"/>
          <w:sz w:val="16"/>
          <w:szCs w:val="16"/>
          <w:color w:val="auto"/>
        </w:rPr>
        <w:t xml:space="preserve"> 1350, as adopted pursuant to Section 906 of the Sarbanes-Oxley Act of 2002, I, Richard Adcock, the chief executive officer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ImmunityBio, Inc. (the “Company”), hereby certify, that, to the best of my knowledge:</w:t>
      </w:r>
    </w:p>
    <w:p>
      <w:pPr>
        <w:spacing w:after="0" w:line="211" w:lineRule="exact"/>
        <w:rPr>
          <w:sz w:val="20"/>
          <w:szCs w:val="20"/>
          <w:color w:val="auto"/>
        </w:rPr>
      </w:pPr>
    </w:p>
    <w:p>
      <w:pPr>
        <w:ind w:left="660" w:hanging="328"/>
        <w:spacing w:after="0" w:line="277" w:lineRule="auto"/>
        <w:tabs>
          <w:tab w:leader="none" w:pos="6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year ended December 31, 2022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4680" w:val="left"/>
          <w:tab w:leader="none" w:pos="524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31750</wp:posOffset>
            </wp:positionV>
            <wp:extent cx="37890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3">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Richard Adcock</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 and President</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Pursuant to 18 U.S.C. § 1350, as adopted pursuant to Section 906 of the Sarbanes-Oxley Act of 2002, I, David C. Sachs, the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ImmunityBio, Inc. (the “Company”), hereby certify, that, to the best of my knowledge:</w:t>
      </w:r>
    </w:p>
    <w:p>
      <w:pPr>
        <w:spacing w:after="0" w:line="211" w:lineRule="exact"/>
        <w:rPr>
          <w:sz w:val="20"/>
          <w:szCs w:val="20"/>
          <w:color w:val="auto"/>
        </w:rPr>
      </w:pPr>
    </w:p>
    <w:p>
      <w:pPr>
        <w:ind w:left="660" w:hanging="328"/>
        <w:spacing w:after="0" w:line="277" w:lineRule="auto"/>
        <w:tabs>
          <w:tab w:leader="none" w:pos="6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year ended December 31, 2022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4460" w:val="left"/>
          <w:tab w:leader="none" w:pos="504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C. Sachs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2"/>
    </w:lvl>
  </w:abstractNum>
  <w:abstractNum w:abstractNumId="7">
    <w:nsid w:val="1CF10FD8"/>
    <w:multiLevelType w:val="hybridMultilevel"/>
    <w:lvl w:ilvl="0">
      <w:lvlJc w:val="left"/>
      <w:lvlText w:val="%1."/>
      <w:numFmt w:val="lowerLetter"/>
      <w:start w:val="1"/>
    </w:lvl>
  </w:abstractNum>
  <w:abstractNum w:abstractNumId="8">
    <w:nsid w:val="180115BE"/>
    <w:multiLevelType w:val="hybridMultilevel"/>
    <w:lvl w:ilvl="0">
      <w:lvlJc w:val="left"/>
      <w:lvlText w:val="%1."/>
      <w:numFmt w:val="lowerLetter"/>
      <w:start w:val="2"/>
    </w:lvl>
    <w:lvl w:ilvl="1">
      <w:lvlJc w:val="left"/>
      <w:lvlText w:val="(%2)"/>
      <w:numFmt w:val="lowerRoman"/>
      <w:start w:val="1"/>
    </w:lvl>
  </w:abstractNum>
  <w:abstractNum w:abstractNumId="9">
    <w:nsid w:val="235BA861"/>
    <w:multiLevelType w:val="hybridMultilevel"/>
    <w:lvl w:ilvl="0">
      <w:lvlJc w:val="left"/>
      <w:lvlText w:val="%1"/>
      <w:numFmt w:val="decimal"/>
      <w:start w:val="1"/>
    </w:lvl>
    <w:lvl w:ilvl="1">
      <w:lvlJc w:val="left"/>
      <w:lvlText w:val="(%2)"/>
      <w:numFmt w:val="lowerRoman"/>
      <w:start w:val="2"/>
    </w:lvl>
  </w:abstractNum>
  <w:abstractNum w:abstractNumId="10">
    <w:nsid w:val="47398C89"/>
    <w:multiLevelType w:val="hybridMultilevel"/>
    <w:lvl w:ilvl="0">
      <w:lvlJc w:val="left"/>
      <w:lvlText w:val="%1."/>
      <w:numFmt w:val="decimal"/>
      <w:start w:val="3"/>
    </w:lvl>
    <w:lvl w:ilvl="1">
      <w:lvlJc w:val="left"/>
      <w:lvlText w:val="%2"/>
      <w:numFmt w:val="lowerRoman"/>
      <w:start w:val="1"/>
    </w:lvl>
  </w:abstractNum>
  <w:abstractNum w:abstractNumId="11">
    <w:nsid w:val="354FE9F9"/>
    <w:multiLevelType w:val="hybridMultilevel"/>
    <w:lvl w:ilvl="0">
      <w:lvlJc w:val="left"/>
      <w:lvlText w:val="%1."/>
      <w:numFmt w:val="decimal"/>
      <w:start w:val="4"/>
    </w:lvl>
  </w:abstractNum>
  <w:abstractNum w:abstractNumId="12">
    <w:nsid w:val="15B5AF5C"/>
    <w:multiLevelType w:val="hybridMultilevel"/>
    <w:lvl w:ilvl="0">
      <w:lvlJc w:val="left"/>
      <w:lvlText w:val="%1."/>
      <w:numFmt w:val="lowerLetter"/>
      <w:start w:val="1"/>
    </w:lvl>
  </w:abstractNum>
  <w:abstractNum w:abstractNumId="13">
    <w:nsid w:val="741226BB"/>
    <w:multiLevelType w:val="hybridMultilevel"/>
    <w:lvl w:ilvl="0">
      <w:lvlJc w:val="left"/>
      <w:lvlText w:val="%1"/>
      <w:numFmt w:val="decimal"/>
      <w:start w:val="1"/>
    </w:lvl>
    <w:lvl w:ilvl="1">
      <w:lvlJc w:val="left"/>
      <w:lvlText w:val="%2."/>
      <w:numFmt w:val="lowerLetter"/>
      <w:start w:val="2"/>
    </w:lvl>
  </w:abstractNum>
  <w:abstractNum w:abstractNumId="14">
    <w:nsid w:val="D34B6A8"/>
    <w:multiLevelType w:val="hybridMultilevel"/>
    <w:lvl w:ilvl="0">
      <w:lvlJc w:val="left"/>
      <w:lvlText w:val="%1."/>
      <w:numFmt w:val="decimal"/>
      <w:start w:val="5"/>
    </w:lvl>
    <w:lvl w:ilvl="1">
      <w:lvlJc w:val="left"/>
      <w:lvlText w:val="%2"/>
      <w:numFmt w:val="lowerLetter"/>
      <w:start w:val="1"/>
    </w:lvl>
  </w:abstractNum>
  <w:abstractNum w:abstractNumId="15">
    <w:nsid w:val="10233C99"/>
    <w:multiLevelType w:val="hybridMultilevel"/>
    <w:lvl w:ilvl="0">
      <w:lvlJc w:val="left"/>
      <w:lvlText w:val="%1."/>
      <w:numFmt w:val="lowerLetter"/>
      <w:start w:val="1"/>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1."/>
      <w:numFmt w:val="decimal"/>
      <w:start w:val="2"/>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1."/>
      <w:numFmt w:val="decimal"/>
      <w:start w:val="3"/>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4"/>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5"/>
    </w:lvl>
  </w:abstractNum>
  <w:abstractNum w:abstractNumId="25">
    <w:nsid w:val="1DBABF00"/>
    <w:multiLevelType w:val="hybridMultilevel"/>
    <w:lvl w:ilvl="0">
      <w:lvlJc w:val="left"/>
      <w:lvlText w:val="%1."/>
      <w:numFmt w:val="decimal"/>
      <w:start w:val="6"/>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28">
    <w:nsid w:val="1381823A"/>
    <w:multiLevelType w:val="hybridMultilevel"/>
    <w:lvl w:ilvl="0">
      <w:lvlJc w:val="left"/>
      <w:lvlText w:val="%1."/>
      <w:numFmt w:val="decimal"/>
      <w:start w:val="8"/>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1."/>
      <w:numFmt w:val="decimal"/>
      <w:start w:val="2"/>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decimal"/>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1)"/>
      <w:numFmt w:val="decimal"/>
      <w:start w:val="2"/>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lowerRoman"/>
      <w:start w:val="3"/>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decimal"/>
      <w:start w:val="104"/>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lowerRoman"/>
      <w:start w:val="1"/>
    </w:lvl>
  </w:abstractNum>
  <w:abstractNum w:abstractNumId="105">
    <w:nsid w:val="1FBFE8E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34" Type="http://schemas.openxmlformats.org/officeDocument/2006/relationships/image" Target="media/image262.png"/><Relationship Id="rId339" Type="http://schemas.openxmlformats.org/officeDocument/2006/relationships/image" Target="media/image263.png"/><Relationship Id="rId340" Type="http://schemas.openxmlformats.org/officeDocument/2006/relationships/image" Target="media/image264.png"/><Relationship Id="rId341" Type="http://schemas.openxmlformats.org/officeDocument/2006/relationships/image" Target="media/image265.png"/><Relationship Id="rId342" Type="http://schemas.openxmlformats.org/officeDocument/2006/relationships/image" Target="media/image266.png"/><Relationship Id="rId343" Type="http://schemas.openxmlformats.org/officeDocument/2006/relationships/image" Target="media/image267.png"/><Relationship Id="rId344" Type="http://schemas.openxmlformats.org/officeDocument/2006/relationships/image" Target="media/image268.png"/><Relationship Id="rId152" Type="http://schemas.openxmlformats.org/officeDocument/2006/relationships/hyperlink" Target="https://www.sec.gov/Archives/edgar/data/1326110/000132611022000011/ibrx-20211231.htm" TargetMode="External"/><Relationship Id="rId262" Type="http://schemas.openxmlformats.org/officeDocument/2006/relationships/hyperlink" Target="https://www.sec.gov/Archives/edgar/data/1326110/000119312520323766/d21044dex21.htm" TargetMode="External"/><Relationship Id="rId263" Type="http://schemas.openxmlformats.org/officeDocument/2006/relationships/hyperlink" Target="https://www.sec.gov/Archives/edgar/data/1326110/000119312515275314/d158803dex31.htm" TargetMode="External"/><Relationship Id="rId264" Type="http://schemas.openxmlformats.org/officeDocument/2006/relationships/hyperlink" Target="https://www.sec.gov/Archives/edgar/data/1326110/000119312521075243/d307217dex31.htm" TargetMode="External"/><Relationship Id="rId265" Type="http://schemas.openxmlformats.org/officeDocument/2006/relationships/hyperlink" Target="https://www.sec.gov/Archives/edgar/data/1326110/000119312522061324/d283375dex33.htm" TargetMode="External"/><Relationship Id="rId266" Type="http://schemas.openxmlformats.org/officeDocument/2006/relationships/hyperlink" Target="https://www.sec.gov/Archives/edgar/data/1326110/000156459021044008/ibrx-ex32_717.htm" TargetMode="External"/><Relationship Id="rId267" Type="http://schemas.openxmlformats.org/officeDocument/2006/relationships/hyperlink" Target="https://www.sec.gov/Archives/edgar/data/1326110/000119312515229037/d917371dex41.htm" TargetMode="External"/><Relationship Id="rId268" Type="http://schemas.openxmlformats.org/officeDocument/2006/relationships/hyperlink" Target="https://www.sec.gov/Archives/edgar/data/1326110/000119312515229037/d917371dex42.htm" TargetMode="External"/><Relationship Id="rId269" Type="http://schemas.openxmlformats.org/officeDocument/2006/relationships/hyperlink" Target="https://www.sec.gov/Archives/edgar/data/1326110/000119312515229037/d917371dex43.htm" TargetMode="External"/><Relationship Id="rId272" Type="http://schemas.openxmlformats.org/officeDocument/2006/relationships/hyperlink" Target="https://www.sec.gov/Archives/edgar/data/1326110/000119312515229037/d917371dex45.htm" TargetMode="External"/><Relationship Id="rId273" Type="http://schemas.openxmlformats.org/officeDocument/2006/relationships/hyperlink" Target="https://www.sec.gov/Archives/edgar/data/1326110/000119312515229037/d917371dex46.htm" TargetMode="External"/><Relationship Id="rId274" Type="http://schemas.openxmlformats.org/officeDocument/2006/relationships/hyperlink" Target="https://www.sec.gov/Archives/edgar/data/1326110/000119312521169432/d162734dex41.htm" TargetMode="External"/><Relationship Id="rId275" Type="http://schemas.openxmlformats.org/officeDocument/2006/relationships/hyperlink" Target="https://www.sec.gov/Archives/edgar/data/1326110/000132611022000011/ibrx-20211231x10kexhibit47.htm" TargetMode="External"/><Relationship Id="rId276" Type="http://schemas.openxmlformats.org/officeDocument/2006/relationships/hyperlink" Target="https://www.sec.gov/Archives/edgar/data/1326110/000119312520323766/d21044dex101.htm" TargetMode="External"/><Relationship Id="rId277" Type="http://schemas.openxmlformats.org/officeDocument/2006/relationships/hyperlink" Target="https://www.sec.gov/Archives/edgar/data/1326110/000119312520323766/d21044dex102.htm" TargetMode="External"/><Relationship Id="rId278" Type="http://schemas.openxmlformats.org/officeDocument/2006/relationships/hyperlink" Target="https://www.sec.gov/Archives/edgar/data/1326110/000119312521011616/d28678dex1013.htm" TargetMode="External"/><Relationship Id="rId279" Type="http://schemas.openxmlformats.org/officeDocument/2006/relationships/hyperlink" Target="https://www.sec.gov/Archives/edgar/data/1326110/000119312522302356/d413739dex41.htm" TargetMode="External"/><Relationship Id="rId280" Type="http://schemas.openxmlformats.org/officeDocument/2006/relationships/hyperlink" Target="https://www.sec.gov/Archives/edgar/data/1326110/000119312521011616/d28678dex1030.htm" TargetMode="External"/><Relationship Id="rId281" Type="http://schemas.openxmlformats.org/officeDocument/2006/relationships/hyperlink" Target="https://www.sec.gov/Archives/edgar/data/1326110/000119312522302356/d413739dex101.htm" TargetMode="External"/><Relationship Id="rId282" Type="http://schemas.openxmlformats.org/officeDocument/2006/relationships/hyperlink" Target="https://www.sec.gov/Archives/edgar/data/1326110/000119312521146472/d176034dex101.htm" TargetMode="External"/><Relationship Id="rId283" Type="http://schemas.openxmlformats.org/officeDocument/2006/relationships/hyperlink" Target="https://www.sec.gov/Archives/edgar/data/1326110/000119312521011616/d28678dex104.htm" TargetMode="External"/><Relationship Id="rId284" Type="http://schemas.openxmlformats.org/officeDocument/2006/relationships/hyperlink" Target="https://www.sec.gov/Archives/edgar/data/1326110/000119312521011616/d28678dex1011.htm" TargetMode="External"/><Relationship Id="rId285" Type="http://schemas.openxmlformats.org/officeDocument/2006/relationships/hyperlink" Target="https://www.sec.gov/Archives/edgar/data/1326110/000119312521011616/d28678dex1012.htm" TargetMode="External"/><Relationship Id="rId288" Type="http://schemas.openxmlformats.org/officeDocument/2006/relationships/hyperlink" Target="https://www.sec.gov/Archives/edgar/data/0001326110/000119312521011616/d28678dex105.htm" TargetMode="External"/><Relationship Id="rId289" Type="http://schemas.openxmlformats.org/officeDocument/2006/relationships/hyperlink" Target="https://www.sec.gov/Archives/edgar/data/1326110/000119312522302356/d413739dex102.htm" TargetMode="External"/><Relationship Id="rId290" Type="http://schemas.openxmlformats.org/officeDocument/2006/relationships/hyperlink" Target="https://www.sec.gov/Archives/edgar/data/1326110/000132611022000074/ibrx-20220930x10qexhibit101.htm" TargetMode="External"/><Relationship Id="rId291" Type="http://schemas.openxmlformats.org/officeDocument/2006/relationships/hyperlink" Target="https://www.sec.gov/Archives/edgar/data/1326110/000132611022000074/ibrx-20220930x10qexhibit102.htm" TargetMode="External"/><Relationship Id="rId292" Type="http://schemas.openxmlformats.org/officeDocument/2006/relationships/hyperlink" Target="https://www.sec.gov/Archives/edgar/data/1326110/000132611022000074/ibrx-20220930x10qexhibit103.htm" TargetMode="External"/><Relationship Id="rId293" Type="http://schemas.openxmlformats.org/officeDocument/2006/relationships/hyperlink" Target="https://www.sec.gov/Archives/edgar/data/1326110/000132611022000074/ibrx-20220930x10qexhibit104.htm" TargetMode="External"/><Relationship Id="rId294" Type="http://schemas.openxmlformats.org/officeDocument/2006/relationships/hyperlink" Target="https://www.sec.gov/Archives/edgar/data/1326110/000132611022000074/ibrx-20220930x10qexhibit105.htm" TargetMode="External"/><Relationship Id="rId295" Type="http://schemas.openxmlformats.org/officeDocument/2006/relationships/hyperlink" Target="https://www.sec.gov/Archives/edgar/data/1326110/000132611022000074/ibrx-20220930x10qexhibit106.htm" TargetMode="External"/><Relationship Id="rId296" Type="http://schemas.openxmlformats.org/officeDocument/2006/relationships/hyperlink" Target="https://www.sec.gov/Archives/edgar/data/1326110/000132611022000074/ibrx-20220930x10qexhibit107.htm" TargetMode="External"/><Relationship Id="rId297" Type="http://schemas.openxmlformats.org/officeDocument/2006/relationships/hyperlink" Target="https://www.sec.gov/Archives/edgar/data/1326110/000132611022000074/ibrx-20220930x10qexhibit108.htm" TargetMode="External"/><Relationship Id="rId298" Type="http://schemas.openxmlformats.org/officeDocument/2006/relationships/hyperlink" Target="https://www.sec.gov/Archives/edgar/data/1326110/000095012315007692/d917371dex1019.htm" TargetMode="External"/><Relationship Id="rId299" Type="http://schemas.openxmlformats.org/officeDocument/2006/relationships/hyperlink" Target="https://www.sec.gov/Archives/edgar/data/1326110/000132611022000058/ibrx-20220630x10qexhibit106.htm" TargetMode="External"/><Relationship Id="rId300" Type="http://schemas.openxmlformats.org/officeDocument/2006/relationships/hyperlink" Target="https://www.sec.gov/Archives/edgar/data/1326110/000132611022000058/ibrx-20220630x10qexhibit107.htm" TargetMode="External"/><Relationship Id="rId303" Type="http://schemas.openxmlformats.org/officeDocument/2006/relationships/hyperlink" Target="https://www.sec.gov/Archives/edgar/data/1326110/000132611022000058/ibrx-20220630x10qexhibit108.htm" TargetMode="External"/><Relationship Id="rId304" Type="http://schemas.openxmlformats.org/officeDocument/2006/relationships/hyperlink" Target="https://www.sec.gov/Archives/edgar/data/1326110/000156459016015596/nk-ex1023_1729.htm" TargetMode="External"/><Relationship Id="rId305" Type="http://schemas.openxmlformats.org/officeDocument/2006/relationships/hyperlink" Target="https://www.sec.gov/Archives/edgar/data/1326110/000156459020052488/nk-ex102_93.htm" TargetMode="External"/><Relationship Id="rId306" Type="http://schemas.openxmlformats.org/officeDocument/2006/relationships/hyperlink" Target="https://www.sec.gov/Archives/edgar/data/1326110/000132611022000058/ibrx-20220630x10qexhibit104.htm" TargetMode="External"/><Relationship Id="rId307" Type="http://schemas.openxmlformats.org/officeDocument/2006/relationships/hyperlink" Target="https://www.sec.gov/Archives/edgar/data/1326110/000156459016028905/nk-ex101_159.htm" TargetMode="External"/><Relationship Id="rId308" Type="http://schemas.openxmlformats.org/officeDocument/2006/relationships/hyperlink" Target="https://www.sec.gov/Archives/edgar/data/1326110/000119312521011616/d28678dex1027.htm" TargetMode="External"/><Relationship Id="rId309" Type="http://schemas.openxmlformats.org/officeDocument/2006/relationships/hyperlink" Target="https://www.sec.gov/Archives/edgar/data/1326110/000119312521011616/d28678dex1028.htm" TargetMode="External"/><Relationship Id="rId310" Type="http://schemas.openxmlformats.org/officeDocument/2006/relationships/hyperlink" Target="https://www.sec.gov/Archives/edgar/data/1326110/000119312521011616/d28678dex1029.htm" TargetMode="External"/><Relationship Id="rId311" Type="http://schemas.openxmlformats.org/officeDocument/2006/relationships/hyperlink" Target="https://www.sec.gov/Archives/edgar/data/1326110/000156459020052488/nk-ex103_94.htm" TargetMode="External"/><Relationship Id="rId312" Type="http://schemas.openxmlformats.org/officeDocument/2006/relationships/hyperlink" Target="https://www.sec.gov/Archives/edgar/data/1326110/000156459021010945/nk-ex1035_433.htm" TargetMode="External"/><Relationship Id="rId313" Type="http://schemas.openxmlformats.org/officeDocument/2006/relationships/hyperlink" Target="https://www.sec.gov/Archives/edgar/data/1326110/000156459021044008/ibrx-ex101_955.htm" TargetMode="External"/><Relationship Id="rId314" Type="http://schemas.openxmlformats.org/officeDocument/2006/relationships/hyperlink" Target="https://www.sec.gov/Archives/edgar/data/1326110/000132611021000009/ibrx-20210930x10qexhibit102.htm" TargetMode="External"/><Relationship Id="rId315" Type="http://schemas.openxmlformats.org/officeDocument/2006/relationships/hyperlink" Target="https://www.sec.gov/Archives/edgar/data/1326110/000132611021000009/ibrx-20210930x10qexhibit103.htm" TargetMode="External"/><Relationship Id="rId318" Type="http://schemas.openxmlformats.org/officeDocument/2006/relationships/hyperlink" Target="https://www.sec.gov/Archives/edgar/data/1326110/000132611022000058/ibrx-20220630x10qexhibit109.htm" TargetMode="External"/><Relationship Id="rId319" Type="http://schemas.openxmlformats.org/officeDocument/2006/relationships/hyperlink" Target="https://www.sec.gov/Archives/edgar/data/1326110/000132611021000009/ibrx-20210930x10qexhibit104.htm" TargetMode="External"/><Relationship Id="rId320" Type="http://schemas.openxmlformats.org/officeDocument/2006/relationships/hyperlink" Target="https://www.sec.gov/Archives/edgar/data/1326110/000132611022000027/ibrx-20220331x10qexhibit102.htm" TargetMode="External"/><Relationship Id="rId321" Type="http://schemas.openxmlformats.org/officeDocument/2006/relationships/hyperlink" Target="https://www.sec.gov/Archives/edgar/data/1326110/000132611022000027/ibrx-20220331x10qexhibit103.htm" TargetMode="External"/><Relationship Id="rId322" Type="http://schemas.openxmlformats.org/officeDocument/2006/relationships/hyperlink" Target="https://www.sec.gov/Archives/edgar/data/1326110/000132611022000058/ibrx-20220630x10qexhibit.htm" TargetMode="External"/><Relationship Id="rId323" Type="http://schemas.openxmlformats.org/officeDocument/2006/relationships/hyperlink" Target="https://www.sec.gov/Archives/edgar/data/1326110/000119312522007333/d276464dex101.htm" TargetMode="External"/><Relationship Id="rId324" Type="http://schemas.openxmlformats.org/officeDocument/2006/relationships/hyperlink" Target="https://www.sec.gov/Archives/edgar/data/1326110/000156459019029330/nk-ex104_267.htm" TargetMode="External"/><Relationship Id="rId325" Type="http://schemas.openxmlformats.org/officeDocument/2006/relationships/hyperlink" Target="https://www.sec.gov/Archives/edgar/data/1326110/000156459020024168/nk-ex101_98.htm" TargetMode="External"/><Relationship Id="rId326" Type="http://schemas.openxmlformats.org/officeDocument/2006/relationships/hyperlink" Target="https://www.sec.gov/Archives/edgar/data/1326110/000156459016024275/nk-ex101_112.htm" TargetMode="External"/><Relationship Id="rId327" Type="http://schemas.openxmlformats.org/officeDocument/2006/relationships/hyperlink" Target="https://www.sec.gov/Archives/edgar/data/1326110/000156459020052488/nk-ex104_390.htm" TargetMode="External"/><Relationship Id="rId328" Type="http://schemas.openxmlformats.org/officeDocument/2006/relationships/hyperlink" Target="https://www.sec.gov/Archives/edgar/data/1326110/000119312521011616/d28678dex1031.htm" TargetMode="External"/><Relationship Id="rId329" Type="http://schemas.openxmlformats.org/officeDocument/2006/relationships/hyperlink" Target="https://www.sec.gov/Archives/edgar/data/1326110/000119312515229037/d917371dex101.htm" TargetMode="External"/><Relationship Id="rId330" Type="http://schemas.openxmlformats.org/officeDocument/2006/relationships/hyperlink" Target="https://www.sec.gov/Archives/edgar/data/1326110/000119312515252847/d917371dex104.htm" TargetMode="External"/><Relationship Id="rId331" Type="http://schemas.openxmlformats.org/officeDocument/2006/relationships/hyperlink" Target="https://www.sec.gov/Archives/edgar/data/1326110/000119312515229037/d917371dex102.htm" TargetMode="External"/><Relationship Id="rId332" Type="http://schemas.openxmlformats.org/officeDocument/2006/relationships/hyperlink" Target="https://www.sec.gov/Archives/edgar/data/1326110/000132611022000040/ibrx-20220614xs8exhibit101.htm" TargetMode="External"/><Relationship Id="rId333" Type="http://schemas.openxmlformats.org/officeDocument/2006/relationships/hyperlink" Target="https://www.sec.gov/Archives/edgar/data/1326110/000119312521011616/d28678dex1014.htm" TargetMode="External"/><Relationship Id="rId335" Type="http://schemas.openxmlformats.org/officeDocument/2006/relationships/hyperlink" Target="https://www.sec.gov/Archives/edgar/data/1326110/000119312521011616/d28678dex1025.htm" TargetMode="External"/><Relationship Id="rId336" Type="http://schemas.openxmlformats.org/officeDocument/2006/relationships/hyperlink" Target="https://www.sec.gov/Archives/edgar/data/1326110/000119312521011616/d28678dex1026.htm" TargetMode="External"/><Relationship Id="rId337" Type="http://schemas.openxmlformats.org/officeDocument/2006/relationships/hyperlink" Target="https://www.sec.gov/Archives/edgar/data/1326110/000119312519169172/d723718dex991.htm" TargetMode="External"/><Relationship Id="rId338" Type="http://schemas.openxmlformats.org/officeDocument/2006/relationships/hyperlink" Target="https://www.sec.gov/Archives/edgar/data/1326110/000119312519169172/d723718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2023-03-01T20:07:18Z</dcterms:created>
  <dcterms:modified xsi:type="dcterms:W3CDTF">2023-03-01T20:07:18Z</dcterms:modified>
</cp:coreProperties>
</file>