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 No. 333-278770</w:t>
      </w:r>
    </w:p>
    <w:p>
      <w:pPr>
        <w:spacing w:after="0" w:line="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(To Prospectus dated April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1911985</wp:posOffset>
            </wp:positionH>
            <wp:positionV relativeFrom="paragraph">
              <wp:posOffset>124460</wp:posOffset>
            </wp:positionV>
            <wp:extent cx="3344545" cy="9410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4545" cy="9410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Up to $459,972,480 of Common Stock</w:t>
      </w:r>
    </w:p>
    <w:p>
      <w:pPr>
        <w:spacing w:after="0" w:line="93" w:lineRule="exact"/>
        <w:rPr>
          <w:sz w:val="24"/>
          <w:szCs w:val="24"/>
          <w:color w:val="auto"/>
        </w:rPr>
      </w:pPr>
    </w:p>
    <w:p>
      <w:pPr>
        <w:ind w:left="1360" w:right="319" w:firstLine="343"/>
        <w:spacing w:after="0" w:line="234" w:lineRule="auto"/>
        <w:rPr>
          <w:sz w:val="20"/>
          <w:szCs w:val="20"/>
          <w:color w:val="auto"/>
        </w:rPr>
      </w:pPr>
      <w:r>
        <w:rPr>
          <w:rFonts w:ascii="Times New Roman" w:cs="Times New Roman" w:eastAsia="Times New Roman" w:hAnsi="Times New Roman"/>
          <w:sz w:val="14"/>
          <w:szCs w:val="14"/>
          <w:color w:val="auto"/>
        </w:rPr>
        <w:t>We have entered into an Open Market Sale Agreement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4"/>
          <w:szCs w:val="14"/>
          <w:color w:val="auto"/>
        </w:rPr>
        <w:t>, as amended by Amendment No. 1 to Open Market Sale Agreement</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4"/>
          <w:szCs w:val="14"/>
          <w:color w:val="auto"/>
        </w:rPr>
        <w:t xml:space="preserve"> (the “sale agreement”) with Jefferies LLC (“Jefferies”) relating to shares of our common stock, $0.0001 par value per share, offered by this prospectus supplement. In accordance with the terms of the sale agreement, we may offer and sell shares of our common stock from time to time through Jefferies, acting as our sales agent, pursuant to this prospectus supplement. In accordance with the terms of the sale agreement, and subject to the terms thereof, we may offer and sell shares of our common stock having an aggregate offering price of up to the total amount registered for sale under the sale agreement pursuant to this prospectus supplement and our other existing or future prospectus supplements related to the sale agreement.</w:t>
      </w:r>
    </w:p>
    <w:p>
      <w:pPr>
        <w:spacing w:after="0" w:line="73" w:lineRule="exact"/>
        <w:rPr>
          <w:sz w:val="24"/>
          <w:szCs w:val="24"/>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“IBRX.” The closing price of our common stock on December 22, 2025, as reported by Nasdaq, was $2.27 per share.</w:t>
      </w:r>
    </w:p>
    <w:p>
      <w:pPr>
        <w:spacing w:after="0" w:line="41" w:lineRule="exact"/>
        <w:rPr>
          <w:sz w:val="24"/>
          <w:szCs w:val="24"/>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Sales, if any, of shares of our common stock under the sale agreement may be made by any method permitted by law. Jefferies is not required to sell any specific amount of securities but will act as our sales agent using commercially reasonable efforts to sell on our behalf all of the shares of common stock requested to be sold by us, consistent with its normal trading and sales practices, applicable state and federal laws, rules and regulations and the rules of Nasdaq, on mutually agreed terms between Jefferies and us. There is no arrangement for funds to be received in any escrow, trust or similar arrangement.</w:t>
      </w:r>
    </w:p>
    <w:p>
      <w:pPr>
        <w:spacing w:after="0" w:line="60" w:lineRule="exact"/>
        <w:rPr>
          <w:sz w:val="24"/>
          <w:szCs w:val="24"/>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Jefferies will be entitled to compensation at a commission rate of up to 3.0% of the gross proceeds of any shares of common stock sold under the sale agreement. In connection with the sale of the common stock on our behalf, Jefferies may be deemed to be an “underwriter” within the meaning of the Securities Act of 1933, as amended (the “Securities Act”) and the compensation of Jefferies may be deemed to be underwriting commissions or discounts. We have also agreed to provide indemnification and contribution to Jefferies with respect to certain liabilities, including liabilities under the Securities Act or the Securities Exchange Act of 1934, as amended (the “Exchange Act”). See the section titled “</w:t>
      </w:r>
      <w:r>
        <w:rPr>
          <w:rFonts w:ascii="Times New Roman" w:cs="Times New Roman" w:eastAsia="Times New Roman" w:hAnsi="Times New Roman"/>
          <w:sz w:val="14"/>
          <w:szCs w:val="14"/>
          <w:u w:val="single" w:color="auto"/>
          <w:color w:val="0000EE"/>
        </w:rPr>
        <w:t>Plan of Distribution</w:t>
      </w:r>
      <w:r>
        <w:rPr>
          <w:rFonts w:ascii="Times New Roman" w:cs="Times New Roman" w:eastAsia="Times New Roman" w:hAnsi="Times New Roman"/>
          <w:sz w:val="14"/>
          <w:szCs w:val="14"/>
          <w:color w:val="auto"/>
        </w:rPr>
        <w:t>” on page S-19 of this prospectus supplement.</w:t>
      </w:r>
    </w:p>
    <w:p>
      <w:pPr>
        <w:spacing w:after="0" w:line="4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Investing in our common stock involves significant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S-6 of this</w:t>
      </w:r>
    </w:p>
    <w:p>
      <w:pPr>
        <w:spacing w:after="0" w:line="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prospectus supplement, as well as the information under the caption “Risk Factors” in our Annual Report on</w:t>
      </w:r>
    </w:p>
    <w:p>
      <w:pPr>
        <w:ind w:left="1360"/>
        <w:spacing w:after="0" w:line="232" w:lineRule="auto"/>
        <w:rPr>
          <w:sz w:val="20"/>
          <w:szCs w:val="20"/>
          <w:color w:val="auto"/>
        </w:rPr>
      </w:pPr>
      <w:r>
        <w:rPr>
          <w:rFonts w:ascii="Times New Roman" w:cs="Times New Roman" w:eastAsia="Times New Roman" w:hAnsi="Times New Roman"/>
          <w:sz w:val="17"/>
          <w:szCs w:val="17"/>
          <w:b w:val="1"/>
          <w:bCs w:val="1"/>
          <w:color w:val="auto"/>
        </w:rPr>
        <w:t>Form 10-K for the year ended December 31, 2024, the information under the caption “Risk Factors” in our Quarterly</w:t>
      </w:r>
    </w:p>
    <w:p>
      <w:pPr>
        <w:ind w:left="1360"/>
        <w:spacing w:after="0" w:line="232" w:lineRule="auto"/>
        <w:rPr>
          <w:sz w:val="20"/>
          <w:szCs w:val="20"/>
          <w:color w:val="auto"/>
        </w:rPr>
      </w:pPr>
      <w:r>
        <w:rPr>
          <w:rFonts w:ascii="Times New Roman" w:cs="Times New Roman" w:eastAsia="Times New Roman" w:hAnsi="Times New Roman"/>
          <w:sz w:val="17"/>
          <w:szCs w:val="17"/>
          <w:b w:val="1"/>
          <w:bCs w:val="1"/>
          <w:color w:val="auto"/>
        </w:rPr>
        <w:t>Report on Form 10-Q for the three months ended September 30, 2025, and under similar headings in the other</w:t>
      </w:r>
    </w:p>
    <w:p>
      <w:pPr>
        <w:ind w:left="1360"/>
        <w:spacing w:after="0" w:line="232" w:lineRule="auto"/>
        <w:rPr>
          <w:sz w:val="20"/>
          <w:szCs w:val="20"/>
          <w:color w:val="auto"/>
        </w:rPr>
      </w:pPr>
      <w:r>
        <w:rPr>
          <w:rFonts w:ascii="Times New Roman" w:cs="Times New Roman" w:eastAsia="Times New Roman" w:hAnsi="Times New Roman"/>
          <w:sz w:val="17"/>
          <w:szCs w:val="17"/>
          <w:b w:val="1"/>
          <w:bCs w:val="1"/>
          <w:color w:val="auto"/>
        </w:rPr>
        <w:t>documents incorporated by reference into this prospectus supplement and the accompanying base prospectus for a</w:t>
      </w:r>
    </w:p>
    <w:p>
      <w:pPr>
        <w:spacing w:after="0" w:line="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discussion of the factors you should carefully consider before investing in our common stock.</w:t>
      </w:r>
    </w:p>
    <w:p>
      <w:pPr>
        <w:spacing w:after="0" w:line="64" w:lineRule="exact"/>
        <w:rPr>
          <w:sz w:val="24"/>
          <w:szCs w:val="24"/>
          <w:color w:val="auto"/>
        </w:rPr>
      </w:pPr>
    </w:p>
    <w:p>
      <w:pPr>
        <w:jc w:val="both"/>
        <w:ind w:left="1360" w:right="37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3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10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December 23, 2025.</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426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color w:val="0000EE"/>
                <w:w w:val="99"/>
              </w:rPr>
              <w:t>About This Prospectus Supplement and the Accompanying Base Prospectus</w:t>
            </w:r>
          </w:p>
        </w:tc>
        <w:tc>
          <w:tcPr>
            <w:tcW w:w="3960" w:type="dxa"/>
            <w:vAlign w:val="bottom"/>
            <w:vMerge w:val="restart"/>
          </w:tcPr>
          <w:p>
            <w:pPr>
              <w:spacing w:after="0"/>
              <w:rPr>
                <w:sz w:val="11"/>
                <w:szCs w:val="11"/>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2"/>
        </w:trPr>
        <w:tc>
          <w:tcPr>
            <w:tcW w:w="4260" w:type="dxa"/>
            <w:vAlign w:val="bottom"/>
            <w:tcBorders>
              <w:bottom w:val="single" w:sz="8" w:color="0000EE"/>
            </w:tcBorders>
            <w:gridSpan w:val="24"/>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color w:val="auto"/>
              </w:rPr>
              <w:t>S-ii</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Prospectus Supplement Summary</w:t>
            </w:r>
          </w:p>
        </w:tc>
        <w:tc>
          <w:tcPr>
            <w:tcW w:w="8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8"/>
        </w:trPr>
        <w:tc>
          <w:tcPr>
            <w:tcW w:w="1880" w:type="dxa"/>
            <w:vAlign w:val="bottom"/>
            <w:tcBorders>
              <w:top w:val="single" w:sz="8" w:color="0000EE"/>
            </w:tcBorders>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The Offering</w:t>
            </w:r>
          </w:p>
        </w:tc>
        <w:tc>
          <w:tcPr>
            <w:tcW w:w="6340" w:type="dxa"/>
            <w:vAlign w:val="bottom"/>
            <w:gridSpan w:val="7"/>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148"/>
        </w:trPr>
        <w:tc>
          <w:tcPr>
            <w:tcW w:w="70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20" w:type="dxa"/>
            <w:vAlign w:val="bottom"/>
            <w:tcBorders>
              <w:top w:val="single" w:sz="8" w:color="0000EE"/>
            </w:tcBorders>
          </w:tcPr>
          <w:p>
            <w:pPr>
              <w:spacing w:after="0"/>
              <w:rPr>
                <w:sz w:val="12"/>
                <w:szCs w:val="12"/>
                <w:color w:val="auto"/>
              </w:rPr>
            </w:pPr>
          </w:p>
        </w:tc>
        <w:tc>
          <w:tcPr>
            <w:tcW w:w="7500" w:type="dxa"/>
            <w:vAlign w:val="bottom"/>
            <w:gridSpan w:val="21"/>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148"/>
        </w:trPr>
        <w:tc>
          <w:tcPr>
            <w:tcW w:w="3020" w:type="dxa"/>
            <w:vAlign w:val="bottom"/>
            <w:tcBorders>
              <w:bottom w:val="single" w:sz="8" w:color="0000EE"/>
            </w:tcBorders>
            <w:gridSpan w:val="23"/>
          </w:tcPr>
          <w:p>
            <w:pPr>
              <w:spacing w:after="0" w:line="148" w:lineRule="exact"/>
              <w:rPr>
                <w:sz w:val="20"/>
                <w:szCs w:val="20"/>
                <w:color w:val="auto"/>
              </w:rPr>
            </w:pPr>
            <w:r>
              <w:rPr>
                <w:rFonts w:ascii="Times New Roman" w:cs="Times New Roman" w:eastAsia="Times New Roman" w:hAnsi="Times New Roman"/>
                <w:sz w:val="14"/>
                <w:szCs w:val="14"/>
                <w:color w:val="0000EE"/>
                <w:w w:val="99"/>
              </w:rPr>
              <w:t>Special Note Regarding Forward-Looking Statements</w:t>
            </w:r>
          </w:p>
        </w:tc>
        <w:tc>
          <w:tcPr>
            <w:tcW w:w="5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S-9</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Description of Securities</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48"/>
        </w:trPr>
        <w:tc>
          <w:tcPr>
            <w:tcW w:w="1380" w:type="dxa"/>
            <w:vAlign w:val="bottom"/>
            <w:tcBorders>
              <w:top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Dilution</w:t>
            </w:r>
          </w:p>
        </w:tc>
        <w:tc>
          <w:tcPr>
            <w:tcW w:w="6840" w:type="dxa"/>
            <w:vAlign w:val="bottom"/>
            <w:gridSpan w:val="13"/>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S-17</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S-19</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2"/>
          </w:tcPr>
          <w:p>
            <w:pPr>
              <w:spacing w:after="0"/>
              <w:rPr>
                <w:sz w:val="12"/>
                <w:szCs w:val="12"/>
                <w:color w:val="auto"/>
              </w:rPr>
            </w:pPr>
          </w:p>
        </w:tc>
        <w:tc>
          <w:tcPr>
            <w:tcW w:w="7120" w:type="dxa"/>
            <w:vAlign w:val="bottom"/>
            <w:gridSpan w:val="18"/>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148"/>
        </w:trPr>
        <w:tc>
          <w:tcPr>
            <w:tcW w:w="2200" w:type="dxa"/>
            <w:vAlign w:val="bottom"/>
            <w:tcBorders>
              <w:top w:val="single" w:sz="8" w:color="0000EE"/>
              <w:bottom w:val="single" w:sz="8" w:color="0000EE"/>
            </w:tcBorders>
            <w:gridSpan w:val="21"/>
          </w:tcPr>
          <w:p>
            <w:pPr>
              <w:spacing w:after="0" w:line="148" w:lineRule="exact"/>
              <w:rPr>
                <w:sz w:val="20"/>
                <w:szCs w:val="20"/>
                <w:color w:val="auto"/>
              </w:rPr>
            </w:pPr>
            <w:r>
              <w:rPr>
                <w:rFonts w:ascii="Times New Roman" w:cs="Times New Roman" w:eastAsia="Times New Roman" w:hAnsi="Times New Roman"/>
                <w:sz w:val="14"/>
                <w:szCs w:val="14"/>
                <w:color w:val="0000EE"/>
                <w:w w:val="99"/>
              </w:rPr>
              <w:t>Information Incorporated by Reference</w:t>
            </w:r>
          </w:p>
        </w:tc>
        <w:tc>
          <w:tcPr>
            <w:tcW w:w="20" w:type="dxa"/>
            <w:vAlign w:val="bottom"/>
            <w:tcBorders>
              <w:top w:val="single" w:sz="8" w:color="0000EE"/>
            </w:tcBorders>
          </w:tcPr>
          <w:p>
            <w:pPr>
              <w:spacing w:after="0"/>
              <w:rPr>
                <w:sz w:val="12"/>
                <w:szCs w:val="12"/>
                <w:color w:val="auto"/>
              </w:rPr>
            </w:pPr>
          </w:p>
        </w:tc>
        <w:tc>
          <w:tcPr>
            <w:tcW w:w="6000" w:type="dxa"/>
            <w:vAlign w:val="bottom"/>
            <w:gridSpan w:val="3"/>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S-21</w:t>
            </w:r>
          </w:p>
        </w:tc>
        <w:tc>
          <w:tcPr>
            <w:tcW w:w="0" w:type="dxa"/>
            <w:vAlign w:val="bottom"/>
          </w:tcPr>
          <w:p>
            <w:pPr>
              <w:spacing w:after="0"/>
              <w:rPr>
                <w:sz w:val="1"/>
                <w:szCs w:val="1"/>
                <w:color w:val="auto"/>
              </w:rPr>
            </w:pPr>
          </w:p>
        </w:tc>
      </w:tr>
      <w:tr>
        <w:trPr>
          <w:trHeight w:val="336"/>
        </w:trPr>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Prospectus</w:t>
            </w:r>
          </w:p>
        </w:tc>
        <w:tc>
          <w:tcPr>
            <w:tcW w:w="7700" w:type="dxa"/>
            <w:vAlign w:val="bottom"/>
            <w:gridSpan w:val="23"/>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07"/>
        </w:trPr>
        <w:tc>
          <w:tcPr>
            <w:tcW w:w="8220" w:type="dxa"/>
            <w:vAlign w:val="bottom"/>
            <w:gridSpan w:val="25"/>
          </w:tcPr>
          <w:p>
            <w:pPr>
              <w:spacing w:after="0" w:line="97" w:lineRule="exact"/>
              <w:rPr>
                <w:sz w:val="20"/>
                <w:szCs w:val="20"/>
                <w:color w:val="auto"/>
              </w:rPr>
            </w:pPr>
            <w:r>
              <w:rPr>
                <w:rFonts w:ascii="Times New Roman" w:cs="Times New Roman" w:eastAsia="Times New Roman" w:hAnsi="Times New Roman"/>
                <w:sz w:val="11"/>
                <w:szCs w:val="11"/>
                <w:color w:val="0000EE"/>
              </w:rPr>
              <w:t>About this Prospectus</w:t>
            </w:r>
          </w:p>
        </w:tc>
        <w:tc>
          <w:tcPr>
            <w:tcW w:w="80" w:type="dxa"/>
            <w:vAlign w:val="bottom"/>
          </w:tcPr>
          <w:p>
            <w:pPr>
              <w:spacing w:after="0"/>
              <w:rPr>
                <w:sz w:val="9"/>
                <w:szCs w:val="9"/>
                <w:color w:val="auto"/>
              </w:rPr>
            </w:pPr>
          </w:p>
        </w:tc>
        <w:tc>
          <w:tcPr>
            <w:tcW w:w="2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ii</w:t>
            </w:r>
          </w:p>
        </w:tc>
        <w:tc>
          <w:tcPr>
            <w:tcW w:w="0" w:type="dxa"/>
            <w:vAlign w:val="bottom"/>
          </w:tcPr>
          <w:p>
            <w:pPr>
              <w:spacing w:after="0"/>
              <w:rPr>
                <w:sz w:val="1"/>
                <w:szCs w:val="1"/>
                <w:color w:val="auto"/>
              </w:rPr>
            </w:pPr>
          </w:p>
        </w:tc>
      </w:tr>
      <w:tr>
        <w:trPr>
          <w:trHeight w:val="159"/>
        </w:trPr>
        <w:tc>
          <w:tcPr>
            <w:tcW w:w="1220" w:type="dxa"/>
            <w:vAlign w:val="bottom"/>
            <w:tcBorders>
              <w:top w:val="single" w:sz="8" w:color="0000EE"/>
            </w:tcBorders>
            <w:gridSpan w:val="10"/>
          </w:tcPr>
          <w:p>
            <w:pPr>
              <w:spacing w:after="0" w:line="159" w:lineRule="exact"/>
              <w:rPr>
                <w:sz w:val="20"/>
                <w:szCs w:val="20"/>
                <w:color w:val="auto"/>
              </w:rPr>
            </w:pPr>
            <w:r>
              <w:rPr>
                <w:rFonts w:ascii="Times New Roman" w:cs="Times New Roman" w:eastAsia="Times New Roman" w:hAnsi="Times New Roman"/>
                <w:sz w:val="14"/>
                <w:szCs w:val="14"/>
                <w:color w:val="0000EE"/>
              </w:rPr>
              <w:t>Prospectus Summary</w:t>
            </w:r>
          </w:p>
        </w:tc>
        <w:tc>
          <w:tcPr>
            <w:tcW w:w="7000" w:type="dxa"/>
            <w:vAlign w:val="bottom"/>
            <w:gridSpan w:val="15"/>
          </w:tcPr>
          <w:p>
            <w:pPr>
              <w:spacing w:after="0"/>
              <w:rPr>
                <w:sz w:val="13"/>
                <w:szCs w:val="13"/>
                <w:color w:val="auto"/>
              </w:rPr>
            </w:pPr>
          </w:p>
        </w:tc>
        <w:tc>
          <w:tcPr>
            <w:tcW w:w="3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70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480" w:type="dxa"/>
            <w:vAlign w:val="bottom"/>
            <w:tcBorders>
              <w:top w:val="single" w:sz="8" w:color="0000EE"/>
            </w:tcBorders>
            <w:gridSpan w:val="6"/>
          </w:tcPr>
          <w:p>
            <w:pPr>
              <w:spacing w:after="0"/>
              <w:rPr>
                <w:sz w:val="12"/>
                <w:szCs w:val="12"/>
                <w:color w:val="auto"/>
              </w:rPr>
            </w:pPr>
          </w:p>
        </w:tc>
        <w:tc>
          <w:tcPr>
            <w:tcW w:w="7040" w:type="dxa"/>
            <w:vAlign w:val="bottom"/>
            <w:gridSpan w:val="16"/>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Forward-Looking Statements</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1640" w:type="dxa"/>
            <w:vAlign w:val="bottom"/>
            <w:tcBorders>
              <w:top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6580" w:type="dxa"/>
            <w:vAlign w:val="bottom"/>
            <w:gridSpan w:val="10"/>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90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6620" w:type="dxa"/>
            <w:vAlign w:val="bottom"/>
            <w:gridSpan w:val="11"/>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1700" w:type="dxa"/>
            <w:vAlign w:val="bottom"/>
            <w:tcBorders>
              <w:bottom w:val="single" w:sz="8" w:color="0000EE"/>
            </w:tcBorders>
            <w:gridSpan w:val="16"/>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6520" w:type="dxa"/>
            <w:vAlign w:val="bottom"/>
            <w:gridSpan w:val="9"/>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1860" w:type="dxa"/>
            <w:vAlign w:val="bottom"/>
            <w:tcBorders>
              <w:bottom w:val="single" w:sz="8" w:color="0000EE"/>
            </w:tcBorders>
            <w:gridSpan w:val="17"/>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Depositary Shares</w:t>
            </w:r>
          </w:p>
        </w:tc>
        <w:tc>
          <w:tcPr>
            <w:tcW w:w="6360" w:type="dxa"/>
            <w:vAlign w:val="bottom"/>
            <w:gridSpan w:val="8"/>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1340" w:type="dxa"/>
            <w:vAlign w:val="bottom"/>
            <w:tcBorders>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6880" w:type="dxa"/>
            <w:vAlign w:val="bottom"/>
            <w:gridSpan w:val="14"/>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Description of Subscription Rights</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8"/>
        </w:trPr>
        <w:tc>
          <w:tcPr>
            <w:tcW w:w="1920" w:type="dxa"/>
            <w:vAlign w:val="bottom"/>
            <w:tcBorders>
              <w:top w:val="single" w:sz="8" w:color="0000EE"/>
              <w:bottom w:val="single" w:sz="8" w:color="0000EE"/>
            </w:tcBorders>
            <w:gridSpan w:val="19"/>
          </w:tcPr>
          <w:p>
            <w:pPr>
              <w:spacing w:after="0" w:line="148" w:lineRule="exact"/>
              <w:rPr>
                <w:sz w:val="20"/>
                <w:szCs w:val="20"/>
                <w:color w:val="auto"/>
              </w:rPr>
            </w:pPr>
            <w:r>
              <w:rPr>
                <w:rFonts w:ascii="Times New Roman" w:cs="Times New Roman" w:eastAsia="Times New Roman" w:hAnsi="Times New Roman"/>
                <w:sz w:val="14"/>
                <w:szCs w:val="14"/>
                <w:color w:val="0000EE"/>
                <w:w w:val="99"/>
              </w:rPr>
              <w:t>Description of Purchase Contracts</w:t>
            </w:r>
          </w:p>
        </w:tc>
        <w:tc>
          <w:tcPr>
            <w:tcW w:w="20" w:type="dxa"/>
            <w:vAlign w:val="bottom"/>
            <w:tcBorders>
              <w:top w:val="single" w:sz="8" w:color="0000EE"/>
            </w:tcBorders>
          </w:tcPr>
          <w:p>
            <w:pPr>
              <w:spacing w:after="0"/>
              <w:rPr>
                <w:sz w:val="12"/>
                <w:szCs w:val="12"/>
                <w:color w:val="auto"/>
              </w:rPr>
            </w:pPr>
          </w:p>
        </w:tc>
        <w:tc>
          <w:tcPr>
            <w:tcW w:w="6280" w:type="dxa"/>
            <w:vAlign w:val="bottom"/>
            <w:gridSpan w:val="5"/>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114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7080" w:type="dxa"/>
            <w:vAlign w:val="bottom"/>
            <w:gridSpan w:val="17"/>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2"/>
          </w:tcPr>
          <w:p>
            <w:pPr>
              <w:spacing w:after="0"/>
              <w:rPr>
                <w:sz w:val="12"/>
                <w:szCs w:val="12"/>
                <w:color w:val="auto"/>
              </w:rPr>
            </w:pPr>
          </w:p>
        </w:tc>
        <w:tc>
          <w:tcPr>
            <w:tcW w:w="7120" w:type="dxa"/>
            <w:vAlign w:val="bottom"/>
            <w:gridSpan w:val="18"/>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20" w:type="dxa"/>
            <w:vAlign w:val="bottom"/>
            <w:gridSpan w:val="25"/>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1540" w:type="dxa"/>
            <w:vAlign w:val="bottom"/>
            <w:tcBorders>
              <w:top w:val="single" w:sz="8" w:color="0000EE"/>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tcBorders>
              <w:top w:val="single" w:sz="8" w:color="0000EE"/>
            </w:tcBorders>
            <w:gridSpan w:val="9"/>
          </w:tcPr>
          <w:p>
            <w:pPr>
              <w:spacing w:after="0"/>
              <w:rPr>
                <w:sz w:val="12"/>
                <w:szCs w:val="12"/>
                <w:color w:val="auto"/>
              </w:rPr>
            </w:pPr>
          </w:p>
        </w:tc>
        <w:tc>
          <w:tcPr>
            <w:tcW w:w="6000" w:type="dxa"/>
            <w:vAlign w:val="bottom"/>
            <w:gridSpan w:val="3"/>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left="1680" w:right="20"/>
        <w:spacing w:after="0" w:line="255" w:lineRule="auto"/>
        <w:rPr>
          <w:sz w:val="20"/>
          <w:szCs w:val="20"/>
          <w:color w:val="auto"/>
        </w:rPr>
      </w:pPr>
      <w:r>
        <w:rPr>
          <w:rFonts w:ascii="Times New Roman" w:cs="Times New Roman" w:eastAsia="Times New Roman" w:hAnsi="Times New Roman"/>
          <w:sz w:val="14"/>
          <w:szCs w:val="14"/>
          <w:b w:val="1"/>
          <w:bCs w:val="1"/>
          <w:color w:val="auto"/>
        </w:rPr>
        <w:t>FOR INVESTORS OUTSIDE THE UNITED STATES: WE HAVE NOT, AND THE SALES AGENT HAS NOT, DONE ANYTHING THAT WOULD PERMIT THIS OFFERING OR POSSESSION OR DISTRIBUTION OF THIS PROSPECTUS SUPPLEMENT AND ANY FREE WRITING PROSPECTUS THAT WE HAVE AUTHORIZED FOR USE IN CONNECTION WITH THIS OFFERING IN ANY JURISDICTION WHERE ACTION FOR THAT PURPOSE IS REQUIRED, OTHER THAN IN THE UNITED STATES. PERSONS OUTSIDE THE UNITED STATES WHO COME INTO POSSESSION OF THIS PROSPECTUS SUPPLEMENT OR ANY FREE WRITING PROSPECTUS THAT WE HAVE AUTHORIZED FOR USE IN CONNECTION WITH THIS OFFERING MUST INFORM THEMSELVES ABOUT, AND OBSERVE ANY RESTRICTIONS RELATING TO, THE OFFERING OF THE COMMON STOCK AND THE DISTRIBUTION OF THIS PROSPECTUS SUPPLEMENT AND ANY FREE WRITING PROSPECTUS THAT WE HAVE AUTHORIZED FOR USE IN CONNECTION WITH THIS OFFERING OUTSIDE THE UNITED STATES.</w:t>
      </w:r>
    </w:p>
    <w:p>
      <w:pPr>
        <w:spacing w:after="0" w:line="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ABOUT THIS PROSPECTUS SUPPLEMENT AND THE ACCOMPANYING BASE PROSPECTUS</w:t>
      </w:r>
    </w:p>
    <w:p>
      <w:pPr>
        <w:spacing w:after="0" w:line="177"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We are providing information to you about this offering of our common stock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this prospectus supplement and the accompanying base prospectus combined.</w:t>
      </w:r>
    </w:p>
    <w:p>
      <w:pPr>
        <w:spacing w:after="0" w:line="143" w:lineRule="exact"/>
        <w:rPr>
          <w:sz w:val="20"/>
          <w:szCs w:val="20"/>
          <w:color w:val="auto"/>
        </w:rPr>
      </w:pPr>
    </w:p>
    <w:p>
      <w:pPr>
        <w:jc w:val="both"/>
        <w:ind w:left="1360" w:right="339" w:firstLine="343"/>
        <w:spacing w:after="0" w:line="277" w:lineRule="auto"/>
        <w:rPr>
          <w:sz w:val="20"/>
          <w:szCs w:val="20"/>
          <w:color w:val="auto"/>
        </w:rPr>
      </w:pPr>
      <w:r>
        <w:rPr>
          <w:rFonts w:ascii="Times New Roman" w:cs="Times New Roman" w:eastAsia="Times New Roman" w:hAnsi="Times New Roman"/>
          <w:sz w:val="13"/>
          <w:szCs w:val="13"/>
          <w:color w:val="auto"/>
        </w:rPr>
        <w:t>This prospectus supplement is part of an automatic shelf registration statement on Form S-3 ASR (File No. 333-278770) that we have filed with the SEC as a “well-known seasoned issuer” as defined in Rule 405 under the Securities Act. Under the shelf registration process, we may, from time to time, offer and sell any combination of our securities described in the base prospectus filed with such registration statement in one or more offerings.</w:t>
      </w:r>
    </w:p>
    <w:p>
      <w:pPr>
        <w:spacing w:after="0" w:line="2"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Under this prospectus supplement, we are offering shares of our common stock having an aggregate offering price of up to $459,972,480 from time to time through Jefferies acting as our sales agent at prices and on terms to be determined by market conditions at the time of the offering.</w:t>
      </w:r>
    </w:p>
    <w:p>
      <w:pPr>
        <w:spacing w:after="0" w:line="140" w:lineRule="exact"/>
        <w:rPr>
          <w:sz w:val="20"/>
          <w:szCs w:val="20"/>
          <w:color w:val="auto"/>
        </w:rPr>
      </w:pPr>
    </w:p>
    <w:p>
      <w:pPr>
        <w:ind w:left="1360" w:right="499" w:firstLine="343"/>
        <w:spacing w:after="0" w:line="257" w:lineRule="auto"/>
        <w:rPr>
          <w:sz w:val="20"/>
          <w:szCs w:val="20"/>
          <w:color w:val="auto"/>
        </w:rPr>
      </w:pPr>
      <w:r>
        <w:rPr>
          <w:rFonts w:ascii="Times New Roman" w:cs="Times New Roman" w:eastAsia="Times New Roman" w:hAnsi="Times New Roman"/>
          <w:sz w:val="14"/>
          <w:szCs w:val="14"/>
          <w:color w:val="auto"/>
        </w:rPr>
        <w:t>If the information contained in this prospectus supplement differs or varies from the information contained in any document incorporated by reference herein that was filed with the SEC before the date of this prospectus supplement, you should rely on the information set forth in this prospectus supplement. If any statement in one of these documents is inconsistent with a statement in another document having a later date (for example, a subsequently filed document deemed incorporated by reference in this prospectus supplement), the statement in the document having the later date modifies or supersedes the earlier statement. Any statement so modified or superseded will not be deemed, except as so modified or superseded, to constitute a part of this prospectus supplement.</w:t>
      </w:r>
    </w:p>
    <w:p>
      <w:pPr>
        <w:spacing w:after="0" w:line="14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We have not, and the sales agent has not, authorized anyone to provide you with information that is in addition to or different from that contained or incorporated by reference in this prospectus supplement or contained in any permitted free writing prospectuses we have authorized for use in connection with this offering. We and the sales agent take no responsibility for, and can provide no assurance as to the reliability of, any other information that others may provide.</w:t>
      </w:r>
    </w:p>
    <w:p>
      <w:pPr>
        <w:spacing w:after="0" w:line="14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information contained in this prospectus supplement and the documents incorporated by reference herein is accurate only as of their respective dates, regardless of the time of delivery of any such document or the time of any sale of our common stock. Our business, financial condition, results of operations and prospects may have changed since those dates. It is important for you to read and consider all information contained or incorporated by reference in this prospectus supplement in making your investment decision. You should read this prospectus supplement, as well as the documents incorporated by reference herein, the additional information described under the section titled “</w:t>
      </w:r>
      <w:r>
        <w:rPr>
          <w:rFonts w:ascii="Times New Roman" w:cs="Times New Roman" w:eastAsia="Times New Roman" w:hAnsi="Times New Roman"/>
          <w:sz w:val="14"/>
          <w:szCs w:val="14"/>
          <w:u w:val="single" w:color="auto"/>
          <w:color w:val="0000EE"/>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0000EE"/>
        </w:rPr>
        <w:t>Incorporation of Certain Documents by Reference</w:t>
      </w:r>
      <w:r>
        <w:rPr>
          <w:rFonts w:ascii="Times New Roman" w:cs="Times New Roman" w:eastAsia="Times New Roman" w:hAnsi="Times New Roman"/>
          <w:sz w:val="14"/>
          <w:szCs w:val="14"/>
          <w:color w:val="auto"/>
        </w:rPr>
        <w:t>” in this prospectus supplement and any free writing prospectus that we have authorized for use in connection with this offering, before investing in our common stock.</w:t>
      </w:r>
    </w:p>
    <w:p>
      <w:pPr>
        <w:spacing w:after="0" w:line="144"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We are offering to sell, and seeking offers to buy, shares of common stock only in jurisdictions where offers and sales are permitted. The distribution of this prospectus supplement and the offering of the common stock in certain jurisdictions may be restricted by law. We are not, and Jefferies is not, making an offer to sell these securities in any jurisdiction where the offer or sale is not permitted.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Before buying any of the common stock that we are offering, we urge you to carefully read this prospectus supplement, the base prospectus and all of the information incorporated by reference herein, together with the additional information described in the sections titled “</w:t>
      </w:r>
      <w:r>
        <w:rPr>
          <w:rFonts w:ascii="Times New Roman" w:cs="Times New Roman" w:eastAsia="Times New Roman" w:hAnsi="Times New Roman"/>
          <w:sz w:val="14"/>
          <w:szCs w:val="14"/>
          <w:u w:val="single" w:color="auto"/>
          <w:color w:val="0000EE"/>
        </w:rPr>
        <w:t>Where You Can Find More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Information</w:t>
      </w:r>
      <w:r>
        <w:rPr>
          <w:rFonts w:ascii="Times New Roman" w:cs="Times New Roman" w:eastAsia="Times New Roman" w:hAnsi="Times New Roman"/>
          <w:sz w:val="14"/>
          <w:szCs w:val="14"/>
          <w:color w:val="000000"/>
        </w:rPr>
        <w:t>” and “</w:t>
      </w:r>
      <w:r>
        <w:rPr>
          <w:rFonts w:ascii="Times New Roman" w:cs="Times New Roman" w:eastAsia="Times New Roman" w:hAnsi="Times New Roman"/>
          <w:sz w:val="14"/>
          <w:szCs w:val="14"/>
          <w:u w:val="single" w:color="auto"/>
          <w:color w:val="0000EE"/>
        </w:rPr>
        <w:t>Information Incorporated by Reference</w:t>
      </w:r>
      <w:r>
        <w:rPr>
          <w:rFonts w:ascii="Times New Roman" w:cs="Times New Roman" w:eastAsia="Times New Roman" w:hAnsi="Times New Roman"/>
          <w:sz w:val="14"/>
          <w:szCs w:val="14"/>
          <w:color w:val="000000"/>
        </w:rPr>
        <w:t>.” These documents contain important information that you should consider when making</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your investment decision.</w:t>
      </w:r>
    </w:p>
    <w:p>
      <w:pPr>
        <w:spacing w:after="0" w:line="141"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You should not consider any information in this prospectus supplement to be investment, legal or tax advice. You should consult your own counsel, accountants and other advisers for legal, tax, business, financial and related advice regarding the purchase of the common stock offered by this prospectus supplement.</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438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3380" cy="443865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5" w:lineRule="exact"/>
        <w:rPr>
          <w:sz w:val="20"/>
          <w:szCs w:val="20"/>
          <w:color w:val="auto"/>
        </w:rPr>
      </w:pPr>
    </w:p>
    <w:p>
      <w:pPr>
        <w:ind w:left="1500" w:right="419" w:firstLine="332"/>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certain information about this offering and selected information contained elsewhere in or incorporated by reference into this prospectus supplement. This summary is not complete and does not contain all the information that you should consider before investing in our common stock pursuant to this prospectus supplement and any free writing prospectus that we have authorized for use in connection with this offering. Before making an investment decision, to fully understand this offering and its consequences to you, you should carefully read the entire prospectus, including the section titled “Risk Factors” and the financial statements and related notes and the other information that we incorporate by reference herein, as well as the information included in any free writing prospectus that we have authorized for use in connection with this offering. Unless the context indicates otherwise, as used in this prospectus supplement, the terms “ImmunityBio,” “the company,” “we,” “us” and “our” refer to ImmunityBio, Inc., a Delaware corporation, and its subsidiaries taken as a whole.</w:t>
      </w:r>
    </w:p>
    <w:p>
      <w:pPr>
        <w:spacing w:after="0" w:line="2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3" w:lineRule="exact"/>
        <w:rPr>
          <w:sz w:val="20"/>
          <w:szCs w:val="20"/>
          <w:color w:val="auto"/>
        </w:rPr>
      </w:pPr>
    </w:p>
    <w:p>
      <w:pPr>
        <w:ind w:left="1500" w:right="399" w:firstLine="332"/>
        <w:spacing w:after="0" w:line="239" w:lineRule="auto"/>
        <w:rPr>
          <w:sz w:val="20"/>
          <w:szCs w:val="20"/>
          <w:color w:val="auto"/>
        </w:rPr>
      </w:pPr>
      <w:r>
        <w:rPr>
          <w:rFonts w:ascii="Times New Roman" w:cs="Times New Roman" w:eastAsia="Times New Roman" w:hAnsi="Times New Roman"/>
          <w:sz w:val="14"/>
          <w:szCs w:val="14"/>
          <w:color w:val="auto"/>
        </w:rPr>
        <w:t>ImmunityBio is a vertically-integrated commercial-stage biotechnology company developing next-generation therapies that bolster the natural immune system to defeat cancers and infectious diseases. The company’s range of immunotherapy and cell therapy platforms, alone and together, act to drive and sustain an immune response with the goal of creating durable and safe protection against disease. Designated a U.S. Food and Drug Administration (“FDA”) Breakthrough Therapy, ANKTIVA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is the first FDA-approved immunotherapy for non-muscle invasive bladder cancer (“NMIBC”) carcinoma </w:t>
      </w:r>
      <w:r>
        <w:rPr>
          <w:rFonts w:ascii="Times New Roman" w:cs="Times New Roman" w:eastAsia="Times New Roman" w:hAnsi="Times New Roman"/>
          <w:sz w:val="14"/>
          <w:szCs w:val="14"/>
          <w:i w:val="1"/>
          <w:iCs w:val="1"/>
          <w:color w:val="auto"/>
        </w:rPr>
        <w:t>in situ</w:t>
      </w:r>
      <w:r>
        <w:rPr>
          <w:rFonts w:ascii="Times New Roman" w:cs="Times New Roman" w:eastAsia="Times New Roman" w:hAnsi="Times New Roman"/>
          <w:sz w:val="14"/>
          <w:szCs w:val="14"/>
          <w:color w:val="auto"/>
        </w:rPr>
        <w:t xml:space="preserve"> (“CIS”) that activates natural killer (“NK”) cells, T cells, and memory T cells for a long-duration response. The company is applying its science and platforms to treating cancers, including the development of potential cancer vaccines, as well as developing immunotherapies and cell therapies that we believe sharply reduce or eliminate the need for standard high-dose chemotherapy. These platforms and their associated product candidates are designed to be more effective, accessible, and easily administered than current standards of care in oncology and infectious diseases.</w:t>
      </w:r>
    </w:p>
    <w:p>
      <w:pPr>
        <w:spacing w:after="0" w:line="2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3" w:lineRule="exact"/>
        <w:rPr>
          <w:sz w:val="20"/>
          <w:szCs w:val="20"/>
          <w:color w:val="auto"/>
        </w:rPr>
      </w:pPr>
    </w:p>
    <w:p>
      <w:pPr>
        <w:ind w:left="1500" w:right="419" w:firstLine="332"/>
        <w:spacing w:after="0" w:line="323" w:lineRule="auto"/>
        <w:rPr>
          <w:sz w:val="20"/>
          <w:szCs w:val="20"/>
          <w:color w:val="auto"/>
        </w:rPr>
      </w:pPr>
      <w:r>
        <w:rPr>
          <w:rFonts w:ascii="Times New Roman" w:cs="Times New Roman" w:eastAsia="Times New Roman" w:hAnsi="Times New Roman"/>
          <w:sz w:val="13"/>
          <w:szCs w:val="13"/>
          <w:color w:val="auto"/>
        </w:rPr>
        <w:t>We seek to become a leading global immunological therapeutics company by creating next-generation therapies and vaccines to address serious unmet needs within urologic and other cancers as well as infectious diseases. To achieve this goal, the key elements of our strategy include:</w:t>
      </w:r>
    </w:p>
    <w:p>
      <w:pPr>
        <w:spacing w:after="0" w:line="29" w:lineRule="exact"/>
        <w:rPr>
          <w:sz w:val="20"/>
          <w:szCs w:val="20"/>
          <w:color w:val="auto"/>
        </w:rPr>
      </w:pPr>
    </w:p>
    <w:p>
      <w:pPr>
        <w:ind w:left="2220" w:right="759" w:hanging="313"/>
        <w:spacing w:after="0" w:line="283"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advancing the commercialization of ANKTIVA as an integral component of immunotherapy combinations, including those with checkpoint inhibitors (“CPIs”) and cell therapy;</w:t>
      </w:r>
    </w:p>
    <w:p>
      <w:pPr>
        <w:spacing w:after="0" w:line="51" w:lineRule="exact"/>
        <w:rPr>
          <w:rFonts w:ascii="Times New Roman" w:cs="Times New Roman" w:eastAsia="Times New Roman" w:hAnsi="Times New Roman"/>
          <w:sz w:val="14"/>
          <w:szCs w:val="14"/>
          <w:color w:val="auto"/>
        </w:rPr>
      </w:pPr>
    </w:p>
    <w:p>
      <w:pPr>
        <w:ind w:left="2220" w:right="619" w:hanging="313"/>
        <w:spacing w:after="0" w:line="283"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accelerating product candidates generated from our immunotherapy platforms with registrational intent to address difficult-to-treat oncological and infectious disease indications in large market segments;</w:t>
      </w:r>
    </w:p>
    <w:p>
      <w:pPr>
        <w:spacing w:after="0" w:line="51" w:lineRule="exact"/>
        <w:rPr>
          <w:rFonts w:ascii="Times New Roman" w:cs="Times New Roman" w:eastAsia="Times New Roman" w:hAnsi="Times New Roman"/>
          <w:sz w:val="14"/>
          <w:szCs w:val="14"/>
          <w:color w:val="auto"/>
        </w:rPr>
      </w:pPr>
    </w:p>
    <w:p>
      <w:pPr>
        <w:ind w:left="2220" w:right="599" w:hanging="313"/>
        <w:spacing w:after="0" w:line="283"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continuously refining our pipeline and investing in high-value discovery, development, and manufacturing capabilities for our next generation product candidates;</w:t>
      </w:r>
    </w:p>
    <w:p>
      <w:pPr>
        <w:spacing w:after="0" w:line="51" w:lineRule="exact"/>
        <w:rPr>
          <w:rFonts w:ascii="Times New Roman" w:cs="Times New Roman" w:eastAsia="Times New Roman" w:hAnsi="Times New Roman"/>
          <w:sz w:val="14"/>
          <w:szCs w:val="14"/>
          <w:color w:val="auto"/>
        </w:rPr>
      </w:pPr>
    </w:p>
    <w:p>
      <w:pPr>
        <w:jc w:val="both"/>
        <w:ind w:left="2220" w:right="419" w:hanging="313"/>
        <w:spacing w:after="0" w:line="267" w:lineRule="auto"/>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prospect, license, and acquire technologies to complement and strengthen our platforms and product candidates, both as single agent and combination therapies, in order to optimize responses of the innate and adaptive immune systems to generate cellular memory against multiple tumor types and infectious diseases; and</w:t>
      </w:r>
    </w:p>
    <w:p>
      <w:pPr>
        <w:spacing w:after="0" w:line="6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cultivating new and expanding existing collaborations for our multi-stage pipeline to reach global scale efficiently.</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25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3380" cy="472567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Approved Product – ANKTIVA</w:t>
      </w:r>
    </w:p>
    <w:p>
      <w:pPr>
        <w:spacing w:after="0" w:line="93" w:lineRule="exact"/>
        <w:rPr>
          <w:sz w:val="20"/>
          <w:szCs w:val="20"/>
          <w:color w:val="auto"/>
        </w:rPr>
      </w:pPr>
    </w:p>
    <w:p>
      <w:pPr>
        <w:ind w:left="1500" w:right="419" w:firstLine="332"/>
        <w:spacing w:after="0" w:line="256" w:lineRule="auto"/>
        <w:rPr>
          <w:sz w:val="20"/>
          <w:szCs w:val="20"/>
          <w:color w:val="auto"/>
        </w:rPr>
      </w:pPr>
      <w:r>
        <w:rPr>
          <w:rFonts w:ascii="Times New Roman" w:cs="Times New Roman" w:eastAsia="Times New Roman" w:hAnsi="Times New Roman"/>
          <w:sz w:val="14"/>
          <w:szCs w:val="14"/>
          <w:color w:val="auto"/>
        </w:rPr>
        <w:t>ANKTIVA is a first-in-class IL-15 receptor superagonist IgG1 fusion complex, consisting of an IL-15 mutant (IL-15N72D) fused with an IL-15 receptor alpha, which binds with high affinity to IL-15 receptors on NK, CD4+, and CD8+ T cells. This fusion complex of ANKTIVA mimics the natural biological properties of the membrane-bound IL-15 receptor alpha, delivering IL-15 by dendritic cells and drives the activation and proliferation of NK cells with the generation of memory killer T cells that have retained immune memory against these tumor clones. The proliferation of the trifecta of these immune killing cells and the activation of trained immune memory results in immunogenic cell death, inducing a state of equilibrium with durable complete responses. ANKTIVA has improved pharmacokinetic properties, longer persistence in lymphoid tissues, and enhanced anti-tumor activity compared to native, non-complexed IL-15 in-vivo.</w:t>
      </w:r>
    </w:p>
    <w:p>
      <w:pPr>
        <w:spacing w:after="0" w:line="144" w:lineRule="exact"/>
        <w:rPr>
          <w:sz w:val="20"/>
          <w:szCs w:val="20"/>
          <w:color w:val="auto"/>
        </w:rPr>
      </w:pPr>
    </w:p>
    <w:p>
      <w:pPr>
        <w:jc w:val="both"/>
        <w:ind w:left="1500" w:right="479" w:firstLine="332"/>
        <w:spacing w:after="0" w:line="267" w:lineRule="auto"/>
        <w:rPr>
          <w:sz w:val="20"/>
          <w:szCs w:val="20"/>
          <w:color w:val="auto"/>
        </w:rPr>
      </w:pPr>
      <w:r>
        <w:rPr>
          <w:rFonts w:ascii="Times New Roman" w:cs="Times New Roman" w:eastAsia="Times New Roman" w:hAnsi="Times New Roman"/>
          <w:sz w:val="14"/>
          <w:szCs w:val="14"/>
          <w:color w:val="auto"/>
        </w:rPr>
        <w:t>ANKTIVA was approved by the FDA in 2024 for use in the U.S. with Bacillus Calmette-Guérin (“BCG”) for the treatment of adult patients with BCG-unresponsive non-muscle invasive bladder cancer with CIS with or without papillary tumors. We began commercial distribution of our approved product in May 2024.</w:t>
      </w:r>
    </w:p>
    <w:p>
      <w:pPr>
        <w:spacing w:after="0" w:line="136" w:lineRule="exact"/>
        <w:rPr>
          <w:sz w:val="20"/>
          <w:szCs w:val="20"/>
          <w:color w:val="auto"/>
        </w:rPr>
      </w:pPr>
    </w:p>
    <w:p>
      <w:pPr>
        <w:jc w:val="both"/>
        <w:ind w:left="1500" w:right="719" w:firstLine="332"/>
        <w:spacing w:after="0" w:line="267" w:lineRule="auto"/>
        <w:rPr>
          <w:sz w:val="20"/>
          <w:szCs w:val="20"/>
          <w:color w:val="auto"/>
        </w:rPr>
      </w:pPr>
      <w:r>
        <w:rPr>
          <w:rFonts w:ascii="Times New Roman" w:cs="Times New Roman" w:eastAsia="Times New Roman" w:hAnsi="Times New Roman"/>
          <w:sz w:val="14"/>
          <w:szCs w:val="14"/>
          <w:color w:val="auto"/>
        </w:rPr>
        <w:t>In July 2025, the UK Medicines and Healthcare products Regulatory Agency (“MHRA”) granted marketing authorization in the UK for ANKTIVA in combination with BCG for the treatment of adult patients with BCG-unresponsive NMIBC with CIS with or without papillary tumors. This is the first marketing approval outside the U.S. for ANKTIVA.</w:t>
      </w:r>
    </w:p>
    <w:p>
      <w:pPr>
        <w:spacing w:after="0" w:line="136"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In December 2025, the European Medicines Agency (“EMA”) recommended granting a conditional marketing authorization in the European Union (“EU”) for ANKTIVA (nogapendekin alfa inbakicept) in combination with BCG for the treatment of BCG-unresponsive NMIBC CIS. Six BCG strains are available in Europe for use in combination with ANKTIVA. The EMA’s opinion will now be forwarded to the European Commission for final approval of EU-wide marketing authorization.</w:t>
      </w:r>
    </w:p>
    <w:p>
      <w:pPr>
        <w:spacing w:after="0" w:line="141" w:lineRule="exact"/>
        <w:rPr>
          <w:sz w:val="20"/>
          <w:szCs w:val="20"/>
          <w:color w:val="auto"/>
        </w:rPr>
      </w:pPr>
    </w:p>
    <w:p>
      <w:pPr>
        <w:ind w:left="1500" w:right="459" w:firstLine="332"/>
        <w:spacing w:after="0" w:line="257" w:lineRule="auto"/>
        <w:rPr>
          <w:sz w:val="20"/>
          <w:szCs w:val="20"/>
          <w:color w:val="auto"/>
        </w:rPr>
      </w:pPr>
      <w:r>
        <w:rPr>
          <w:rFonts w:ascii="Times New Roman" w:cs="Times New Roman" w:eastAsia="Times New Roman" w:hAnsi="Times New Roman"/>
          <w:sz w:val="14"/>
          <w:szCs w:val="14"/>
          <w:color w:val="auto"/>
        </w:rPr>
        <w:t>We believe there is potential for ANKTIVA to become a therapeutic foundation across all phases of treatment, including in adjunctive therapy, to amplify, reactivate or extend the efficacy of standard of care. ANKTIVA is being clinically evaluated in multiple oncology indications. We believe that other oncology indications with registration potential for ANKTIVA include other types of NMIBC (BCG-unresponsive papillary, for which we submitted a supplemental Biologics License Application (“sBLA”) in March 2025 and received a Refuse to File (“RTF”) letter from the FDA in May 2025, which we are continuing to evaluate, BCG-naïve CIS and BCG-naïve papillary), lung, colorectal, prostate and ovarian cancers, and glioblastoma (“GBM”) and non-Hodgkin lymphoma (“NHL”).</w:t>
      </w:r>
    </w:p>
    <w:p>
      <w:pPr>
        <w:spacing w:after="0" w:line="143" w:lineRule="exact"/>
        <w:rPr>
          <w:sz w:val="20"/>
          <w:szCs w:val="20"/>
          <w:color w:val="auto"/>
        </w:rPr>
      </w:pPr>
    </w:p>
    <w:p>
      <w:pPr>
        <w:ind w:left="1500" w:right="439" w:firstLine="332"/>
        <w:spacing w:after="0" w:line="255" w:lineRule="auto"/>
        <w:rPr>
          <w:sz w:val="20"/>
          <w:szCs w:val="20"/>
          <w:color w:val="auto"/>
        </w:rPr>
      </w:pPr>
      <w:r>
        <w:rPr>
          <w:rFonts w:ascii="Times New Roman" w:cs="Times New Roman" w:eastAsia="Times New Roman" w:hAnsi="Times New Roman"/>
          <w:sz w:val="14"/>
          <w:szCs w:val="14"/>
          <w:color w:val="auto"/>
        </w:rPr>
        <w:t>Data from multiple clinical trials suggest ANKTIVA has potential to enhance the activity of therapeutic monoclonal antibodies (“mAbs”), including CPIs (e.g., pembrolizumab/Keytruda), across a wide range of tumor types, including lung cancer. Further, ANKTIVA has been observed to increase lymphocyte count in healthy adults, making it a potential therapy to rescue lymphopenia. We are also exploring or pursuing several other studies of ANKTIVA in combination with our other product candidates, including in prostate cancer (ANKTIVA in combination with human adenovirus serotype 5 (“hAd5”) PSA), colon cancer (ANKTIVA in combination with hAd5 Triple Antigen (CEA, MUC1, Brachyury) (“TriAd”)), GBM (ANKTIVA in combination with programmed death receptor ligand (“PD-L1”) chimeric antigen receptor (“CAR”) CAR-NK (PD-L1 t-haNK)), and NHL (ANKTIVA and/or CAR-NK (CD19 t-haNK) in combination with rituximab). We are also exploring ANKTIVA in infectious diseases, including HIV and Long COVID.</w:t>
      </w:r>
    </w:p>
    <w:p>
      <w:pPr>
        <w:spacing w:after="0" w:line="2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93" w:lineRule="exact"/>
        <w:rPr>
          <w:sz w:val="20"/>
          <w:szCs w:val="20"/>
          <w:color w:val="auto"/>
        </w:rPr>
      </w:pPr>
    </w:p>
    <w:p>
      <w:pPr>
        <w:ind w:left="1500" w:right="479" w:firstLine="332"/>
        <w:spacing w:after="0" w:line="283" w:lineRule="auto"/>
        <w:rPr>
          <w:sz w:val="20"/>
          <w:szCs w:val="20"/>
          <w:color w:val="auto"/>
        </w:rPr>
      </w:pPr>
      <w:r>
        <w:rPr>
          <w:rFonts w:ascii="Times New Roman" w:cs="Times New Roman" w:eastAsia="Times New Roman" w:hAnsi="Times New Roman"/>
          <w:sz w:val="14"/>
          <w:szCs w:val="14"/>
          <w:color w:val="auto"/>
        </w:rPr>
        <w:t>Our proprietary platforms for the development of biologic products and product candidates include: (i) cytokine fusion proteins, (ii) vaccine vectors, and (iii) cell therapies. As of September 2025, our platforms</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030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4030980"/>
                    </a:xfrm>
                    <a:prstGeom prst="rect">
                      <a:avLst/>
                    </a:prstGeom>
                    <a:noFill/>
                  </pic:spPr>
                </pic:pic>
              </a:graphicData>
            </a:graphic>
          </wp:anchor>
        </w:drawing>
      </w:r>
    </w:p>
    <w:p>
      <w:pPr>
        <w:spacing w:after="0" w:line="368" w:lineRule="exact"/>
        <w:rPr>
          <w:sz w:val="20"/>
          <w:szCs w:val="20"/>
          <w:color w:val="auto"/>
        </w:rPr>
      </w:pPr>
    </w:p>
    <w:p>
      <w:pPr>
        <w:ind w:left="1500" w:right="399"/>
        <w:spacing w:after="0" w:line="257" w:lineRule="auto"/>
        <w:rPr>
          <w:sz w:val="20"/>
          <w:szCs w:val="20"/>
          <w:color w:val="auto"/>
        </w:rPr>
      </w:pPr>
      <w:r>
        <w:rPr>
          <w:rFonts w:ascii="Times New Roman" w:cs="Times New Roman" w:eastAsia="Times New Roman" w:hAnsi="Times New Roman"/>
          <w:sz w:val="14"/>
          <w:szCs w:val="14"/>
          <w:color w:val="auto"/>
        </w:rPr>
        <w:t>have generated nine first-in-human therapeutic agents (including one agent approved by the FDA and the MHRA in a specific indication) that are currently or planned to be studied in clinical trials in liquid and solid tumors. Target indications include lymphopenia and bladder, lung, pancreatic, colorectal, ovarian, and prostate cancers, GBM, and NHL, which are among the most frequent and lethal cancer types and where there are high failure rates for existing standards of care or no available effective treatment. We are constantly monitoring and prioritizing clinical development based upon the availability of our resources and the efficacy and market developments of our competitors’ products and product candidates, among other factors.</w:t>
      </w:r>
    </w:p>
    <w:p>
      <w:pPr>
        <w:spacing w:after="0" w:line="143" w:lineRule="exact"/>
        <w:rPr>
          <w:sz w:val="20"/>
          <w:szCs w:val="20"/>
          <w:color w:val="auto"/>
        </w:rPr>
      </w:pPr>
    </w:p>
    <w:p>
      <w:pPr>
        <w:ind w:left="1500" w:right="379" w:firstLine="332"/>
        <w:spacing w:after="0" w:line="256" w:lineRule="auto"/>
        <w:rPr>
          <w:sz w:val="20"/>
          <w:szCs w:val="20"/>
          <w:color w:val="auto"/>
        </w:rPr>
      </w:pPr>
      <w:r>
        <w:rPr>
          <w:rFonts w:ascii="Times New Roman" w:cs="Times New Roman" w:eastAsia="Times New Roman" w:hAnsi="Times New Roman"/>
          <w:sz w:val="14"/>
          <w:szCs w:val="14"/>
          <w:color w:val="auto"/>
        </w:rPr>
        <w:t>Our platforms and their associated approved product and product candidates are designed to attack cancer and infectious pathogens by activating both the innate immune system, including NK cells, dendritic cells, and macrophages, as well as the adaptive immune system comprising B and T cells, 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CPIs, by turning immunologically cold, major histocompatibility complex (“MHC”)-deficient tumors into hot tumors, and/or reducing the need for standard high-dose chemotherapy in cancer by employing a coordinated approach to establish “immunological memory” that confers long-term benefit for the patient.</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93" w:lineRule="exact"/>
        <w:rPr>
          <w:sz w:val="20"/>
          <w:szCs w:val="20"/>
          <w:color w:val="auto"/>
        </w:rPr>
      </w:pPr>
    </w:p>
    <w:p>
      <w:pPr>
        <w:ind w:left="1500" w:right="579" w:firstLine="332"/>
        <w:spacing w:after="0" w:line="283" w:lineRule="auto"/>
        <w:rPr>
          <w:sz w:val="20"/>
          <w:szCs w:val="20"/>
          <w:color w:val="auto"/>
        </w:rPr>
      </w:pPr>
      <w:r>
        <w:rPr>
          <w:rFonts w:ascii="Times New Roman" w:cs="Times New Roman" w:eastAsia="Times New Roman" w:hAnsi="Times New Roman"/>
          <w:sz w:val="14"/>
          <w:szCs w:val="14"/>
          <w:color w:val="auto"/>
        </w:rPr>
        <w:t>For additional information related to our business and operations, please refer to the reports incorporated herein by reference, as described under the caption “</w:t>
      </w:r>
      <w:r>
        <w:rPr>
          <w:rFonts w:ascii="Times New Roman" w:cs="Times New Roman" w:eastAsia="Times New Roman" w:hAnsi="Times New Roman"/>
          <w:sz w:val="14"/>
          <w:szCs w:val="14"/>
          <w:u w:val="single" w:color="auto"/>
          <w:color w:val="0000EE"/>
        </w:rPr>
        <w:t>Information Incorporated by Reference</w:t>
      </w:r>
      <w:r>
        <w:rPr>
          <w:rFonts w:ascii="Times New Roman" w:cs="Times New Roman" w:eastAsia="Times New Roman" w:hAnsi="Times New Roman"/>
          <w:sz w:val="14"/>
          <w:szCs w:val="14"/>
          <w:color w:val="auto"/>
        </w:rPr>
        <w:t>” on page S-21 of this prospectus supplement.</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color w:val="auto"/>
        </w:rPr>
        <w:t xml:space="preserve">ImmunityBio, Inc. is incorporated in Delaware and its principal executive offices are located at 3530 John Hopkins Court, San Diego, California 92121. Our telephone number is (844) 696-5235. Our website address is </w:t>
      </w:r>
      <w:r>
        <w:rPr>
          <w:rFonts w:ascii="Times New Roman" w:cs="Times New Roman" w:eastAsia="Times New Roman" w:hAnsi="Times New Roman"/>
          <w:sz w:val="14"/>
          <w:szCs w:val="14"/>
          <w:i w:val="1"/>
          <w:iCs w:val="1"/>
          <w:color w:val="auto"/>
        </w:rPr>
        <w:t>www.immunitybio.com</w:t>
      </w:r>
      <w:r>
        <w:rPr>
          <w:rFonts w:ascii="Times New Roman" w:cs="Times New Roman" w:eastAsia="Times New Roman" w:hAnsi="Times New Roman"/>
          <w:sz w:val="14"/>
          <w:szCs w:val="14"/>
          <w:color w:val="auto"/>
        </w:rPr>
        <w:t>. Information contained on, or that can be accessed through, our website is not part of, and is not incorporated by reference into this prospectus supplement and you should not consider information on, or that can be accessed through, our website to be part of this prospectus supplement. Inclusion of our website address in this prospectus supplement is an inactive textual reference only. Investors should not rely on any such information in deciding whether to purchase our securities.</w:t>
      </w:r>
    </w:p>
    <w:p>
      <w:pPr>
        <w:spacing w:after="0" w:line="143" w:lineRule="exact"/>
        <w:rPr>
          <w:sz w:val="20"/>
          <w:szCs w:val="20"/>
          <w:color w:val="auto"/>
        </w:rPr>
      </w:pPr>
    </w:p>
    <w:p>
      <w:pPr>
        <w:ind w:left="1500" w:right="379" w:firstLine="332"/>
        <w:spacing w:after="0" w:line="236" w:lineRule="auto"/>
        <w:rPr>
          <w:sz w:val="20"/>
          <w:szCs w:val="20"/>
          <w:color w:val="auto"/>
        </w:rPr>
      </w:pPr>
      <w:r>
        <w:rPr>
          <w:rFonts w:ascii="Times New Roman" w:cs="Times New Roman" w:eastAsia="Times New Roman" w:hAnsi="Times New Roman"/>
          <w:sz w:val="14"/>
          <w:szCs w:val="14"/>
          <w:color w:val="auto"/>
        </w:rPr>
        <w:t xml:space="preserve">We use ImmunityBio, the ImmunityBio logo, and other marks as trademarks in the United States and other countries. This prospectus supplement and the other documents incorporated by reference contain references to our trademarks and service marks and to those belonging to other entities. Solely for convenience, trademarks and trade names referred to in this prospectus supplement and the other documents incorporated by reference, including logos, artwork, and other visual displays,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919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4919345"/>
                    </a:xfrm>
                    <a:prstGeom prst="rect">
                      <a:avLst/>
                    </a:prstGeom>
                    <a:noFill/>
                  </pic:spPr>
                </pic:pic>
              </a:graphicData>
            </a:graphic>
          </wp:anchor>
        </w:drawing>
      </w:r>
    </w:p>
    <w:p>
      <w:pPr>
        <w:spacing w:after="0" w:line="3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0159"/>
          </w:cols>
          <w:pgMar w:left="300" w:top="386" w:right="1440" w:bottom="1440" w:gutter="0" w:footer="0" w:header="0"/>
        </w:sectPr>
      </w:pPr>
    </w:p>
    <w:p>
      <w:pPr>
        <w:spacing w:after="0" w:line="196" w:lineRule="exact"/>
        <w:rPr>
          <w:sz w:val="20"/>
          <w:szCs w:val="20"/>
          <w:color w:val="auto"/>
        </w:rPr>
      </w:pPr>
    </w:p>
    <w:p>
      <w:pPr>
        <w:ind w:left="1560" w:hanging="61"/>
        <w:spacing w:after="0" w:line="286" w:lineRule="auto"/>
        <w:rPr>
          <w:sz w:val="20"/>
          <w:szCs w:val="20"/>
          <w:color w:val="auto"/>
        </w:rPr>
      </w:pPr>
      <w:r>
        <w:rPr>
          <w:rFonts w:ascii="Times New Roman" w:cs="Times New Roman" w:eastAsia="Times New Roman" w:hAnsi="Times New Roman"/>
          <w:sz w:val="14"/>
          <w:szCs w:val="14"/>
          <w:b w:val="1"/>
          <w:bCs w:val="1"/>
          <w:color w:val="auto"/>
        </w:rPr>
        <w:t>Common stock offered by this prospectus supplement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Shares of our common stock having an aggregate offering price up to $459,972,480.</w:t>
      </w:r>
    </w:p>
    <w:p>
      <w:pPr>
        <w:spacing w:after="0" w:line="384" w:lineRule="exact"/>
        <w:rPr>
          <w:sz w:val="20"/>
          <w:szCs w:val="20"/>
          <w:color w:val="auto"/>
        </w:rPr>
      </w:pPr>
    </w:p>
    <w:p>
      <w:pPr>
        <w:sectPr>
          <w:pgSz w:w="11900" w:h="16838" w:orient="portrait"/>
          <w:cols w:equalWidth="0" w:num="2">
            <w:col w:w="3980" w:space="660"/>
            <w:col w:w="5519"/>
          </w:cols>
          <w:pgMar w:left="300" w:top="386" w:right="1440" w:bottom="1440" w:gutter="0" w:footer="0" w:header="0"/>
          <w:type w:val="continuous"/>
        </w:sectPr>
      </w:pPr>
    </w:p>
    <w:p>
      <w:pPr>
        <w:jc w:val="both"/>
        <w:ind w:left="4640" w:right="419" w:hanging="3141"/>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Common stock to be outstanding after this offering </w:t>
      </w:r>
      <w:r>
        <w:rPr>
          <w:rFonts w:ascii="Times New Roman" w:cs="Times New Roman" w:eastAsia="Times New Roman" w:hAnsi="Times New Roman"/>
          <w:sz w:val="14"/>
          <w:szCs w:val="14"/>
          <w:color w:val="auto"/>
        </w:rPr>
        <w:t>Up to 1,187,596,227 shares, assuming sales of 202,631,048 shares of our common stock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offering at an offering price of $2.27 per share, the closing price of our common stock on Nasdaq on December 22, 2025. The actual number of shares issued will vary depending on the sales price under this offering.</w:t>
      </w:r>
    </w:p>
    <w:p>
      <w:pPr>
        <w:spacing w:after="0" w:line="159"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Manner of offering</w:t>
            </w: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“At-the-market” offering that may be made from time to time through our sales agent,</w:t>
            </w: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6120" w:type="dxa"/>
            <w:vAlign w:val="bottom"/>
            <w:gridSpan w:val="7"/>
          </w:tcPr>
          <w:p>
            <w:pPr>
              <w:ind w:left="1000"/>
              <w:spacing w:after="0" w:line="151" w:lineRule="exact"/>
              <w:rPr>
                <w:sz w:val="20"/>
                <w:szCs w:val="20"/>
                <w:color w:val="auto"/>
              </w:rPr>
            </w:pPr>
            <w:r>
              <w:rPr>
                <w:rFonts w:ascii="Times New Roman" w:cs="Times New Roman" w:eastAsia="Times New Roman" w:hAnsi="Times New Roman"/>
                <w:sz w:val="14"/>
                <w:szCs w:val="14"/>
                <w:color w:val="auto"/>
              </w:rPr>
              <w:t>Jefferies. See the section titled “</w:t>
            </w:r>
            <w:r>
              <w:rPr>
                <w:rFonts w:ascii="Times New Roman" w:cs="Times New Roman" w:eastAsia="Times New Roman" w:hAnsi="Times New Roman"/>
                <w:sz w:val="14"/>
                <w:szCs w:val="14"/>
                <w:color w:val="0000EE"/>
              </w:rPr>
              <w:t>Plan of Distribution</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28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140" w:type="dxa"/>
            <w:vAlign w:val="bottom"/>
            <w:vMerge w:val="continue"/>
          </w:tcPr>
          <w:p>
            <w:pPr>
              <w:spacing w:after="0"/>
              <w:rPr>
                <w:sz w:val="24"/>
                <w:szCs w:val="24"/>
                <w:color w:val="auto"/>
              </w:rPr>
            </w:pP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w w:val="99"/>
              </w:rPr>
              <w:t>We currently intend to use the net proceeds from this offering, together with other available</w:t>
            </w:r>
          </w:p>
        </w:tc>
        <w:tc>
          <w:tcPr>
            <w:tcW w:w="0" w:type="dxa"/>
            <w:vAlign w:val="bottom"/>
          </w:tcPr>
          <w:p>
            <w:pPr>
              <w:spacing w:after="0"/>
              <w:rPr>
                <w:sz w:val="1"/>
                <w:szCs w:val="1"/>
                <w:color w:val="auto"/>
              </w:rPr>
            </w:pPr>
          </w:p>
        </w:tc>
      </w:tr>
      <w:tr>
        <w:trPr>
          <w:trHeight w:val="168"/>
        </w:trPr>
        <w:tc>
          <w:tcPr>
            <w:tcW w:w="2140" w:type="dxa"/>
            <w:vAlign w:val="bottom"/>
          </w:tcPr>
          <w:p>
            <w:pPr>
              <w:spacing w:after="0"/>
              <w:rPr>
                <w:sz w:val="14"/>
                <w:szCs w:val="14"/>
                <w:color w:val="auto"/>
              </w:rPr>
            </w:pP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w w:val="99"/>
              </w:rPr>
              <w:t>funds, to progress our continued commercialization of ANKTIVA, to fund our clinical trial</w:t>
            </w:r>
          </w:p>
        </w:tc>
        <w:tc>
          <w:tcPr>
            <w:tcW w:w="0" w:type="dxa"/>
            <w:vAlign w:val="bottom"/>
          </w:tcPr>
          <w:p>
            <w:pPr>
              <w:spacing w:after="0"/>
              <w:rPr>
                <w:sz w:val="1"/>
                <w:szCs w:val="1"/>
                <w:color w:val="auto"/>
              </w:rPr>
            </w:pPr>
          </w:p>
        </w:tc>
      </w:tr>
      <w:tr>
        <w:trPr>
          <w:trHeight w:val="168"/>
        </w:trPr>
        <w:tc>
          <w:tcPr>
            <w:tcW w:w="2140" w:type="dxa"/>
            <w:vAlign w:val="bottom"/>
          </w:tcPr>
          <w:p>
            <w:pPr>
              <w:spacing w:after="0"/>
              <w:rPr>
                <w:sz w:val="14"/>
                <w:szCs w:val="14"/>
                <w:color w:val="auto"/>
              </w:rPr>
            </w:pP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programs, toward further research and development, for working capital needs, and for</w:t>
            </w:r>
          </w:p>
        </w:tc>
        <w:tc>
          <w:tcPr>
            <w:tcW w:w="0" w:type="dxa"/>
            <w:vAlign w:val="bottom"/>
          </w:tcPr>
          <w:p>
            <w:pPr>
              <w:spacing w:after="0"/>
              <w:rPr>
                <w:sz w:val="1"/>
                <w:szCs w:val="1"/>
                <w:color w:val="auto"/>
              </w:rPr>
            </w:pPr>
          </w:p>
        </w:tc>
      </w:tr>
      <w:tr>
        <w:trPr>
          <w:trHeight w:val="168"/>
        </w:trPr>
        <w:tc>
          <w:tcPr>
            <w:tcW w:w="2140" w:type="dxa"/>
            <w:vAlign w:val="bottom"/>
          </w:tcPr>
          <w:p>
            <w:pPr>
              <w:spacing w:after="0"/>
              <w:rPr>
                <w:sz w:val="14"/>
                <w:szCs w:val="14"/>
                <w:color w:val="auto"/>
              </w:rPr>
            </w:pP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other general corporate purposes. We may also use a portion of the net proceeds to license</w:t>
            </w: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6120" w:type="dxa"/>
            <w:vAlign w:val="bottom"/>
            <w:gridSpan w:val="7"/>
          </w:tcPr>
          <w:p>
            <w:pPr>
              <w:ind w:left="1000"/>
              <w:spacing w:after="0" w:line="151" w:lineRule="exact"/>
              <w:rPr>
                <w:sz w:val="20"/>
                <w:szCs w:val="20"/>
                <w:color w:val="auto"/>
              </w:rPr>
            </w:pPr>
            <w:r>
              <w:rPr>
                <w:rFonts w:ascii="Times New Roman" w:cs="Times New Roman" w:eastAsia="Times New Roman" w:hAnsi="Times New Roman"/>
                <w:sz w:val="14"/>
                <w:szCs w:val="14"/>
                <w:color w:val="auto"/>
              </w:rPr>
              <w:t>intellectual property or to make acquisitions or investments. See “</w:t>
            </w:r>
            <w:r>
              <w:rPr>
                <w:rFonts w:ascii="Times New Roman" w:cs="Times New Roman" w:eastAsia="Times New Roman" w:hAnsi="Times New Roman"/>
                <w:sz w:val="14"/>
                <w:szCs w:val="14"/>
                <w:color w:val="0000EE"/>
              </w:rPr>
              <w:t>Use of Proceeds</w:t>
            </w:r>
            <w:r>
              <w:rPr>
                <w:rFonts w:ascii="Times New Roman" w:cs="Times New Roman" w:eastAsia="Times New Roman" w:hAnsi="Times New Roman"/>
                <w:sz w:val="14"/>
                <w:szCs w:val="14"/>
                <w:color w:val="auto"/>
              </w:rPr>
              <w:t>” for</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4700" w:type="dxa"/>
            <w:vAlign w:val="bottom"/>
            <w:gridSpan w:val="3"/>
          </w:tcPr>
          <w:p>
            <w:pPr>
              <w:ind w:left="1000"/>
              <w:spacing w:after="0"/>
              <w:rPr>
                <w:sz w:val="20"/>
                <w:szCs w:val="20"/>
                <w:color w:val="auto"/>
              </w:rPr>
            </w:pPr>
            <w:r>
              <w:rPr>
                <w:rFonts w:ascii="Times New Roman" w:cs="Times New Roman" w:eastAsia="Times New Roman" w:hAnsi="Times New Roman"/>
                <w:sz w:val="14"/>
                <w:szCs w:val="14"/>
                <w:color w:val="auto"/>
              </w:rPr>
              <w:t>additional information.</w:t>
            </w:r>
          </w:p>
        </w:tc>
        <w:tc>
          <w:tcPr>
            <w:tcW w:w="900" w:type="dxa"/>
            <w:vAlign w:val="bottom"/>
            <w:tcBorders>
              <w:top w:val="single" w:sz="8" w:color="0000EE"/>
            </w:tcBorders>
            <w:gridSpan w:val="2"/>
          </w:tcPr>
          <w:p>
            <w:pPr>
              <w:spacing w:after="0"/>
              <w:rPr>
                <w:sz w:val="15"/>
                <w:szCs w:val="15"/>
                <w:color w:val="auto"/>
              </w:rPr>
            </w:pPr>
          </w:p>
        </w:tc>
        <w:tc>
          <w:tcPr>
            <w:tcW w:w="5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Dividend policy</w:t>
            </w: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We do not anticipate paying any cash dividends on our common stock.</w:t>
            </w:r>
          </w:p>
        </w:tc>
        <w:tc>
          <w:tcPr>
            <w:tcW w:w="0" w:type="dxa"/>
            <w:vAlign w:val="bottom"/>
          </w:tcPr>
          <w:p>
            <w:pPr>
              <w:spacing w:after="0"/>
              <w:rPr>
                <w:sz w:val="1"/>
                <w:szCs w:val="1"/>
                <w:color w:val="auto"/>
              </w:rPr>
            </w:pPr>
          </w:p>
        </w:tc>
      </w:tr>
      <w:tr>
        <w:trPr>
          <w:trHeight w:val="368"/>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Market symbol</w:t>
            </w: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Our common stock is listed on Nasdaq under the symbol “IBRX”</w:t>
            </w:r>
          </w:p>
        </w:tc>
        <w:tc>
          <w:tcPr>
            <w:tcW w:w="0" w:type="dxa"/>
            <w:vAlign w:val="bottom"/>
          </w:tcPr>
          <w:p>
            <w:pPr>
              <w:spacing w:after="0"/>
              <w:rPr>
                <w:sz w:val="1"/>
                <w:szCs w:val="1"/>
                <w:color w:val="auto"/>
              </w:rPr>
            </w:pPr>
          </w:p>
        </w:tc>
      </w:tr>
      <w:tr>
        <w:trPr>
          <w:trHeight w:val="336"/>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Investing in our securities involves significant risks. You should read the “</w:t>
            </w:r>
            <w:r>
              <w:rPr>
                <w:rFonts w:ascii="Times New Roman" w:cs="Times New Roman" w:eastAsia="Times New Roman" w:hAnsi="Times New Roman"/>
                <w:sz w:val="14"/>
                <w:szCs w:val="14"/>
                <w:color w:val="0000EE"/>
              </w:rPr>
              <w:t>Risk Factors</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140" w:type="dxa"/>
            <w:vAlign w:val="bottom"/>
          </w:tcPr>
          <w:p>
            <w:pPr>
              <w:spacing w:after="0"/>
              <w:rPr>
                <w:sz w:val="14"/>
                <w:szCs w:val="14"/>
                <w:color w:val="auto"/>
              </w:rPr>
            </w:pP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section of this prospectus supplement and in the documents incorporated by reference in</w:t>
            </w:r>
          </w:p>
        </w:tc>
        <w:tc>
          <w:tcPr>
            <w:tcW w:w="0" w:type="dxa"/>
            <w:vAlign w:val="bottom"/>
          </w:tcPr>
          <w:p>
            <w:pPr>
              <w:spacing w:after="0"/>
              <w:rPr>
                <w:sz w:val="1"/>
                <w:szCs w:val="1"/>
                <w:color w:val="auto"/>
              </w:rPr>
            </w:pPr>
          </w:p>
        </w:tc>
      </w:tr>
      <w:tr>
        <w:trPr>
          <w:trHeight w:val="168"/>
        </w:trPr>
        <w:tc>
          <w:tcPr>
            <w:tcW w:w="2140" w:type="dxa"/>
            <w:vAlign w:val="bottom"/>
          </w:tcPr>
          <w:p>
            <w:pPr>
              <w:spacing w:after="0"/>
              <w:rPr>
                <w:sz w:val="14"/>
                <w:szCs w:val="14"/>
                <w:color w:val="auto"/>
              </w:rPr>
            </w:pP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this prospectus supplement for a discussion of factors that you should carefully read and</w:t>
            </w:r>
          </w:p>
        </w:tc>
        <w:tc>
          <w:tcPr>
            <w:tcW w:w="0" w:type="dxa"/>
            <w:vAlign w:val="bottom"/>
          </w:tcPr>
          <w:p>
            <w:pPr>
              <w:spacing w:after="0"/>
              <w:rPr>
                <w:sz w:val="1"/>
                <w:szCs w:val="1"/>
                <w:color w:val="auto"/>
              </w:rPr>
            </w:pPr>
          </w:p>
        </w:tc>
      </w:tr>
      <w:tr>
        <w:trPr>
          <w:trHeight w:val="183"/>
        </w:trPr>
        <w:tc>
          <w:tcPr>
            <w:tcW w:w="2140" w:type="dxa"/>
            <w:vAlign w:val="bottom"/>
          </w:tcPr>
          <w:p>
            <w:pPr>
              <w:spacing w:after="0"/>
              <w:rPr>
                <w:sz w:val="15"/>
                <w:szCs w:val="15"/>
                <w:color w:val="auto"/>
              </w:rPr>
            </w:pPr>
          </w:p>
        </w:tc>
        <w:tc>
          <w:tcPr>
            <w:tcW w:w="6120" w:type="dxa"/>
            <w:vAlign w:val="bottom"/>
            <w:gridSpan w:val="7"/>
          </w:tcPr>
          <w:p>
            <w:pPr>
              <w:ind w:left="1000"/>
              <w:spacing w:after="0"/>
              <w:rPr>
                <w:sz w:val="20"/>
                <w:szCs w:val="20"/>
                <w:color w:val="auto"/>
              </w:rPr>
            </w:pPr>
            <w:r>
              <w:rPr>
                <w:rFonts w:ascii="Times New Roman" w:cs="Times New Roman" w:eastAsia="Times New Roman" w:hAnsi="Times New Roman"/>
                <w:sz w:val="14"/>
                <w:szCs w:val="14"/>
                <w:color w:val="auto"/>
              </w:rPr>
              <w:t>consider before deciding to invest in our common stock.</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Outstanding Shares</w:t>
      </w:r>
    </w:p>
    <w:p>
      <w:pPr>
        <w:spacing w:after="0" w:line="93" w:lineRule="exact"/>
        <w:rPr>
          <w:sz w:val="20"/>
          <w:szCs w:val="20"/>
          <w:color w:val="auto"/>
        </w:rPr>
      </w:pPr>
    </w:p>
    <w:p>
      <w:pPr>
        <w:ind w:left="1500" w:right="679" w:firstLine="332"/>
        <w:spacing w:after="0" w:line="283" w:lineRule="auto"/>
        <w:rPr>
          <w:sz w:val="20"/>
          <w:szCs w:val="20"/>
          <w:color w:val="auto"/>
        </w:rPr>
      </w:pPr>
      <w:r>
        <w:rPr>
          <w:rFonts w:ascii="Times New Roman" w:cs="Times New Roman" w:eastAsia="Times New Roman" w:hAnsi="Times New Roman"/>
          <w:sz w:val="14"/>
          <w:szCs w:val="14"/>
          <w:color w:val="auto"/>
        </w:rPr>
        <w:t>Unless we indicate otherwise, all information in this prospectus supplement is based on 984,965,179 shares of common stock issued and outstanding as of September 30, 2025 and excludes as of that date:</w:t>
      </w:r>
    </w:p>
    <w:p>
      <w:pPr>
        <w:spacing w:after="0" w:line="51" w:lineRule="exact"/>
        <w:rPr>
          <w:sz w:val="20"/>
          <w:szCs w:val="20"/>
          <w:color w:val="auto"/>
        </w:rPr>
      </w:pPr>
    </w:p>
    <w:p>
      <w:pPr>
        <w:ind w:left="2220" w:right="659" w:hanging="313"/>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 shares issued to GlobeImmune, Inc., our consolidated subsidiary, which are treated as treasury stock for purposes of U.S. generally accepted accounting principles;</w:t>
      </w:r>
    </w:p>
    <w:p>
      <w:pPr>
        <w:spacing w:after="0" w:line="51" w:lineRule="exact"/>
        <w:rPr>
          <w:rFonts w:ascii="Times New Roman" w:cs="Times New Roman" w:eastAsia="Times New Roman" w:hAnsi="Times New Roman"/>
          <w:sz w:val="14"/>
          <w:szCs w:val="14"/>
          <w:color w:val="auto"/>
        </w:rPr>
      </w:pPr>
    </w:p>
    <w:p>
      <w:pPr>
        <w:ind w:left="2220" w:right="719" w:hanging="313"/>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24,402,861 shares of our common stock issuable upon exercise of options to purchase common stock that were outstanding as of September 30, 2025;</w:t>
      </w:r>
    </w:p>
    <w:p>
      <w:pPr>
        <w:spacing w:after="0" w:line="51" w:lineRule="exact"/>
        <w:rPr>
          <w:rFonts w:ascii="Times New Roman" w:cs="Times New Roman" w:eastAsia="Times New Roman" w:hAnsi="Times New Roman"/>
          <w:sz w:val="14"/>
          <w:szCs w:val="14"/>
          <w:color w:val="auto"/>
        </w:rPr>
      </w:pPr>
    </w:p>
    <w:p>
      <w:pPr>
        <w:ind w:left="2220" w:right="839" w:hanging="313"/>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8,862,839 shares of our common stock issuable upon the vesting of restricted stock units (“RSUs”) that were outstanding as of September 30, 2025;</w:t>
      </w:r>
    </w:p>
    <w:p>
      <w:pPr>
        <w:spacing w:after="0" w:line="51" w:lineRule="exact"/>
        <w:rPr>
          <w:rFonts w:ascii="Times New Roman" w:cs="Times New Roman" w:eastAsia="Times New Roman" w:hAnsi="Times New Roman"/>
          <w:sz w:val="14"/>
          <w:szCs w:val="14"/>
          <w:color w:val="auto"/>
        </w:rPr>
      </w:pPr>
    </w:p>
    <w:p>
      <w:pPr>
        <w:ind w:left="2220" w:right="959" w:hanging="313"/>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1,638,000 shares of our common stock subject to an outstanding warrant that will become exercisable if certain performance conditions are satisfied at an exercise price of $3.24 per share;</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6"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037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4037965"/>
                    </a:xfrm>
                    <a:prstGeom prst="rect">
                      <a:avLst/>
                    </a:prstGeom>
                    <a:noFill/>
                  </pic:spPr>
                </pic:pic>
              </a:graphicData>
            </a:graphic>
          </wp:anchor>
        </w:drawing>
      </w:r>
    </w:p>
    <w:p>
      <w:pPr>
        <w:spacing w:after="0" w:line="368" w:lineRule="exact"/>
        <w:rPr>
          <w:sz w:val="20"/>
          <w:szCs w:val="20"/>
          <w:color w:val="auto"/>
        </w:rPr>
      </w:pPr>
    </w:p>
    <w:p>
      <w:pPr>
        <w:ind w:left="2220" w:right="639" w:hanging="313"/>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46,920,885 shares of our common stock that were reserved for future issuance under the ImmunityBio, Inc. 2025 Equity Incentive Plan (the “2025 Plan”);</w:t>
      </w:r>
    </w:p>
    <w:p>
      <w:pPr>
        <w:spacing w:after="0" w:line="51" w:lineRule="exact"/>
        <w:rPr>
          <w:rFonts w:ascii="Times New Roman" w:cs="Times New Roman" w:eastAsia="Times New Roman" w:hAnsi="Times New Roman"/>
          <w:sz w:val="14"/>
          <w:szCs w:val="14"/>
          <w:color w:val="auto"/>
        </w:rPr>
      </w:pPr>
    </w:p>
    <w:p>
      <w:pPr>
        <w:ind w:left="2220" w:right="419" w:hanging="313"/>
        <w:spacing w:after="0" w:line="261"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issuable to the former stockholders of Altor Bioscience, LLC (“Altor”), including Dr. Soon-Shiong and certain affiliates, in satisfaction of an aggregate of approximately $304.0 million in contingent value rights (“CVRs”), which such stockholders may choose to receive in shares of our common stock, upon the first calendar year prior to December 31, 2026 in which worldwide net sales of ANKTIVA exceed $1.0 billion;</w:t>
      </w:r>
    </w:p>
    <w:p>
      <w:pPr>
        <w:spacing w:after="0" w:line="67" w:lineRule="exact"/>
        <w:rPr>
          <w:rFonts w:ascii="Times New Roman" w:cs="Times New Roman" w:eastAsia="Times New Roman" w:hAnsi="Times New Roman"/>
          <w:sz w:val="14"/>
          <w:szCs w:val="14"/>
          <w:color w:val="auto"/>
        </w:rPr>
      </w:pPr>
    </w:p>
    <w:p>
      <w:pPr>
        <w:ind w:left="2220" w:right="519" w:hanging="313"/>
        <w:spacing w:after="0" w:line="267"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that may be issued upon conversion of the $505.0 million promissory note due December 31, 2027, issued to Nant Capital, LLC, an affiliate of Dr. Soon-Shiong, pursuant to which all principal shall be convertible in full (and not partially) into shares of our common stock at the holder’s option at a price per share of $5.4270;</w:t>
      </w:r>
    </w:p>
    <w:p>
      <w:pPr>
        <w:spacing w:after="0" w:line="61" w:lineRule="exact"/>
        <w:rPr>
          <w:rFonts w:ascii="Times New Roman" w:cs="Times New Roman" w:eastAsia="Times New Roman" w:hAnsi="Times New Roman"/>
          <w:sz w:val="14"/>
          <w:szCs w:val="14"/>
          <w:color w:val="auto"/>
        </w:rPr>
      </w:pPr>
    </w:p>
    <w:p>
      <w:pPr>
        <w:ind w:left="2220" w:right="699" w:hanging="313"/>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2,814,523 shares of our common stock issuable upon the exercise of the warrants included in our February 2023 registered direct offering (“RDO”) at an exercise price of $3.2946 per share;</w:t>
      </w:r>
    </w:p>
    <w:p>
      <w:pPr>
        <w:spacing w:after="0" w:line="5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3,584,648 shares of our common stock issuable upon the exercise of the warrants included in our July 2023 RDO at an exercise price of $3.2946 per share;</w:t>
      </w:r>
    </w:p>
    <w:p>
      <w:pPr>
        <w:spacing w:after="0" w:line="51" w:lineRule="exact"/>
        <w:rPr>
          <w:rFonts w:ascii="Times New Roman" w:cs="Times New Roman" w:eastAsia="Times New Roman" w:hAnsi="Times New Roman"/>
          <w:sz w:val="14"/>
          <w:szCs w:val="14"/>
          <w:color w:val="auto"/>
        </w:rPr>
      </w:pPr>
    </w:p>
    <w:p>
      <w:pPr>
        <w:ind w:left="2220" w:right="659" w:hanging="313"/>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29,024,768 shares of our common stock issuable upon the exercise of the warrants included in our April 2025 RDO at an exercise price of $3.1010 per share;</w:t>
      </w:r>
    </w:p>
    <w:p>
      <w:pPr>
        <w:spacing w:after="0" w:line="51" w:lineRule="exact"/>
        <w:rPr>
          <w:rFonts w:ascii="Times New Roman" w:cs="Times New Roman" w:eastAsia="Times New Roman" w:hAnsi="Times New Roman"/>
          <w:sz w:val="14"/>
          <w:szCs w:val="14"/>
          <w:color w:val="auto"/>
        </w:rPr>
      </w:pPr>
    </w:p>
    <w:p>
      <w:pPr>
        <w:ind w:left="2220" w:right="399" w:hanging="313"/>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29,629,632 shares of our common stock issuable upon the exercise of the warrants included in our July 2025 RDO at an exercise price of $3.240 per share; and</w:t>
      </w:r>
    </w:p>
    <w:p>
      <w:pPr>
        <w:spacing w:after="0" w:line="51" w:lineRule="exact"/>
        <w:rPr>
          <w:rFonts w:ascii="Times New Roman" w:cs="Times New Roman" w:eastAsia="Times New Roman" w:hAnsi="Times New Roman"/>
          <w:sz w:val="14"/>
          <w:szCs w:val="14"/>
          <w:color w:val="auto"/>
        </w:rPr>
      </w:pPr>
    </w:p>
    <w:p>
      <w:pPr>
        <w:ind w:left="2220" w:right="479" w:hanging="313"/>
        <w:spacing w:after="0" w:line="258"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that may be issued upon the exercise of the $5.0 million option held by Oberland Capital Management LLC and its affiliates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w:t>
      </w:r>
    </w:p>
    <w:p>
      <w:pPr>
        <w:spacing w:after="0" w:line="144" w:lineRule="exact"/>
        <w:rPr>
          <w:sz w:val="20"/>
          <w:szCs w:val="20"/>
          <w:color w:val="auto"/>
        </w:rPr>
      </w:pPr>
    </w:p>
    <w:p>
      <w:pPr>
        <w:ind w:left="1500" w:right="819" w:firstLine="332"/>
        <w:spacing w:after="0" w:line="283" w:lineRule="auto"/>
        <w:rPr>
          <w:sz w:val="20"/>
          <w:szCs w:val="20"/>
          <w:color w:val="auto"/>
        </w:rPr>
      </w:pPr>
      <w:r>
        <w:rPr>
          <w:rFonts w:ascii="Times New Roman" w:cs="Times New Roman" w:eastAsia="Times New Roman" w:hAnsi="Times New Roman"/>
          <w:sz w:val="14"/>
          <w:szCs w:val="14"/>
          <w:color w:val="auto"/>
        </w:rPr>
        <w:t>The number of shares of common stock issued and outstanding as of September 30, 2025 also excludes the following transactions and approvals that occurred after September 30, 2025:</w:t>
      </w:r>
    </w:p>
    <w:p>
      <w:pPr>
        <w:spacing w:after="0" w:line="51" w:lineRule="exact"/>
        <w:rPr>
          <w:sz w:val="20"/>
          <w:szCs w:val="20"/>
          <w:color w:val="auto"/>
        </w:rPr>
      </w:pPr>
    </w:p>
    <w:p>
      <w:pPr>
        <w:ind w:left="2220" w:hanging="313"/>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26,326,386 shares of our common stock issued under the sale agreement after September 30, 2025; and</w:t>
      </w:r>
    </w:p>
    <w:p>
      <w:pPr>
        <w:spacing w:after="0" w:line="101" w:lineRule="exact"/>
        <w:rPr>
          <w:rFonts w:ascii="Times New Roman" w:cs="Times New Roman" w:eastAsia="Times New Roman" w:hAnsi="Times New Roman"/>
          <w:sz w:val="14"/>
          <w:szCs w:val="14"/>
          <w:color w:val="auto"/>
        </w:rPr>
      </w:pPr>
    </w:p>
    <w:p>
      <w:pPr>
        <w:ind w:left="2220" w:right="81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issuable upon the exercise of options to purchase our common stock or vesting of RSUs that were granted subsequent to September 30, 2025.</w:t>
      </w:r>
    </w:p>
    <w:p>
      <w:pPr>
        <w:spacing w:after="0" w:line="125" w:lineRule="exact"/>
        <w:rPr>
          <w:sz w:val="20"/>
          <w:szCs w:val="20"/>
          <w:color w:val="auto"/>
        </w:rPr>
      </w:pPr>
    </w:p>
    <w:p>
      <w:pPr>
        <w:ind w:left="1500" w:right="599" w:firstLine="332"/>
        <w:spacing w:after="0" w:line="283" w:lineRule="auto"/>
        <w:rPr>
          <w:sz w:val="20"/>
          <w:szCs w:val="20"/>
          <w:color w:val="auto"/>
        </w:rPr>
      </w:pPr>
      <w:r>
        <w:rPr>
          <w:rFonts w:ascii="Times New Roman" w:cs="Times New Roman" w:eastAsia="Times New Roman" w:hAnsi="Times New Roman"/>
          <w:sz w:val="14"/>
          <w:szCs w:val="14"/>
          <w:color w:val="auto"/>
        </w:rPr>
        <w:t>In addition, unless we specifically state otherwise, all information in this prospectus supplement assumes no exercise of outstanding stock options or warrants, or settlement of outstanding RSUs described above subsequent to September 30, 2025.</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Investing in our securities involves significant risk. Before deciding whether to invest in our common stock, you should consider carefully, among other matters, the risks and uncertainties described under the heading “</w:t>
      </w:r>
      <w:r>
        <w:rPr>
          <w:rFonts w:ascii="Times New Roman" w:cs="Times New Roman" w:eastAsia="Times New Roman" w:hAnsi="Times New Roman"/>
          <w:sz w:val="14"/>
          <w:szCs w:val="14"/>
          <w:i w:val="1"/>
          <w:iCs w:val="1"/>
          <w:u w:val="single" w:color="auto"/>
          <w:color w:val="0000EE"/>
        </w:rPr>
        <w:t>Risk Factors</w:t>
      </w:r>
      <w:r>
        <w:rPr>
          <w:rFonts w:ascii="Times New Roman" w:cs="Times New Roman" w:eastAsia="Times New Roman" w:hAnsi="Times New Roman"/>
          <w:sz w:val="14"/>
          <w:szCs w:val="14"/>
          <w:i w:val="1"/>
          <w:iCs w:val="1"/>
          <w:color w:val="auto"/>
        </w:rPr>
        <w:t>” on page S-6 of this prospectus supplement, and those discussed in our Quarterly Report on Form 10-Q for the period ended September 30, 2025 filed with the SEC on November 5, 2025 under Part II, Item 1A. “Risk Factors,” which is incorporated herein by reference, and may be amended, updated, supplemented or superseded from time-to-time by annual, quarterly and other reports and documents that we file with the SEC in the future.</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The risks described in these documents are not the only ones we face. There may be other unknown or unpredictable economic, business, competitive, regulatory or other factors that could harm our future results. Additional risks not presently known to us or that we currently believe are immaterial may also significantly impair our business operations.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common stock to decline, resulting in a loss of all or part of your investment. Please also carefully read the section below titled “</w:t>
      </w:r>
      <w:r>
        <w:rPr>
          <w:rFonts w:ascii="Times New Roman" w:cs="Times New Roman" w:eastAsia="Times New Roman" w:hAnsi="Times New Roman"/>
          <w:sz w:val="14"/>
          <w:szCs w:val="14"/>
          <w:i w:val="1"/>
          <w:iCs w:val="1"/>
          <w:u w:val="single" w:color="auto"/>
          <w:color w:val="0000EE"/>
        </w:rPr>
        <w:t>Special Note Regarding Forward-Looking Statements</w:t>
      </w:r>
      <w:r>
        <w:rPr>
          <w:rFonts w:ascii="Times New Roman" w:cs="Times New Roman" w:eastAsia="Times New Roman" w:hAnsi="Times New Roman"/>
          <w:sz w:val="14"/>
          <w:szCs w:val="14"/>
          <w:i w:val="1"/>
          <w:iCs w:val="1"/>
          <w:color w:val="auto"/>
        </w:rPr>
        <w:t>.”</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1" w:lineRule="exact"/>
        <w:rPr>
          <w:sz w:val="20"/>
          <w:szCs w:val="20"/>
          <w:color w:val="auto"/>
        </w:rPr>
      </w:pPr>
    </w:p>
    <w:p>
      <w:pPr>
        <w:ind w:left="1360" w:right="4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Because we will have broad discretion and flexibility in how the net proceeds from this offering are used, we may use the net proceeds in ways in which you disagree.</w:t>
      </w:r>
    </w:p>
    <w:p>
      <w:pPr>
        <w:spacing w:after="0" w:line="39"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Our management will have broad discretion as to the application of the net proceeds of this offering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increase the market price of our common stock. The actual amounts and timing of our expenditures are within management’s discretion and may vary significantly depending on numerous factors such as the progress of our commercialization and development efforts and any unforeseen cash needs. Because we have broad discretion in determining how the proceeds of this offering will be used, you will be relying on the judgment of our management with regard to the use of these net proceeds, and you will not have the opportunity, as part of your investment decision, to assess whether the proceeds are being used appropriately.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actual number of shares we will sell under the sale agreement, or the gross proceeds resulting from those sales.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Subject to certain limitations in the sale agreement and compliance with applicable law, we have the discretion to deliver instruction to the sales agent to sell shares of our common stock at any time throughout the term of the sale agreement. The number of shares that are sold through the sales agent after our instruction will fluctuate based on a number of factors, including the market price of our common stock during the sales period, the limits we set with the sales agent in any instruction to sell shares, and the demand for our common stock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225"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 the market offerings,” and investors who buy shares at different times will likely pay different prices.</w:t>
      </w:r>
    </w:p>
    <w:p>
      <w:pPr>
        <w:spacing w:after="0" w:line="39"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may therefore experience different levels of dilution and different outcomes in their investment results. We will have discretion, subject to market demand, to vary the timing, prices, and numbers of shares sold in this offering. In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addition, subject to the final determination by our board of directors,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93"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We will require more capital to pursue our preclinical and clinical activities and the regulatory approval and commercialization of our products. In addition, we may also choose to raise additional capital due to market conditions or strategic considerations even if we believe we have sufficient funds for our current or future operating plans.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28"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common stock or rights to purchase common stock could result in additional dilution of the percentage ownership of our stockholders and could cause our stock price to fall.</w:t>
      </w:r>
    </w:p>
    <w:p>
      <w:pPr>
        <w:spacing w:after="0" w:line="39"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If our stockholders sell, or the market perceives that our stockholders intend to sell substantial amounts of our common stock in the public market, including shares obtained from the conversion or exchange of our convertible promissory note, exercise of our warrants, satisfaction of our CVRs, or the exercise or settlement of our equity incentive awards, the market price of our common stock could decline significantly. In addition, our Founder, Executive Chairman and Global Chief Scientific and Medical Officer, Dr. Soon-Shiong, and his affiliates owned approximately 66.0% of our common stock outstanding as of September 30, 2025. Sales of stock by Dr. Soon-Shiong and his affiliates could have an adverse effect on the trading price of our common stock.</w:t>
      </w:r>
    </w:p>
    <w:p>
      <w:pPr>
        <w:spacing w:after="0" w:line="14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Certain holders of our common stock are entitled to certain rights with respect to the registration of their shares under the Securities Act, including the shares purchased by affiliates of Oberland in connection with our entry into the RIPA.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 .</w:t>
      </w:r>
    </w:p>
    <w:p>
      <w:pPr>
        <w:spacing w:after="0" w:line="14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In addition, we expect that additional capital may be needed in the future to continue our planned operations, including our commercialization efforts, conducting clinical trials, regulatory approval efforts, expanded research and development activities, and costs associated with operating as a public company. To raise capital, we may sell common stock, preferred stock, convertible securities, or other equity securities (including warrants) in one or more transactions at prices and in a manner we determine from time to time. If we sell common stock, preferred stock, convertible securities, or other equity securities, existing investors may be materially diluted, and new investors could gain rights, preferences, and privileges senior to the holders of our common stock. The issuance of additional shares of common stock or warrants to purchase common stock, perception that such issuances may occur, or the exercise of outstanding warrants or other equity securities will have a material dilutive impact on existing stockholders and could have a material negative effect on the market price of our common stock.</w:t>
      </w:r>
    </w:p>
    <w:p>
      <w:pPr>
        <w:spacing w:after="0" w:line="228"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not paid cash dividends in the past and do not expect to pay dividends in the future. Any return on investment may be limited to the value of our common stock.</w:t>
      </w:r>
    </w:p>
    <w:p>
      <w:pPr>
        <w:spacing w:after="0" w:line="39"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We have never paid cash dividends on our common stock and do not anticipate paying cash dividends for the foreseeable future. The payment of dividends on our common stock will depend on earnings, financial</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immediate and substantial dilution in the net tangible book value per share of the common stock you purchase.</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price per share of our common stock being offered may be higher than the net tangible book value per share of our common stock outstanding prior to this offering. Assuming that an aggregate of 202,631,048 shares are sold at a price of $2.27 per share, the closing price of our common stock on Nasdaq on December 22, 2025, for aggregate proceeds of $459,972,480 in this offering, and after deducting commissions and estimated aggregate offering expenses payable by us, you will suffer immediate and substantial dilution of $2.35 per share, representing the difference between the as adjusted net tangible book value per share of our common stock as of September 30, 2025 after giving effect to this offering and the assumed offering price of $2.27 per share. See “</w:t>
      </w:r>
      <w:r>
        <w:rPr>
          <w:rFonts w:ascii="Times New Roman" w:cs="Times New Roman" w:eastAsia="Times New Roman" w:hAnsi="Times New Roman"/>
          <w:sz w:val="14"/>
          <w:szCs w:val="14"/>
          <w:u w:val="single" w:color="auto"/>
          <w:color w:val="0000EE"/>
        </w:rPr>
        <w:t>Dilution</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5"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i w:val="1"/>
          <w:iCs w:val="1"/>
          <w:color w:val="auto"/>
        </w:rPr>
        <w:t>This prospectus supplement, the accompanying prospectus and the information and documents we incorporate herein and therein by reference, and any free writing prospectus that we have authorized for use in connection with this offering contain, and we may from time to time make, written or oral “forward-looking statements” within the meaning of Section 27A of the Securities Act and Section 21E of the Exchange Act that are based on our management’s beliefs and assumptions and on information currently available to our management. All statements other than statements of historical fact are, or may be deemed to be, forward-looking statements. Although we believe that we have a reasonable basis for each forward-looking statement contained and incorporated by reference included in this prospectus supplement and the accompanying prospectus, we caution you that these statements are based on our projections of the future that are subject to known and unknown risks, including business, regulatory, economic and competitive risks, uncertainties, contingencies, assumptions and other factors that may cause our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those discussed elsewhere in this prospectus supplement, the risks discussed in our other filings with the SEC and as set forth below. Forward-looking statements include, but are not limited to:</w:t>
      </w:r>
    </w:p>
    <w:p>
      <w:pPr>
        <w:spacing w:after="0" w:line="73" w:lineRule="exact"/>
        <w:rPr>
          <w:sz w:val="20"/>
          <w:szCs w:val="20"/>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ANKTIVA or any future approved products in the U.S. or internationally;</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incremental approvals for ANKTIVA for new indications, including, without limitation, in BCG-unresponsive NMIBC papillary, from the FDA or clearances or approvals from international regulatory agencies for the treatment of patients with NMIBC or other indications;</w:t>
      </w:r>
    </w:p>
    <w:p>
      <w:pPr>
        <w:spacing w:after="0" w:line="6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future uses and applications of ANKTIVA, including as a lymphopenia rescue agent, and use in cancer vaccines and across multiple tumor types;</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next-generation therapies and vaccines that complement, harness, and amplify the immune system to defeat cancers and infectious diseases;</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to fund our operations and complete the commercialization of our approved product and the development and commercialization of our other product candidates;</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our payment obligations under the RIPA and to service the interest on our related-party promissory note and repay such note, to the extent required;</w:t>
      </w:r>
    </w:p>
    <w:p>
      <w:pPr>
        <w:spacing w:after="0" w:line="5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conditions, covenants, restrictions, and obligations set forth in the RIPA and related transaction documents;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benefits of our strategy and technology;</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operating results and make period-to-period comparisons predictive of future performance due to fluctuations in warrant and derivative values;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operation and effectiveness of our approved product and product candidates and related benefits, including that of our BioShield platform;</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multiple modes to induce cell death;</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benefits and perceived limitations of competing approaches, and the future of competing technologies and our industry;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our strategic vision and planned product candidate pipeline;</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success, cost and timing of our product candidate development activities and current and future clinical trials and studies, including study design and the enrollment of patients;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development and commercialization of our other product candidates;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619" w:hanging="345"/>
        <w:spacing w:after="0" w:line="283"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National Comprehensive Cancer Network (“NCCN”) will review and/or approve our submission for BCG-unresponsive NMIBC papillary on the anticipated timeline or at all;</w:t>
      </w:r>
    </w:p>
    <w:p>
      <w:pPr>
        <w:spacing w:after="0" w:line="51" w:lineRule="exact"/>
        <w:rPr>
          <w:rFonts w:ascii="Times New Roman" w:cs="Times New Roman" w:eastAsia="Times New Roman" w:hAnsi="Times New Roman"/>
          <w:sz w:val="14"/>
          <w:szCs w:val="14"/>
          <w:color w:val="auto"/>
        </w:rPr>
      </w:pPr>
    </w:p>
    <w:p>
      <w:pPr>
        <w:ind w:left="2120" w:right="679" w:hanging="345"/>
        <w:spacing w:after="0" w:line="222"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utilize the Phase 1/2 aNK and 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clinical trials data to support the development of our product candidates, including our taNK, t-haNK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MSC, and M-ceNK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product candidates;</w:t>
      </w:r>
    </w:p>
    <w:p>
      <w:pPr>
        <w:ind w:left="2120" w:right="239" w:hanging="345"/>
        <w:spacing w:after="0" w:line="259"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development, clinical trials timeline, application, commercialization, marketing, prospects and use generally of our product candidates, including hAd5 constructs, and PD-L1 t-haNK and M-ceNK;</w:t>
      </w:r>
    </w:p>
    <w:p>
      <w:pPr>
        <w:spacing w:after="0" w:line="67" w:lineRule="exact"/>
        <w:rPr>
          <w:rFonts w:ascii="Times New Roman" w:cs="Times New Roman" w:eastAsia="Times New Roman" w:hAnsi="Times New Roman"/>
          <w:sz w:val="14"/>
          <w:szCs w:val="14"/>
          <w:color w:val="auto"/>
        </w:rPr>
      </w:pPr>
    </w:p>
    <w:p>
      <w:pPr>
        <w:ind w:left="2120" w:right="239" w:hanging="345"/>
        <w:spacing w:after="0" w:line="258"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timing or likelihood of regulatory filings or other actions and related regulatory authority responses in the U.S. and jurisdictions outside of the U.S., including any planned meetings, Investigational New Drug Application, BLA, New Drug Application or Marketing Authorization Application or similar filings or pursuit of accelerated regulatory approval pathways or orphan drug status and </w:t>
      </w:r>
      <w:r>
        <w:rPr>
          <w:rFonts w:ascii="Times New Roman" w:cs="Times New Roman" w:eastAsia="Times New Roman" w:hAnsi="Times New Roman"/>
          <w:sz w:val="14"/>
          <w:szCs w:val="14"/>
          <w:i w:val="1"/>
          <w:iCs w:val="1"/>
          <w:color w:val="auto"/>
        </w:rPr>
        <w:t>Breakthrough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Therapy, Fast Track </w:t>
      </w:r>
      <w:r>
        <w:rPr>
          <w:rFonts w:ascii="Times New Roman" w:cs="Times New Roman" w:eastAsia="Times New Roman" w:hAnsi="Times New Roman"/>
          <w:sz w:val="14"/>
          <w:szCs w:val="14"/>
          <w:color w:val="auto"/>
        </w:rPr>
        <w:t>or Regenerative Medicine Advanced Therapy designations and any designation’s eventual impact on BLA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submission, filing or approval timing and or approval probability;</w:t>
      </w:r>
    </w:p>
    <w:p>
      <w:pPr>
        <w:spacing w:after="0" w:line="70" w:lineRule="exact"/>
        <w:rPr>
          <w:rFonts w:ascii="Times New Roman" w:cs="Times New Roman" w:eastAsia="Times New Roman" w:hAnsi="Times New Roman"/>
          <w:sz w:val="14"/>
          <w:szCs w:val="14"/>
          <w:color w:val="auto"/>
        </w:rPr>
      </w:pPr>
    </w:p>
    <w:p>
      <w:pPr>
        <w:ind w:left="2120" w:right="479" w:hanging="345"/>
        <w:spacing w:after="0" w:line="267"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address the May 2025 RTF letter received from the FDA for the sBLA for the BCG-unresponsive NMIBC papillary indication and related FDA meetings stating that a randomized control trial against chemotherapy is required, the approach to which we are continuing to evaluate after our Type B meeting in December of 2025;</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an integrated discovery ecosystem and the operation of that planned ecosystem, including being able to regularly add neoepitopes and subsequently formulate new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strategic collaborators to share our vision and effectively work with us to achieve our goals;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various third parties to engage in research and development activities involving our product candidates, and our ability to leverage those activities;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additional third-party collaborators;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ease of administration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patient compatibility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markets for our product candidates and our ability to serve those markets;</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enrollment and submission of our clinical trials, and protocols and timing of data read-outs related to such trials;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a cytokine fusion protein, a DNA or recombinant protein vaccine, or a cell therapy;</w:t>
      </w:r>
    </w:p>
    <w:p>
      <w:pPr>
        <w:spacing w:after="0" w:line="101" w:lineRule="exact"/>
        <w:rPr>
          <w:rFonts w:ascii="Times New Roman" w:cs="Times New Roman" w:eastAsia="Times New Roman" w:hAnsi="Times New Roman"/>
          <w:sz w:val="14"/>
          <w:szCs w:val="14"/>
          <w:color w:val="auto"/>
        </w:rPr>
      </w:pPr>
    </w:p>
    <w:p>
      <w:pPr>
        <w:ind w:left="2120" w:right="259" w:hanging="345"/>
        <w:spacing w:after="0" w:line="323" w:lineRule="auto"/>
        <w:tabs>
          <w:tab w:leader="none" w:pos="2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beliefs regarding the potential manufacturing and distribution benefits associated with our product candidates, and our third-party contract manufacturing organizations’ (“CMOs’”) abilities to follow cGMP standards to scale up the production of our product candidates;</w:t>
      </w:r>
    </w:p>
    <w:p>
      <w:pPr>
        <w:spacing w:after="0" w:line="28"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regarding our manufacturing facilities and our belief that our manufacturing is capable of being conducted in-house;</w:t>
      </w:r>
    </w:p>
    <w:p>
      <w:pPr>
        <w:spacing w:after="0" w:line="10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in the potential of our cytokine fusion proteins, DNA or recombinant protein vaccines, or cell therapies, and the fact that our business is based upon the success individually and collectively of these platforms;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regarding the magnitude or duration for additional clinical testing of our cytokine fusion proteins, DNA or recombinant protein vaccines, or cell therapies, along with other product candidate families;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83"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successfully develop and commercialize specific product candidates, our ability to develop and commercialize our other product candidates either alone or in combination with other therapeutic agents;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and maintain regulatory approval of our approved product and to obtain and maintain regulatory approval of any of our other product candidates, and any related restrictions, limitations and/or warnings in the label of any approved product candidate;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any approved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personnel;</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our future revenue, as well as our future operating expenses, capital requirements and needs for additional financing;</w:t>
      </w:r>
    </w:p>
    <w:p>
      <w:pPr>
        <w:spacing w:after="0" w:line="5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patent protection and other proprietary rights for our approved product, other product candidates, and other technologies in development;</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licenses granted to us and our ability to license additional intellectual property relating to our product, product candidates and technology;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results of market access initiatives and coverage under medical reimbursement policies;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shelf life of ANKTIVA drug substance and drug product and availability of product supply;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global expansion efforts and the accuracy of our assumptions related to Most-Favored Nation Prescription Drug Pricing;</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 shutdown or budget disruption, which could adversely affect the U.S. and global economies, and materially and adversely affect our business and/or our future BLA submissions;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us, if any, if the CVRs held by former Altor stockholders become due and payable in accordance with their terms;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U.S. and foreign countries.</w:t>
      </w:r>
    </w:p>
    <w:p>
      <w:pPr>
        <w:spacing w:after="0" w:line="173"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Forward-looking statements include statements that are not historical facts and can be identified by terms such as “anticipates,” “believes,” “continues,” “goal,” “could,” “estimates,” “scheduled,” “expects,” “intends,” “may,” “plans,” “potential,” “predicts,” “indicate,” “projects,” “seeks,” “should,” “will,” “would,” “strategy,” and variations of such words or similar expressions. and the negatives of those terms. In addition, statements that “we believe” and similar statements reflect our beliefs and opinions on the relevant subject.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prospectus supplement,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4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of our Quarterly Report on Form 10-Q for the three months ended September 30, 2025, filed with the SEC on November 5, 2025.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prospectus supplement.</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53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1" w:lineRule="exact"/>
        <w:rPr>
          <w:sz w:val="20"/>
          <w:szCs w:val="20"/>
          <w:color w:val="auto"/>
        </w:rPr>
      </w:pPr>
    </w:p>
    <w:p>
      <w:pPr>
        <w:ind w:left="1360" w:right="23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ImmunityBio, ImmunityBio Care, ANKTIVA, ThAnktiva, haNK, taNK, ceNK, NK-92, Nant Cancer Vaccine, CancerBioShield, BioShield (and other BioShield-related trademarks), NANT 001, NANT XL, NANT 001 and Design, QUILT, Outsmart Your Disease, Smart Therapies for Difficult Diseases, NantKwest, VivaBioCell, and Infacell are trademarks or registered trademarks of ImmunityBio, Inc., its subsidiaries and affiliates.</w:t>
      </w:r>
    </w:p>
    <w:p>
      <w:pPr>
        <w:spacing w:after="0" w:line="133"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ANKTIVA has been approved by the U.S. FDA and the MHRA for use with BCG for the treatment of adult patients with BCG-unresponsive NMIBC with CIS with or without papillary tumors. Other than as set forth in such specific approved label, our product candidates, including N-803, are investigational agents that are restricted by federal law to investigational use only, and safety and efficacy have not been established by any agency, including, without limitation, the FDA.</w:t>
      </w:r>
    </w:p>
    <w:p>
      <w:pPr>
        <w:spacing w:after="0" w:line="138" w:lineRule="exact"/>
        <w:rPr>
          <w:sz w:val="20"/>
          <w:szCs w:val="20"/>
          <w:color w:val="auto"/>
        </w:rPr>
      </w:pPr>
    </w:p>
    <w:p>
      <w:pPr>
        <w:ind w:left="1360" w:right="239" w:firstLine="343"/>
        <w:spacing w:after="0" w:line="228" w:lineRule="auto"/>
        <w:rPr>
          <w:sz w:val="20"/>
          <w:szCs w:val="20"/>
          <w:color w:val="auto"/>
        </w:rPr>
      </w:pPr>
      <w:r>
        <w:rPr>
          <w:rFonts w:ascii="Times New Roman" w:cs="Times New Roman" w:eastAsia="Times New Roman" w:hAnsi="Times New Roman"/>
          <w:sz w:val="14"/>
          <w:szCs w:val="14"/>
          <w:i w:val="1"/>
          <w:iCs w:val="1"/>
          <w:color w:val="auto"/>
        </w:rPr>
        <w:t xml:space="preserve">Solely for convenience, trademarks and trade names referred to in this prospectus supplement, including logos, artwork, and other visual displays, may appear without the </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4"/>
          <w:szCs w:val="14"/>
          <w:i w:val="1"/>
          <w:iCs w:val="1"/>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products or trade names or trademarks to imply a relationship with, or endorsement or sponsorship of us, by any other companies.</w:t>
      </w:r>
    </w:p>
    <w:p>
      <w:pPr>
        <w:spacing w:after="0" w:line="1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We may issue and sell shares of our common stock having aggregate gross proceeds of up to $459,972,480 from time to time under this prospectus supplement. Because there is no minimum offering amount required as a condition to close this offering, the actual total offering amount, commissions and proceeds to us, if any, are not determinable at this time. The amount of proceeds from this offering will depend upon the number of shares of our common stock sold and the market price at which they are sold. There can be no assurance that we will be able to sell any shares under or fully utilize the sale agreement as a source of financing.</w:t>
      </w:r>
    </w:p>
    <w:p>
      <w:pPr>
        <w:spacing w:after="0" w:line="144" w:lineRule="exact"/>
        <w:rPr>
          <w:sz w:val="20"/>
          <w:szCs w:val="20"/>
          <w:color w:val="auto"/>
        </w:rPr>
      </w:pPr>
    </w:p>
    <w:p>
      <w:pPr>
        <w:ind w:left="1360" w:right="259" w:firstLine="343"/>
        <w:spacing w:after="0" w:line="252"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together with other available funds, to progress our continued commercialization of ANKTIVA, to fund our clinical trial programs, toward further research and development, for working capital needs, and for other general corporate purposes. We may also use a portion of the net proceeds to license intellectual property or to make acquisitions or investments.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commercialization of our approved product, the progress of our product candidate development, the status of and results from clinical trials, as well as any collaborations that we may enter into with third parties for our product or our product candidates, and any unforeseen cash needs. As of the date of this prospectus supplement, we cannot specify with certainty all of the particular uses for the net proceeds to us from this offering. As a result, our management will retain broad discretion over the timing and allocation of our net proceeds from this offering, and investors will be relying on the judgment of our management regarding the application of our net proceeds from this offering. The timing and amount of our actual expenditures will be based on many factors, including commercialization costs of our approved product, competitive and technological developments; the progress of our clinical trials; incremental regulatory approvals of our product and product candidates; costs to commercialize our product candidates if approved; the anticipated growth of our business; and a number of other factors, including those listed in the section titled “</w:t>
      </w:r>
      <w:r>
        <w:rPr>
          <w:rFonts w:ascii="Times New Roman" w:cs="Times New Roman" w:eastAsia="Times New Roman" w:hAnsi="Times New Roman"/>
          <w:sz w:val="14"/>
          <w:szCs w:val="14"/>
          <w:u w:val="single" w:color="auto"/>
          <w:color w:val="0000EE"/>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Factors</w:t>
      </w:r>
      <w:r>
        <w:rPr>
          <w:rFonts w:ascii="Times New Roman" w:cs="Times New Roman" w:eastAsia="Times New Roman" w:hAnsi="Times New Roman"/>
          <w:sz w:val="14"/>
          <w:szCs w:val="14"/>
          <w:color w:val="000000"/>
        </w:rPr>
        <w:t>” and in the documents incorporated by reference herein. Pending these uses, we plan to invest these net proceeds primarily in U.S. government-sponsored securities. The goal with respect to the investment of these net proceeds is capital preservation and liquidity so that such funds are readily available to fund our operations.</w:t>
      </w:r>
    </w:p>
    <w:p>
      <w:pPr>
        <w:spacing w:after="0" w:line="155"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anticipate that we will need to raise substantial additional capital to continue to fund the clinical development of our product candidates and commercialize approved products. If needed, we expect to seek to raise additional capital through additional public or private financings which may be in the form of equity, debt, warrants or convertible securities.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ImmunityBio, Inc. has one class of securities registered under Section 12 of the Exchange Act, our common stock.</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following description of our common stock is a summary and does not purport to be complete. It is subject to and qualified in its entirety by reference to our Amended and Restated Certificate of Incorporation, as amended (our “Certificate of Incorporation”) and our Amended and Restated Bylaws (our “Bylaws”), each of which is incorporated by reference as an exhibit to the Annual Report on Form 10-K for the year ended</w:t>
      </w:r>
    </w:p>
    <w:p>
      <w:pPr>
        <w:ind w:left="1360" w:right="479"/>
        <w:spacing w:after="0" w:line="256" w:lineRule="auto"/>
        <w:rPr>
          <w:sz w:val="20"/>
          <w:szCs w:val="20"/>
          <w:color w:val="auto"/>
        </w:rPr>
      </w:pPr>
      <w:r>
        <w:rPr>
          <w:rFonts w:ascii="Times New Roman" w:cs="Times New Roman" w:eastAsia="Times New Roman" w:hAnsi="Times New Roman"/>
          <w:sz w:val="14"/>
          <w:szCs w:val="14"/>
          <w:color w:val="auto"/>
        </w:rPr>
        <w:t>December 31, 2024, filed on March 3, 2025, and the certificate of amendment to our Certificate of Incorporation, dated as of November 10, 2025, as previously disclosed in the company’s Definitive Information Statement filed on October 20, 2025. We encourage you to read our Certificate of Incorporation, our Bylaws and the applicable provisions of the Delaware General Corporation Law (“DGCL”), for additional information.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We are authorized to issue up to a total of 1,650,000,000 shares of common stock, par value $0.0001 per share. Holders of our common stock are entitled to one vote for each share held on all matters submitted to a vote of our stockholders. Holders of our common stock have no cumulative voting rights. Further, holders of our common stock have no preemptive, conversion, redemption or subscription rights and there are no sinking fund provisions applicable to our common stock. Upon our liquidation, dissolution or winding-up, holders of our common stock are entitled to share ratably in all assets remaining after payment of all liabilities and the liquidation preferences of any of our outstanding shares of preferred stock. Subject to preferences that may be applicable to any outstanding shares of preferred stock, holders of our common stock are entitled to receive dividends, if any, as may be declared from time to time by our board of directors out of our assets which are legally available.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Our board of directors is authorized, subject to certain limitations prescribed by law, to designate and issue up to a total of 20,000,000 shares of preferred stock, par value $0.0001 per share, without stockholder approval. The board may issue preferred stock from time to time in one or more series and fix the designations, preferences and rights of the shares of each such series and any qualifications, limitations or restrictions on the shares of each such series, including dividend rights and rates, conversion rights, voting rights, terms of redemption, liquidation preferences and the number of shares constituting any such series.</w:t>
      </w:r>
    </w:p>
    <w:p>
      <w:pPr>
        <w:spacing w:after="0" w:line="144"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Our board of directors may authorize the issuance of preferred stock with voting or conversion rights that could harm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and other rights of the holders of common stock. We have no current plans to issue any shares of preferred stock.</w:t>
      </w:r>
    </w:p>
    <w:p>
      <w:pPr>
        <w:spacing w:after="0" w:line="144"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 actual effect of any such issuance on the rights of the holders of common stock will not be known until our board of directors determines the specific rights of the holders of preferred stock; however, the potential effects of such an issuance include:</w:t>
      </w:r>
    </w:p>
    <w:p>
      <w:pPr>
        <w:spacing w:after="0" w:line="51" w:lineRule="exact"/>
        <w:rPr>
          <w:sz w:val="20"/>
          <w:szCs w:val="20"/>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diluting the voting power of the holders of common stock;</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likelihood that holders of common stock will receive dividend payments;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likelihood that holders of common stock will receive payments in the event of our liquidation, dissolution, or winding up;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delaying, deterring or preventing a change-in-control or other corporate takeover.</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Nominating Agreement</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Under the terms of the Nominating Agreement, dated June 18, 2015, between us and Cambridge Equities, LP (“Cambridge”), Cambridge has the right to designate one director to be nominated for election to our board of directors for as long as Cambridge and/or its affiliates directly own more than 20% of the issued and outstanding shares of our common stock, subject to adjustment for stock splits, stock dividends, recapitalizations and similar transactions. Dr. Soon-Shiong, who controls the entity that is the general partner of Cambridge and has the sole power to vote or direct to vote and the sole power to dispose or direct the disposition, was selected by Cambridge to hold this board seat. The Cambridge director nominee shall be nominated and recommended for election by our board of directors or other duly authorized committee, subject to any applicable limitations imposed by the DGCL, the board of directors’ fiduciary duties to our stockholders and any other applicable law. Cambridge’s right to have a designee nominated or appointed to serve on our board of directors shall automatically terminate wherever Cambridge owns less than 20% of our issued and outstanding shares of common stock.</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Our Certificate of Incorporation and Bylaws</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Certain provisions of the DGCL, our Certificate of Incorporation and our Bylaws may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Certificate of Incorporation and Bylaws Provisions</w:t>
      </w:r>
    </w:p>
    <w:p>
      <w:pPr>
        <w:spacing w:after="0" w:line="93"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Our Certificate of Incorporation and our Bylaws include a number of provisions that could deter hostile takeovers or delay or prevent changes in control of our management team, including the following:</w:t>
      </w:r>
    </w:p>
    <w:p>
      <w:pPr>
        <w:spacing w:after="0" w:line="49" w:lineRule="exact"/>
        <w:rPr>
          <w:sz w:val="20"/>
          <w:szCs w:val="20"/>
          <w:color w:val="auto"/>
        </w:rPr>
      </w:pPr>
    </w:p>
    <w:p>
      <w:pPr>
        <w:ind w:left="2120" w:right="239" w:hanging="345"/>
        <w:spacing w:after="0" w:line="259"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Board of directors vacancies. </w:t>
      </w:r>
      <w:r>
        <w:rPr>
          <w:rFonts w:ascii="Times New Roman" w:cs="Times New Roman" w:eastAsia="Times New Roman" w:hAnsi="Times New Roman"/>
          <w:sz w:val="14"/>
          <w:szCs w:val="14"/>
          <w:color w:val="auto"/>
        </w:rPr>
        <w:t>Our Certificate of Incorporation and Bylaws authorize only our board of directors to fill vacant directorships,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newly created seats. In addition, the number of directors constituting our board of directors is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66" w:lineRule="exact"/>
        <w:rPr>
          <w:rFonts w:ascii="Times New Roman" w:cs="Times New Roman" w:eastAsia="Times New Roman" w:hAnsi="Times New Roman"/>
          <w:sz w:val="14"/>
          <w:szCs w:val="14"/>
          <w:color w:val="auto"/>
        </w:rPr>
      </w:pPr>
    </w:p>
    <w:p>
      <w:pPr>
        <w:ind w:left="2120" w:right="299" w:hanging="345"/>
        <w:spacing w:after="0" w:line="268"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Special meetings of stockholders. </w:t>
      </w:r>
      <w:r>
        <w:rPr>
          <w:rFonts w:ascii="Times New Roman" w:cs="Times New Roman" w:eastAsia="Times New Roman" w:hAnsi="Times New Roman"/>
          <w:sz w:val="14"/>
          <w:szCs w:val="14"/>
          <w:color w:val="auto"/>
        </w:rPr>
        <w:t>Our amended and restated certificate of incorporation and our amended and restated bylaws provide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special meetings of our stockholders may be called only by a majority of our board of directors, the chairperson of our board of directors, our chief executive officer or our president, thus prohibiting a stockholder from calling a special meeting.</w:t>
      </w:r>
    </w:p>
    <w:p>
      <w:pPr>
        <w:spacing w:after="0" w:line="59" w:lineRule="exact"/>
        <w:rPr>
          <w:rFonts w:ascii="Times New Roman" w:cs="Times New Roman" w:eastAsia="Times New Roman" w:hAnsi="Times New Roman"/>
          <w:sz w:val="14"/>
          <w:szCs w:val="14"/>
          <w:color w:val="auto"/>
        </w:rPr>
      </w:pPr>
    </w:p>
    <w:p>
      <w:pPr>
        <w:ind w:left="2120" w:right="299" w:hanging="345"/>
        <w:spacing w:after="0" w:line="256"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r>
        <w:rPr>
          <w:rFonts w:ascii="Times New Roman" w:cs="Times New Roman" w:eastAsia="Times New Roman" w:hAnsi="Times New Roman"/>
          <w:sz w:val="14"/>
          <w:szCs w:val="14"/>
          <w:color w:val="auto"/>
        </w:rPr>
        <w:t>. Our Bylaws provide advance notice procedures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stockholders 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69" w:lineRule="exact"/>
        <w:rPr>
          <w:rFonts w:ascii="Times New Roman" w:cs="Times New Roman" w:eastAsia="Times New Roman" w:hAnsi="Times New Roman"/>
          <w:sz w:val="14"/>
          <w:szCs w:val="14"/>
          <w:color w:val="auto"/>
        </w:rPr>
      </w:pPr>
    </w:p>
    <w:p>
      <w:pPr>
        <w:ind w:left="2120" w:right="499" w:hanging="345"/>
        <w:spacing w:after="0" w:line="268"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cumulative voting</w:t>
      </w:r>
      <w:r>
        <w:rPr>
          <w:rFonts w:ascii="Times New Roman" w:cs="Times New Roman" w:eastAsia="Times New Roman" w:hAnsi="Times New Roman"/>
          <w:sz w:val="14"/>
          <w:szCs w:val="14"/>
          <w:color w:val="auto"/>
        </w:rPr>
        <w:t>. The DGCL provides that stockholders are not entitled to the right to cumulate votes in the election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unless a corporation’s certificate of incorporation provides otherwise. Our Certificate of Incorporation does not provide for cumulative voting.</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120" w:right="259" w:hanging="345"/>
        <w:spacing w:after="0" w:line="286"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Amendment of charter provisions</w:t>
      </w:r>
      <w:r>
        <w:rPr>
          <w:rFonts w:ascii="Times New Roman" w:cs="Times New Roman" w:eastAsia="Times New Roman" w:hAnsi="Times New Roman"/>
          <w:sz w:val="14"/>
          <w:szCs w:val="14"/>
          <w:color w:val="auto"/>
        </w:rPr>
        <w:t>. Any amendment of the above provisions in our Certificate of Incorporation requires approval by holders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at least two-thirds of our then outstanding voting securities.</w:t>
      </w:r>
    </w:p>
    <w:p>
      <w:pPr>
        <w:spacing w:after="0" w:line="47" w:lineRule="exact"/>
        <w:rPr>
          <w:rFonts w:ascii="Times New Roman" w:cs="Times New Roman" w:eastAsia="Times New Roman" w:hAnsi="Times New Roman"/>
          <w:sz w:val="14"/>
          <w:szCs w:val="14"/>
          <w:color w:val="auto"/>
        </w:rPr>
      </w:pPr>
    </w:p>
    <w:p>
      <w:pPr>
        <w:ind w:left="2120" w:right="239" w:hanging="345"/>
        <w:spacing w:after="0" w:line="262"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Issuance of undesignated preferred stock</w:t>
      </w:r>
      <w:r>
        <w:rPr>
          <w:rFonts w:ascii="Times New Roman" w:cs="Times New Roman" w:eastAsia="Times New Roman" w:hAnsi="Times New Roman"/>
          <w:sz w:val="14"/>
          <w:szCs w:val="14"/>
          <w:color w:val="auto"/>
        </w:rPr>
        <w:t>. Our board of directors has the authority, without further action by the stockholders, to issue up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64" w:lineRule="exact"/>
        <w:rPr>
          <w:rFonts w:ascii="Times New Roman" w:cs="Times New Roman" w:eastAsia="Times New Roman" w:hAnsi="Times New Roman"/>
          <w:sz w:val="14"/>
          <w:szCs w:val="14"/>
          <w:color w:val="auto"/>
        </w:rPr>
      </w:pPr>
    </w:p>
    <w:p>
      <w:pPr>
        <w:ind w:left="2120" w:right="259" w:hanging="345"/>
        <w:spacing w:after="0" w:line="255"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Limitation of Liability and Indemnification of Officers and Directors</w:t>
      </w:r>
      <w:r>
        <w:rPr>
          <w:rFonts w:ascii="Times New Roman" w:cs="Times New Roman" w:eastAsia="Times New Roman" w:hAnsi="Times New Roman"/>
          <w:sz w:val="14"/>
          <w:szCs w:val="14"/>
          <w:color w:val="auto"/>
        </w:rPr>
        <w:t>. The DGCL authorizes corporations to limit or eliminate the personal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of directors to corporations and their stockholders for monetary damages for breaches of directors’ fiduciary duties as directors. Our amended and restated certificate of incorporation, and our amended and restated bylaws include provisions that indemnify, to the fullest extent allowable under the DGCL, the personal liability of directors or officers for monetary damages for actions taken as a director or officer of our company, or for serving at our request as a director or officer or in another position at another corporation or enterprise, as the case may be. Our amended and restated certificate of incorporation, and our amended and restated bylaws also provide that we must indemnify and advance expenses to our directors and officers, subject to our receipt of an undertaking from the indemnitee as may be required under the DGCL.</w:t>
      </w:r>
    </w:p>
    <w:p>
      <w:pPr>
        <w:spacing w:after="0" w:line="63" w:lineRule="exact"/>
        <w:rPr>
          <w:rFonts w:ascii="Times New Roman" w:cs="Times New Roman" w:eastAsia="Times New Roman" w:hAnsi="Times New Roman"/>
          <w:sz w:val="14"/>
          <w:szCs w:val="14"/>
          <w:color w:val="auto"/>
        </w:rPr>
      </w:pPr>
    </w:p>
    <w:p>
      <w:pPr>
        <w:ind w:left="2120" w:right="31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 of liability and indemnification provisions in our amended and restated certificate of incorporation, and our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 Except as set forth in our periodic reports as incorporated herein by reference, there is currently no pending material litigation or proceeding involving any of our directors, officers, employees or agents for which indemnification is sought.</w:t>
      </w:r>
    </w:p>
    <w:p>
      <w:pPr>
        <w:spacing w:after="0" w:line="67" w:lineRule="exact"/>
        <w:rPr>
          <w:rFonts w:ascii="Times New Roman" w:cs="Times New Roman" w:eastAsia="Times New Roman" w:hAnsi="Times New Roman"/>
          <w:sz w:val="14"/>
          <w:szCs w:val="14"/>
          <w:color w:val="auto"/>
        </w:rPr>
      </w:pPr>
    </w:p>
    <w:p>
      <w:pPr>
        <w:ind w:left="2120" w:right="259" w:hanging="345"/>
        <w:spacing w:after="0" w:line="256"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Exclusive forum</w:t>
      </w:r>
      <w:r>
        <w:rPr>
          <w:rFonts w:ascii="Times New Roman" w:cs="Times New Roman" w:eastAsia="Times New Roman" w:hAnsi="Times New Roman"/>
          <w:sz w:val="14"/>
          <w:szCs w:val="14"/>
          <w:color w:val="auto"/>
        </w:rPr>
        <w:t>. Unless we consent in writing to the selection of an alternative forum, the Court of Chancery of the State of Delaware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our Certificate of Incorporation or our Bylaws, or (iv) any action asserting a claim against us governed by the internal affairs doctrine. 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Nasdaq Global Select Market Listing</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“IBRX.”</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They can be reached by mail at Equiniti Trust Company, LLC, ATTN: EQ-Automated Scanning Team, 1110 Centre Point Curve, Suite 101, Mendota Heights, MN 55120-4100 or by email at helpAST@equiniti.com. The transfer agent’s telephone number is (800) 937-5449.</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7"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If you invest in our common stock, your ownership interest will be diluted immediately to the extent of the difference between the public offering price per share and the as adjusted net tangible book value per share of our common stock after giving effect to this offering.</w:t>
      </w:r>
    </w:p>
    <w:p>
      <w:pPr>
        <w:spacing w:after="0" w:line="125"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Our net tangible book value as of September 30, 2025 was $(537.9) million, or $(0.55) per share of common stock. Net tangible book value per share is determined by subtracting our total liabilities from the total book value of our tangible assets and dividing the difference by the number of shares of common stock deemed to be outstanding at that date.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After giving effect to the assumed sale of 202,631,048 shares of common stock in the aggregate amount of $459,972,480 at an assumed public</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offering price of $2.27 per share, the closing price of our common stock on December 22, 2025, and after deduction of commissions and estimated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offering expenses payable by us, our pro forma as adjusted net tangible book value as of September 30, 2025 would have been approximately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$(88.7) million, or $(0.08) per share. This represents an immediate increase in net tangible book value of $0.47 per share to our existing stockholders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immediate dilution of $2.35 per share to new investors purchasing common stock in this offering.</w:t>
      </w:r>
    </w:p>
    <w:p>
      <w:pPr>
        <w:spacing w:after="0" w:line="16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4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The following table illustrates this dilution on a per share basis to new investors: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9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Net tangible book value per share as of September 30, 2025 (1)</w:t>
            </w: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$(0.55)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6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Increase in net tangible book value per share attributable to new investors purchasing</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shares in this offering</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4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color w:val="auto"/>
              </w:rPr>
              <w:t>Pro forma as adjusted net tangible book value per share as of September 30, 2025 after giving</w:t>
            </w: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 to this offering</w:t>
            </w:r>
          </w:p>
        </w:tc>
        <w:tc>
          <w:tcPr>
            <w:tcW w:w="700" w:type="dxa"/>
            <w:vAlign w:val="bottom"/>
            <w:gridSpan w:val="3"/>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1"/>
        </w:trPr>
        <w:tc>
          <w:tcPr>
            <w:tcW w:w="9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9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in net tangible book value to new investors participating in this offering</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00" w:hanging="345"/>
        <w:spacing w:after="0"/>
        <w:tabs>
          <w:tab w:leader="none" w:pos="1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net tangible book value as of September 30, 2025 is based on 984,965,179 shares of common stock issued and outstanding.</w:t>
      </w:r>
    </w:p>
    <w:p>
      <w:pPr>
        <w:spacing w:after="0" w:line="175"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We may also increase or decrease the aggregate dollar amount of shares we are offering from the amount set forth above. The information discussed above is illustrative only and will adjust based on the actual public offering price, the actual number of shares that we offer in this offering, and other terms of this offering determined at the time of each offer and sale.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number of shares of common stock to be outstanding after this offering is based on 984,965,179 shares of common stock outstanding as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September 30, 2025 and excludes the following:</w:t>
      </w:r>
    </w:p>
    <w:p>
      <w:pPr>
        <w:spacing w:after="0" w:line="87" w:lineRule="exact"/>
        <w:rPr>
          <w:sz w:val="20"/>
          <w:szCs w:val="20"/>
          <w:color w:val="auto"/>
        </w:rPr>
      </w:pPr>
    </w:p>
    <w:p>
      <w:pPr>
        <w:ind w:left="2120" w:right="77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 shares issued to GlobeImmune, Inc., our consolidated subsidiary, which are treated as treasury stock for purposes of U.S. generally accepted accounting principles;</w:t>
      </w:r>
    </w:p>
    <w:p>
      <w:pPr>
        <w:spacing w:after="0" w:line="5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24,402,861 shares of our common stock issuable upon exercise of options to purchase common stock that were outstanding as of September 30, 2025;</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8,862,839 shares of our common stock issuable upon the vesting of RSUs that were outstanding as of September 30, 2025;</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1,638,000 shares of our common stock subject to an outstanding warrant that will become exercisable if certain performance conditions are satisfied at an exercise price of $3.24 per share;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46,920,885 shares of our common stock that were reserved for future issuance under the 2025 Plan;</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19" w:hanging="345"/>
        <w:spacing w:after="0" w:line="296" w:lineRule="auto"/>
        <w:tabs>
          <w:tab w:leader="none" w:pos="2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our common stock issuable to the former stockholders of Altor, including Dr. Soon-Shiong and certain affiliates, in satisfaction of an aggregate of approximately $304.0 million in CVRs, which such stockholders may choose to receive in shares of our common stock, upon the first calendar year prior to December 31, 2026 in which worldwide net sales of ANKTIVA exceed $1.0 billion;</w:t>
      </w:r>
    </w:p>
    <w:p>
      <w:pPr>
        <w:spacing w:after="0" w:line="46" w:lineRule="exact"/>
        <w:rPr>
          <w:rFonts w:ascii="Times New Roman" w:cs="Times New Roman" w:eastAsia="Times New Roman" w:hAnsi="Times New Roman"/>
          <w:sz w:val="13"/>
          <w:szCs w:val="13"/>
          <w:color w:val="auto"/>
        </w:rPr>
      </w:pPr>
    </w:p>
    <w:p>
      <w:pPr>
        <w:ind w:left="2120" w:right="239" w:hanging="345"/>
        <w:spacing w:after="0" w:line="267"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that may be issued upon conversion of the $505.0 million promissory note due December 31, 2027, issued to Nant Capital, LLC, an affiliate of Dr. Soon-Shiong, pursuant to which all principal shall be convertible in full (and not partially) into shares of common stock at the holder’s option at a price per share of $5.4270;</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2,814,523 shares of our common stock issuable upon the exercise of the warrants included in our February 2023 RDO at an exercise price of $3.2946 per share;</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3,584,648 shares of our common stock issuable upon the exercise of the warrants included in our July 2023 RDO at an exercise price of $3.2946 per share</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29,024,768 shares of our common stock issuable upon the exercise of the warrants included in our April 2025 RDO at an exercise price of $3.1010 per share;</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29,629,632 shares of our common stock issuable upon the exercise of the warrants included in our July 2025 RDO at an exercise price of $3.240 per share; and</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that may be issued upon the exercise of the $5.0 million option held by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w:t>
      </w:r>
    </w:p>
    <w:p>
      <w:pPr>
        <w:spacing w:after="0" w:line="14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number of shares of common stock issued and outstanding as of September 30, 2025 also excludes the following transactions and approvals that occurred after September 30, 2025:</w:t>
      </w:r>
    </w:p>
    <w:p>
      <w:pPr>
        <w:spacing w:after="0" w:line="51" w:lineRule="exact"/>
        <w:rPr>
          <w:sz w:val="20"/>
          <w:szCs w:val="20"/>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26,326,386 shares of our common stock issued under the sale agreement after September 30, 2025; and</w:t>
      </w:r>
    </w:p>
    <w:p>
      <w:pPr>
        <w:spacing w:after="0" w:line="101" w:lineRule="exact"/>
        <w:rPr>
          <w:rFonts w:ascii="Times New Roman" w:cs="Times New Roman" w:eastAsia="Times New Roman" w:hAnsi="Times New Roman"/>
          <w:sz w:val="14"/>
          <w:szCs w:val="14"/>
          <w:color w:val="auto"/>
        </w:rPr>
      </w:pPr>
    </w:p>
    <w:p>
      <w:pPr>
        <w:ind w:left="2120" w:right="919" w:hanging="345"/>
        <w:spacing w:after="0" w:line="283" w:lineRule="auto"/>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issuable upon the exercise of options to purchase our common stock or vesting of RSUs that were granted subsequent to September 30, 2025.</w:t>
      </w:r>
    </w:p>
    <w:p>
      <w:pPr>
        <w:spacing w:after="0" w:line="125"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In addition, unless we specifically state otherwise, all information in this prospectus supplement assumes no exercise of outstanding stock options or warrants, or settlement of outstanding RSUs described above subsequent to September 30, 2025.</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We have entered into a sale agreement with Jefferies, under which we may offer and sell up to $959,972,480 of shares of our common stock from time to time through Jefferies acting as our sales agent. To date, we have sold $459,972,480 of such shares under the sale agreement.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Sales, if any, of shares of our common stock under the sale agreement may be made by any method permitted by law, including without limitation</w:t>
      </w:r>
    </w:p>
    <w:p>
      <w:pPr>
        <w:spacing w:after="0" w:line="22" w:lineRule="exact"/>
        <w:rPr>
          <w:sz w:val="20"/>
          <w:szCs w:val="20"/>
          <w:color w:val="auto"/>
        </w:rPr>
      </w:pPr>
    </w:p>
    <w:p>
      <w:pPr>
        <w:ind w:left="1360" w:right="479" w:hanging="5"/>
        <w:spacing w:after="0" w:line="250" w:lineRule="auto"/>
        <w:tabs>
          <w:tab w:leader="none" w:pos="152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means of ordinary brokers’ transactions (whether or not solicited), (ii) to or through a market maker, (iii) directly on or through any national securities exchange or facility thereof, a trading facility of a national securities association, an alternative trading system, or any other market venue,</w:t>
      </w:r>
    </w:p>
    <w:p>
      <w:pPr>
        <w:spacing w:after="0" w:line="1" w:lineRule="exact"/>
        <w:rPr>
          <w:rFonts w:ascii="Times New Roman" w:cs="Times New Roman" w:eastAsia="Times New Roman" w:hAnsi="Times New Roman"/>
          <w:sz w:val="14"/>
          <w:szCs w:val="14"/>
          <w:color w:val="auto"/>
        </w:rPr>
      </w:pPr>
    </w:p>
    <w:p>
      <w:pPr>
        <w:ind w:left="1360" w:right="459" w:hanging="5"/>
        <w:spacing w:after="0" w:line="261" w:lineRule="auto"/>
        <w:tabs>
          <w:tab w:leader="none" w:pos="159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 (v) in privately negotiated transactions with our consent, (vi) block transactions or (vii) through a combination of any such method.</w:t>
      </w:r>
    </w:p>
    <w:p>
      <w:pPr>
        <w:spacing w:after="0" w:line="140"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Each time we wish to issue and sell shares of our common stock under the sale agreement, we will notify the sales agent of the number of shares to be issued, the dates on which such sales are anticipated to be made, any limitation on the number of shares to be sold in any one day and any minimum price below which sales may not be made. Once we have so instructed the sales agent, unless the sales agent declines to accept the terms of such notice, the sales agent has agreed to use its commercially reasonable efforts consistent with its normal trading and sales practices to sell such shares up to the amount specified on such terms. The obligations of the sales agent under the sale agreement to sell shares of our common stock are subject to a number of conditions that we must meet. We or the sales agent may suspend the offering of shares of our common stock by notifying the other party.</w:t>
      </w:r>
    </w:p>
    <w:p>
      <w:pPr>
        <w:spacing w:after="0" w:line="143"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The sale agreement also provides that we may also in the future enter into one or more terms agreements with the sales agent from time to time, on terms mutually satisfactory to us and the sales agent, to the extent we determine to sell shares of our common stock under the sale agreement directly to the sales agent as principal.</w:t>
      </w:r>
    </w:p>
    <w:p>
      <w:pPr>
        <w:spacing w:after="0" w:line="136"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The settlement of sales of shares between the sales agent and us is generally anticipated to occur on the first trading day following the date on which the sale was made. Sales of shares of our common stock as contemplated in this prospectus supplement will be settled through the facilities of The Depository Trust Company or by such other means as we and the sales agent may agree upon. There is no arrangement for funds to be received in an escrow, trust or similar arrangement.</w:t>
      </w:r>
    </w:p>
    <w:p>
      <w:pPr>
        <w:spacing w:after="0" w:line="141"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We will pay the sales agent a commission rate of up to 3.0% of the aggregate gross proceeds we receive from each sale of shares of our common stock. Because there is no minimum offering amount required as a condition to close this offering, the actual total public offering amount, commissions and proceeds to us, if any, are not determinable at this time. In addition, we have agreed to reimburse the sales agent for certain specified expenses, including the fees and disbursements of its legal counsel, under certain circumstances.</w:t>
      </w:r>
    </w:p>
    <w:p>
      <w:pPr>
        <w:spacing w:after="0" w:line="141"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We estimate that the total expenses for the offering, excluding any commissions or expense reimbursement payable to the sales agent under the terms of the sale agreement, will be approximately $449,000. The remaining sale proceeds, after deducting any other transaction fees, will equal our net proceeds from the sale of such shares. The sales agent will provide written confirmation to us before the open on Nasdaq on the day following each day on which shares of our common stock are sold under the sale agreement. Each confirmation will include the number of shares sold on that day, the aggregate gross proceeds of such sales and the proceeds to us.</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the sale of shares of our common stock on our behalf, the sales agent may be deemed to be an “underwriter” within the meaning of the Securities Act, and the compensation of the sales agent may be deemed to be underwriting commissions or discounts. We have agreed to indemnify the sales agent against certain civil liabilities, including liabilities under the Securities Act. We have also agreed to contribute to payments the sales agent may be required to make in respect of such liabilities.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offering of shares of our common stock pursuant to the sale agreement will terminate upon the earlier of (i) the sale of all shares of common stock subject to the sale agreement and (ii) the termination of the sale agreement as permitted therein. The sales agent may terminate the sale agreement at any time upon prior notice. We may terminate the sale agreement at any time upon prior notice.</w:t>
      </w:r>
    </w:p>
    <w:p>
      <w:pPr>
        <w:spacing w:after="0" w:line="136"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This summary of the material provisions of the sale agreement does not purport to be a complete statement of its terms and conditions. A copy of the sale agreement is filed as an exhibit to a Current Report on Form 8-K filed under the Exchange Act and incorporated by reference in this prospectus supplement.</w:t>
      </w:r>
    </w:p>
    <w:p>
      <w:pPr>
        <w:spacing w:after="0" w:line="136"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sales agent and its affiliates may in the future provide various investment banking, commercial banking, financial advisory and other financial services for us and our affiliates, for which services it may in the future receive customary fees. In the course of its business, the sales agent may actively trade our securities for its own account or for the accounts of customers, and, accordingly, the sales agent may at any time hold long or short positions in such securities.</w:t>
      </w:r>
    </w:p>
    <w:p>
      <w:pPr>
        <w:spacing w:after="0" w:line="141"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This prospectus supplement in electronic format may be made available on a website maintained by the sales agent, and the sales agent may distribute this prospectus supplement electronically.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The validity of the securities offered hereby will be passed upon for us by Wilson Sonsini Goodrich &amp; Rosati, Professional Corporation, San Diego, California. Goodwin Procter LLP, Redwood City, California is representing the sales agent in connection with the offering.</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339" w:firstLine="343"/>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ImmunityBio, Inc. appearing in ImmunityBio, Inc.’s </w:t>
      </w:r>
      <w:hyperlink r:id="rId38">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and the effectiveness of ImmunityBio’s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319" w:firstLine="343"/>
        <w:spacing w:after="0" w:line="280" w:lineRule="auto"/>
        <w:rPr>
          <w:sz w:val="20"/>
          <w:szCs w:val="20"/>
          <w:color w:val="auto"/>
        </w:rPr>
      </w:pPr>
      <w:r>
        <w:rPr>
          <w:rFonts w:ascii="Times New Roman" w:cs="Times New Roman" w:eastAsia="Times New Roman" w:hAnsi="Times New Roman"/>
          <w:sz w:val="13"/>
          <w:szCs w:val="13"/>
          <w:color w:val="auto"/>
        </w:rPr>
        <w:t>We have filed with the SEC a registration statement on Form S-3ASR (File No. 333-278770) under the Securities Act, of which this prospectus supplement and the accompanying prospectus form a part. The rules and regulations of the SEC allow us to omit from this prospectus supplement certain information included in the registration statement. For further information about us and the common stock we are offering under this prospectus supplement, you should refer to the registration statement and the exhibits and schedules filed with the registration statement. 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31"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We file annual, quarterly and current reports, proxy and information statements and other documents with the SEC electronically. The SEC maintains an Internet site that contains reports, proxy and information statements, and other information regarding issuers that file electronically with the SEC. You can access the electronic versions of these filings on the SEC’s website found at www.sec.gov.</w:t>
      </w:r>
    </w:p>
    <w:p>
      <w:pPr>
        <w:spacing w:after="0" w:line="136" w:lineRule="exact"/>
        <w:rPr>
          <w:sz w:val="20"/>
          <w:szCs w:val="20"/>
          <w:color w:val="auto"/>
        </w:rPr>
      </w:pPr>
    </w:p>
    <w:p>
      <w:pPr>
        <w:ind w:left="1360" w:right="539" w:firstLine="343"/>
        <w:spacing w:after="0" w:line="261" w:lineRule="auto"/>
        <w:rPr>
          <w:sz w:val="20"/>
          <w:szCs w:val="20"/>
          <w:color w:val="auto"/>
        </w:rPr>
      </w:pPr>
      <w:r>
        <w:rPr>
          <w:rFonts w:ascii="Times New Roman" w:cs="Times New Roman" w:eastAsia="Times New Roman" w:hAnsi="Times New Roman"/>
          <w:sz w:val="14"/>
          <w:szCs w:val="14"/>
          <w:color w:val="auto"/>
        </w:rPr>
        <w:t>We make available free of charge on our website our annual, quarterly and current reports, including amendments to such reports, as soon as reasonably practicable after we electronically file such material with, or furnish such material to, the SEC. Please note, however, that we have not incorporated any other information by reference from our website, other than the documents listed under the heading “</w:t>
      </w:r>
      <w:r>
        <w:rPr>
          <w:rFonts w:ascii="Times New Roman" w:cs="Times New Roman" w:eastAsia="Times New Roman" w:hAnsi="Times New Roman"/>
          <w:sz w:val="14"/>
          <w:szCs w:val="14"/>
          <w:u w:val="single" w:color="auto"/>
          <w:color w:val="0000EE"/>
        </w:rPr>
        <w:t>Information Incorporated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Reference</w:t>
      </w:r>
      <w:r>
        <w:rPr>
          <w:rFonts w:ascii="Times New Roman" w:cs="Times New Roman" w:eastAsia="Times New Roman" w:hAnsi="Times New Roman"/>
          <w:sz w:val="14"/>
          <w:szCs w:val="14"/>
          <w:color w:val="000000"/>
        </w:rPr>
        <w:t>” below.</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77"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are related to such information), until the offering of the securities under the registration statement of which this prospectus forms a part is terminated or completed:</w:t>
      </w:r>
    </w:p>
    <w:p>
      <w:pPr>
        <w:spacing w:after="0" w:line="51" w:lineRule="exact"/>
        <w:rPr>
          <w:sz w:val="20"/>
          <w:szCs w:val="20"/>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8">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March 3, 2025;</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quarterly periods ended on March 31, 2025, June 30, 2025, and September 30, 2025, filed with the SEC on </w:t>
      </w:r>
      <w:hyperlink r:id="rId40">
        <w:r>
          <w:rPr>
            <w:rFonts w:ascii="Times New Roman" w:cs="Times New Roman" w:eastAsia="Times New Roman" w:hAnsi="Times New Roman"/>
            <w:sz w:val="14"/>
            <w:szCs w:val="14"/>
            <w:u w:val="single" w:color="auto"/>
            <w:color w:val="0000EE"/>
          </w:rPr>
          <w:t>May 12, 2025</w:t>
        </w:r>
      </w:hyperlink>
      <w:r>
        <w:rPr>
          <w:rFonts w:ascii="Times New Roman" w:cs="Times New Roman" w:eastAsia="Times New Roman" w:hAnsi="Times New Roman"/>
          <w:sz w:val="14"/>
          <w:szCs w:val="14"/>
          <w:color w:val="auto"/>
        </w:rPr>
        <w:t xml:space="preserve">, </w:t>
      </w:r>
      <w:hyperlink r:id="rId41">
        <w:r>
          <w:rPr>
            <w:rFonts w:ascii="Times New Roman" w:cs="Times New Roman" w:eastAsia="Times New Roman" w:hAnsi="Times New Roman"/>
            <w:sz w:val="14"/>
            <w:szCs w:val="14"/>
            <w:u w:val="single" w:color="auto"/>
            <w:color w:val="0000EE"/>
          </w:rPr>
          <w:t>August 5, 2025</w:t>
        </w:r>
      </w:hyperlink>
      <w:r>
        <w:rPr>
          <w:rFonts w:ascii="Times New Roman" w:cs="Times New Roman" w:eastAsia="Times New Roman" w:hAnsi="Times New Roman"/>
          <w:sz w:val="14"/>
          <w:szCs w:val="14"/>
          <w:color w:val="auto"/>
        </w:rPr>
        <w:t xml:space="preserve">, and </w:t>
      </w:r>
      <w:hyperlink r:id="rId42">
        <w:r>
          <w:rPr>
            <w:rFonts w:ascii="Times New Roman" w:cs="Times New Roman" w:eastAsia="Times New Roman" w:hAnsi="Times New Roman"/>
            <w:sz w:val="14"/>
            <w:szCs w:val="14"/>
            <w:u w:val="single" w:color="auto"/>
            <w:color w:val="0000EE"/>
          </w:rPr>
          <w:t>November 5, 2025</w:t>
        </w:r>
      </w:hyperlink>
      <w:r>
        <w:rPr>
          <w:rFonts w:ascii="Times New Roman" w:cs="Times New Roman" w:eastAsia="Times New Roman" w:hAnsi="Times New Roman"/>
          <w:sz w:val="14"/>
          <w:szCs w:val="14"/>
          <w:color w:val="auto"/>
        </w:rPr>
        <w:t>, respectively;</w:t>
      </w:r>
    </w:p>
    <w:p>
      <w:pPr>
        <w:spacing w:after="0" w:line="5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17"/>
        </w:numPr>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u w:val="single" w:color="auto"/>
            <w:color w:val="0000EE"/>
          </w:rPr>
          <w:t>the information incorporated by reference into our Annual Report on Form 10-K for the year ended December 31, 2024 from our</w:t>
        </w:r>
      </w:hyperlink>
      <w:r>
        <w:rPr>
          <w:rFonts w:ascii="Times New Roman" w:cs="Times New Roman" w:eastAsia="Times New Roman" w:hAnsi="Times New Roman"/>
          <w:sz w:val="14"/>
          <w:szCs w:val="14"/>
          <w:u w:val="single" w:color="auto"/>
          <w:color w:val="0000EE"/>
        </w:rPr>
        <w:t xml:space="preserve"> </w:t>
      </w:r>
      <w:hyperlink r:id="rId43">
        <w:r>
          <w:rPr>
            <w:rFonts w:ascii="Times New Roman" w:cs="Times New Roman" w:eastAsia="Times New Roman" w:hAnsi="Times New Roman"/>
            <w:sz w:val="14"/>
            <w:szCs w:val="14"/>
            <w:u w:val="single" w:color="auto"/>
            <w:color w:val="0000EE"/>
          </w:rPr>
          <w:t>Definitive Proxy Statement on Schedule 14A, filed with the SEC on April 30, 2025</w:t>
        </w:r>
        <w:r>
          <w:rPr>
            <w:rFonts w:ascii="Times New Roman" w:cs="Times New Roman" w:eastAsia="Times New Roman" w:hAnsi="Times New Roman"/>
            <w:sz w:val="14"/>
            <w:szCs w:val="14"/>
            <w:color w:val="000000"/>
          </w:rPr>
          <w:t>;</w:t>
        </w:r>
      </w:hyperlink>
    </w:p>
    <w:p>
      <w:pPr>
        <w:spacing w:after="0" w:line="51" w:lineRule="exact"/>
        <w:rPr>
          <w:rFonts w:ascii="Times New Roman" w:cs="Times New Roman" w:eastAsia="Times New Roman" w:hAnsi="Times New Roman"/>
          <w:sz w:val="14"/>
          <w:szCs w:val="14"/>
          <w:color w:val="0000EE"/>
        </w:rPr>
      </w:pPr>
    </w:p>
    <w:p>
      <w:pPr>
        <w:ind w:left="2120" w:right="319" w:hanging="345"/>
        <w:spacing w:after="0" w:line="283" w:lineRule="auto"/>
        <w:tabs>
          <w:tab w:leader="none" w:pos="2120" w:val="left"/>
        </w:tabs>
        <w:numPr>
          <w:ilvl w:val="0"/>
          <w:numId w:val="17"/>
        </w:numPr>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February 7,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13,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19,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8,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20,</w:t>
        </w:r>
      </w:hyperlink>
      <w:r>
        <w:rPr>
          <w:rFonts w:ascii="Times New Roman" w:cs="Times New Roman" w:eastAsia="Times New Roman" w:hAnsi="Times New Roman"/>
          <w:sz w:val="14"/>
          <w:szCs w:val="14"/>
          <w:color w:val="auto"/>
        </w:rPr>
        <w:t xml:space="preserve"> </w:t>
      </w:r>
      <w:hyperlink r:id="rId44">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5">
        <w:r>
          <w:rPr>
            <w:rFonts w:ascii="Times New Roman" w:cs="Times New Roman" w:eastAsia="Times New Roman" w:hAnsi="Times New Roman"/>
            <w:sz w:val="14"/>
            <w:szCs w:val="14"/>
            <w:u w:val="single" w:color="auto"/>
            <w:color w:val="0000EE"/>
          </w:rPr>
          <w:t>July 25, 2025</w:t>
        </w:r>
      </w:hyperlink>
      <w:hyperlink r:id="rId4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6">
        <w:r>
          <w:rPr>
            <w:rFonts w:ascii="Times New Roman" w:cs="Times New Roman" w:eastAsia="Times New Roman" w:hAnsi="Times New Roman"/>
            <w:sz w:val="14"/>
            <w:szCs w:val="14"/>
            <w:u w:val="single" w:color="auto"/>
            <w:color w:val="0000EE"/>
          </w:rPr>
          <w:t>August 8, 2025</w:t>
        </w:r>
      </w:hyperlink>
      <w:hyperlink r:id="rId4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7">
        <w:r>
          <w:rPr>
            <w:rFonts w:ascii="Times New Roman" w:cs="Times New Roman" w:eastAsia="Times New Roman" w:hAnsi="Times New Roman"/>
            <w:sz w:val="14"/>
            <w:szCs w:val="14"/>
            <w:u w:val="single" w:color="auto"/>
            <w:color w:val="0000EE"/>
          </w:rPr>
          <w:t>December 12, 2025</w:t>
        </w:r>
      </w:hyperlink>
      <w:hyperlink r:id="rId4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8">
        <w:r>
          <w:rPr>
            <w:rFonts w:ascii="Times New Roman" w:cs="Times New Roman" w:eastAsia="Times New Roman" w:hAnsi="Times New Roman"/>
            <w:sz w:val="14"/>
            <w:szCs w:val="14"/>
            <w:u w:val="single" w:color="auto"/>
            <w:color w:val="0000EE"/>
          </w:rPr>
          <w:t>December 15, 2025</w:t>
        </w:r>
      </w:hyperlink>
      <w:hyperlink r:id="rId44">
        <w:r>
          <w:rPr>
            <w:rFonts w:ascii="Times New Roman" w:cs="Times New Roman" w:eastAsia="Times New Roman" w:hAnsi="Times New Roman"/>
            <w:sz w:val="14"/>
            <w:szCs w:val="14"/>
            <w:color w:val="000000"/>
          </w:rPr>
          <w:t>, and December 23, 2025.</w:t>
        </w:r>
      </w:hyperlink>
    </w:p>
    <w:p>
      <w:pPr>
        <w:spacing w:after="0" w:line="125" w:lineRule="exact"/>
        <w:rPr>
          <w:rFonts w:ascii="Times New Roman" w:cs="Times New Roman" w:eastAsia="Times New Roman" w:hAnsi="Times New Roman"/>
          <w:sz w:val="14"/>
          <w:szCs w:val="14"/>
          <w:color w:val="0000EE"/>
        </w:rPr>
      </w:pPr>
    </w:p>
    <w:p>
      <w:pPr>
        <w:ind w:left="170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and telephone number:</w:t>
      </w:r>
    </w:p>
    <w:p>
      <w:pPr>
        <w:spacing w:after="0" w:line="175" w:lineRule="exact"/>
        <w:rPr>
          <w:rFonts w:ascii="Times New Roman" w:cs="Times New Roman" w:eastAsia="Times New Roman" w:hAnsi="Times New Roman"/>
          <w:sz w:val="14"/>
          <w:szCs w:val="14"/>
          <w:color w:val="0000EE"/>
        </w:rPr>
      </w:pPr>
    </w:p>
    <w:p>
      <w:pPr>
        <w:jc w:val="center"/>
        <w:ind w:right="-1140"/>
        <w:spacing w:after="0"/>
        <w:rPr>
          <w:sz w:val="20"/>
          <w:szCs w:val="20"/>
          <w:color w:val="auto"/>
        </w:rPr>
      </w:pPr>
      <w:r>
        <w:rPr>
          <w:rFonts w:ascii="Times New Roman" w:cs="Times New Roman" w:eastAsia="Times New Roman" w:hAnsi="Times New Roman"/>
          <w:sz w:val="14"/>
          <w:szCs w:val="14"/>
          <w:color w:val="auto"/>
        </w:rPr>
        <w:t>ImmunityBio, Inc.</w:t>
      </w:r>
    </w:p>
    <w:p>
      <w:pPr>
        <w:spacing w:after="0" w:line="22" w:lineRule="exact"/>
        <w:rPr>
          <w:rFonts w:ascii="Times New Roman" w:cs="Times New Roman" w:eastAsia="Times New Roman" w:hAnsi="Times New Roman"/>
          <w:sz w:val="14"/>
          <w:szCs w:val="14"/>
          <w:color w:val="0000EE"/>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rFonts w:ascii="Times New Roman" w:cs="Times New Roman" w:eastAsia="Times New Roman" w:hAnsi="Times New Roman"/>
          <w:sz w:val="14"/>
          <w:szCs w:val="14"/>
          <w:color w:val="0000EE"/>
        </w:rPr>
      </w:pPr>
    </w:p>
    <w:p>
      <w:pPr>
        <w:jc w:val="center"/>
        <w:ind w:right="-1140"/>
        <w:spacing w:after="0"/>
        <w:rPr>
          <w:sz w:val="20"/>
          <w:szCs w:val="20"/>
          <w:color w:val="auto"/>
        </w:rPr>
      </w:pPr>
      <w:r>
        <w:rPr>
          <w:rFonts w:ascii="Times New Roman" w:cs="Times New Roman" w:eastAsia="Times New Roman" w:hAnsi="Times New Roman"/>
          <w:sz w:val="14"/>
          <w:szCs w:val="14"/>
          <w:color w:val="auto"/>
        </w:rPr>
        <w:t>3530 John Hopkins Court</w:t>
      </w:r>
    </w:p>
    <w:p>
      <w:pPr>
        <w:spacing w:after="0" w:line="7" w:lineRule="exact"/>
        <w:rPr>
          <w:rFonts w:ascii="Times New Roman" w:cs="Times New Roman" w:eastAsia="Times New Roman" w:hAnsi="Times New Roman"/>
          <w:sz w:val="14"/>
          <w:szCs w:val="14"/>
          <w:color w:val="0000EE"/>
        </w:rPr>
      </w:pPr>
    </w:p>
    <w:p>
      <w:pPr>
        <w:jc w:val="center"/>
        <w:ind w:right="-1140"/>
        <w:spacing w:after="0"/>
        <w:rPr>
          <w:sz w:val="20"/>
          <w:szCs w:val="20"/>
          <w:color w:val="auto"/>
        </w:rPr>
      </w:pPr>
      <w:r>
        <w:rPr>
          <w:rFonts w:ascii="Times New Roman" w:cs="Times New Roman" w:eastAsia="Times New Roman" w:hAnsi="Times New Roman"/>
          <w:sz w:val="14"/>
          <w:szCs w:val="14"/>
          <w:color w:val="auto"/>
        </w:rPr>
        <w:t>San Diego, CA 92121</w:t>
      </w:r>
    </w:p>
    <w:p>
      <w:pPr>
        <w:spacing w:after="0" w:line="7" w:lineRule="exact"/>
        <w:rPr>
          <w:rFonts w:ascii="Times New Roman" w:cs="Times New Roman" w:eastAsia="Times New Roman" w:hAnsi="Times New Roman"/>
          <w:sz w:val="14"/>
          <w:szCs w:val="14"/>
          <w:color w:val="0000EE"/>
        </w:rPr>
      </w:pPr>
    </w:p>
    <w:p>
      <w:pPr>
        <w:jc w:val="center"/>
        <w:ind w:right="-1140"/>
        <w:spacing w:after="0"/>
        <w:rPr>
          <w:sz w:val="20"/>
          <w:szCs w:val="20"/>
          <w:color w:val="auto"/>
        </w:rPr>
      </w:pPr>
      <w:r>
        <w:rPr>
          <w:rFonts w:ascii="Times New Roman" w:cs="Times New Roman" w:eastAsia="Times New Roman" w:hAnsi="Times New Roman"/>
          <w:sz w:val="14"/>
          <w:szCs w:val="14"/>
          <w:color w:val="auto"/>
        </w:rPr>
        <w:t>(844) 696-5235</w:t>
      </w:r>
    </w:p>
    <w:p>
      <w:pPr>
        <w:spacing w:after="0" w:line="159" w:lineRule="exact"/>
        <w:rPr>
          <w:rFonts w:ascii="Times New Roman" w:cs="Times New Roman" w:eastAsia="Times New Roman" w:hAnsi="Times New Roman"/>
          <w:sz w:val="14"/>
          <w:szCs w:val="14"/>
          <w:color w:val="0000EE"/>
        </w:rPr>
      </w:pPr>
    </w:p>
    <w:p>
      <w:pPr>
        <w:ind w:left="1360" w:right="459"/>
        <w:spacing w:after="0" w:line="262" w:lineRule="auto"/>
        <w:rPr>
          <w:sz w:val="20"/>
          <w:szCs w:val="20"/>
          <w:color w:val="auto"/>
        </w:rPr>
      </w:pPr>
      <w:r>
        <w:rPr>
          <w:rFonts w:ascii="Times New Roman" w:cs="Times New Roman" w:eastAsia="Times New Roman" w:hAnsi="Times New Roman"/>
          <w:sz w:val="14"/>
          <w:szCs w:val="14"/>
          <w:b w:val="1"/>
          <w:bCs w:val="1"/>
          <w:color w:val="auto"/>
        </w:rPr>
        <w:t>You may also access the documents incorporated by reference in this prospectus supplement through our website at www.immunitybio.com. Except for the specific incorporated documents listed above, no information available on or through our website shall be deemed to be incorporated in this prospectus supplement or the registration statement of which it forms a part. Inclusion of our website address in this prospectus supplement is an inactive textual reference only.</w:t>
      </w:r>
    </w:p>
    <w:p>
      <w:pPr>
        <w:spacing w:after="0" w:line="87" w:lineRule="exact"/>
        <w:rPr>
          <w:rFonts w:ascii="Times New Roman" w:cs="Times New Roman" w:eastAsia="Times New Roman" w:hAnsi="Times New Roman"/>
          <w:sz w:val="14"/>
          <w:szCs w:val="14"/>
          <w:color w:val="0000EE"/>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135255</wp:posOffset>
            </wp:positionV>
            <wp:extent cx="1809115" cy="494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80911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Depositary Shares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Subscription Rights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Purchase Contracts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15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We may from time to time, in one or more offerings, offer and sell common stock, preferred stock, debt securities, depositary shares, warrants to purchase common stock, preferred stock or debt securities, subscription rights, purchase contracts or any combination of the foregoing, either individually or as units comprised of one or more of the other securities.</w:t>
      </w:r>
    </w:p>
    <w:p>
      <w:pPr>
        <w:spacing w:after="0" w:line="136"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We may also authorize one or more free writing prospectuses to be provided to you in connection with these offerings. A prospectus supplement and any free writing prospectus may also add, update or change information contained in this prospectus with respect to that offering. You should read this prospectus, the information and documents incorporated, or deemed to be incorporated, by reference in this prospectus, and any applicable prospectus supplement and any related free writing prospectus carefully before you purchase any of our securities offered hereby.</w:t>
      </w:r>
    </w:p>
    <w:p>
      <w:pPr>
        <w:spacing w:after="0" w:line="14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“IBRX.” On April 12, 2024, the closing price on The Nasdaq Global Select Market was $5.11 per share. There is currently no market for the other securities we may offer.</w:t>
      </w:r>
    </w:p>
    <w:p>
      <w:pPr>
        <w:spacing w:after="0" w:line="115" w:lineRule="exact"/>
        <w:rPr>
          <w:sz w:val="20"/>
          <w:szCs w:val="20"/>
          <w:color w:val="auto"/>
        </w:rPr>
      </w:pPr>
    </w:p>
    <w:p>
      <w:pPr>
        <w:jc w:val="both"/>
        <w:ind w:left="1360" w:right="279" w:firstLine="343"/>
        <w:spacing w:after="0" w:line="24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Please carefully read the information under the headings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6 of this prospectus and in any similar section contained in or incorporated by reference herein or in the applicable prospectus supplement, and “Item 1A – Risk Factors” of our most recent report on</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Form 10-K or 10-Q that is incorporated by reference in this prospectus before you invest in our securities.</w:t>
      </w:r>
    </w:p>
    <w:p>
      <w:pPr>
        <w:spacing w:after="0" w:line="148" w:lineRule="exact"/>
        <w:rPr>
          <w:sz w:val="20"/>
          <w:szCs w:val="20"/>
          <w:color w:val="auto"/>
        </w:rPr>
      </w:pPr>
    </w:p>
    <w:p>
      <w:pPr>
        <w:ind w:left="1360" w:right="25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5"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These securities may be offered and sold to or through one or more underwriters, dealers and agents, or directly to purchasers, or through a combination of these methods. If underwriters, dealers, or agents are used to sell the securities, we will name them and describe their compensation in a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The date of this prospectus is April 17, 2024.</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320" w:type="dxa"/>
            <w:vAlign w:val="bottom"/>
            <w:gridSpan w:val="2"/>
          </w:tcPr>
          <w:p>
            <w:pPr>
              <w:jc w:val="right"/>
              <w:ind w:right="344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25"/>
        </w:trPr>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Prospectus</w:t>
            </w:r>
          </w:p>
        </w:tc>
        <w:tc>
          <w:tcPr>
            <w:tcW w:w="1700" w:type="dxa"/>
            <w:vAlign w:val="bottom"/>
            <w:gridSpan w:val="16"/>
          </w:tcPr>
          <w:p>
            <w:pPr>
              <w:spacing w:after="0"/>
              <w:rPr>
                <w:sz w:val="24"/>
                <w:szCs w:val="24"/>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07"/>
        </w:trPr>
        <w:tc>
          <w:tcPr>
            <w:tcW w:w="2220" w:type="dxa"/>
            <w:vAlign w:val="bottom"/>
            <w:gridSpan w:val="18"/>
          </w:tcPr>
          <w:p>
            <w:pPr>
              <w:spacing w:after="0" w:line="97" w:lineRule="exact"/>
              <w:rPr>
                <w:sz w:val="20"/>
                <w:szCs w:val="20"/>
                <w:color w:val="auto"/>
              </w:rPr>
            </w:pPr>
            <w:r>
              <w:rPr>
                <w:rFonts w:ascii="Times New Roman" w:cs="Times New Roman" w:eastAsia="Times New Roman" w:hAnsi="Times New Roman"/>
                <w:sz w:val="11"/>
                <w:szCs w:val="11"/>
                <w:color w:val="0000EE"/>
              </w:rPr>
              <w:t>About this Prospectus</w:t>
            </w:r>
          </w:p>
        </w:tc>
        <w:tc>
          <w:tcPr>
            <w:tcW w:w="6080" w:type="dxa"/>
            <w:vAlign w:val="bottom"/>
          </w:tcPr>
          <w:p>
            <w:pPr>
              <w:spacing w:after="0"/>
              <w:rPr>
                <w:sz w:val="9"/>
                <w:szCs w:val="9"/>
                <w:color w:val="auto"/>
              </w:rPr>
            </w:pPr>
          </w:p>
        </w:tc>
        <w:tc>
          <w:tcPr>
            <w:tcW w:w="2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ii</w:t>
            </w:r>
          </w:p>
        </w:tc>
      </w:tr>
      <w:tr>
        <w:trPr>
          <w:trHeight w:val="159"/>
        </w:trPr>
        <w:tc>
          <w:tcPr>
            <w:tcW w:w="1220" w:type="dxa"/>
            <w:vAlign w:val="bottom"/>
            <w:tcBorders>
              <w:top w:val="single" w:sz="8" w:color="0000EE"/>
            </w:tcBorders>
            <w:gridSpan w:val="9"/>
          </w:tcPr>
          <w:p>
            <w:pPr>
              <w:spacing w:after="0" w:line="159" w:lineRule="exact"/>
              <w:rPr>
                <w:sz w:val="20"/>
                <w:szCs w:val="20"/>
                <w:color w:val="auto"/>
              </w:rPr>
            </w:pPr>
            <w:r>
              <w:rPr>
                <w:rFonts w:ascii="Times New Roman" w:cs="Times New Roman" w:eastAsia="Times New Roman" w:hAnsi="Times New Roman"/>
                <w:sz w:val="14"/>
                <w:szCs w:val="14"/>
                <w:color w:val="0000EE"/>
              </w:rPr>
              <w:t>Prospectus Summary</w:t>
            </w:r>
          </w:p>
        </w:tc>
        <w:tc>
          <w:tcPr>
            <w:tcW w:w="1000" w:type="dxa"/>
            <w:vAlign w:val="bottom"/>
            <w:gridSpan w:val="9"/>
          </w:tcPr>
          <w:p>
            <w:pPr>
              <w:spacing w:after="0"/>
              <w:rPr>
                <w:sz w:val="13"/>
                <w:szCs w:val="13"/>
                <w:color w:val="auto"/>
              </w:rPr>
            </w:pPr>
          </w:p>
        </w:tc>
        <w:tc>
          <w:tcPr>
            <w:tcW w:w="63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70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480" w:type="dxa"/>
            <w:vAlign w:val="bottom"/>
            <w:tcBorders>
              <w:top w:val="single" w:sz="8" w:color="0000EE"/>
            </w:tcBorders>
            <w:gridSpan w:val="5"/>
          </w:tcPr>
          <w:p>
            <w:pPr>
              <w:spacing w:after="0"/>
              <w:rPr>
                <w:sz w:val="12"/>
                <w:szCs w:val="12"/>
                <w:color w:val="auto"/>
              </w:rPr>
            </w:pPr>
          </w:p>
        </w:tc>
        <w:tc>
          <w:tcPr>
            <w:tcW w:w="1040" w:type="dxa"/>
            <w:vAlign w:val="bottom"/>
            <w:gridSpan w:val="10"/>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r>
      <w:tr>
        <w:trPr>
          <w:trHeight w:val="148"/>
        </w:trPr>
        <w:tc>
          <w:tcPr>
            <w:tcW w:w="222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Forward-Looking Statements</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r>
      <w:tr>
        <w:trPr>
          <w:trHeight w:val="148"/>
        </w:trPr>
        <w:tc>
          <w:tcPr>
            <w:tcW w:w="1640" w:type="dxa"/>
            <w:vAlign w:val="bottom"/>
            <w:tcBorders>
              <w:top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580" w:type="dxa"/>
            <w:vAlign w:val="bottom"/>
            <w:gridSpan w:val="5"/>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10</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148"/>
        </w:trPr>
        <w:tc>
          <w:tcPr>
            <w:tcW w:w="160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620" w:type="dxa"/>
            <w:vAlign w:val="bottom"/>
            <w:gridSpan w:val="6"/>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11</w:t>
            </w:r>
          </w:p>
        </w:tc>
      </w:tr>
      <w:tr>
        <w:trPr>
          <w:trHeight w:val="148"/>
        </w:trPr>
        <w:tc>
          <w:tcPr>
            <w:tcW w:w="170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520" w:type="dxa"/>
            <w:vAlign w:val="bottom"/>
            <w:gridSpan w:val="4"/>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12</w:t>
            </w:r>
          </w:p>
        </w:tc>
      </w:tr>
      <w:tr>
        <w:trPr>
          <w:trHeight w:val="148"/>
        </w:trPr>
        <w:tc>
          <w:tcPr>
            <w:tcW w:w="1860" w:type="dxa"/>
            <w:vAlign w:val="bottom"/>
            <w:tcBorders>
              <w:bottom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Depositary Shares</w:t>
            </w:r>
          </w:p>
        </w:tc>
        <w:tc>
          <w:tcPr>
            <w:tcW w:w="360" w:type="dxa"/>
            <w:vAlign w:val="bottom"/>
            <w:gridSpan w:val="3"/>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20</w:t>
            </w:r>
          </w:p>
        </w:tc>
      </w:tr>
      <w:tr>
        <w:trPr>
          <w:trHeight w:val="148"/>
        </w:trPr>
        <w:tc>
          <w:tcPr>
            <w:tcW w:w="1340" w:type="dxa"/>
            <w:vAlign w:val="bottom"/>
            <w:tcBorders>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880" w:type="dxa"/>
            <w:vAlign w:val="bottom"/>
            <w:gridSpan w:val="8"/>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r>
      <w:tr>
        <w:trPr>
          <w:trHeight w:val="148"/>
        </w:trPr>
        <w:tc>
          <w:tcPr>
            <w:tcW w:w="222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Description of Subscription Rights</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24</w:t>
            </w:r>
          </w:p>
        </w:tc>
      </w:tr>
      <w:tr>
        <w:trPr>
          <w:trHeight w:val="148"/>
        </w:trPr>
        <w:tc>
          <w:tcPr>
            <w:tcW w:w="1920" w:type="dxa"/>
            <w:vAlign w:val="bottom"/>
            <w:tcBorders>
              <w:top w:val="single" w:sz="8" w:color="0000EE"/>
              <w:bottom w:val="single" w:sz="8" w:color="0000EE"/>
            </w:tcBorders>
            <w:gridSpan w:val="16"/>
          </w:tcPr>
          <w:p>
            <w:pPr>
              <w:spacing w:after="0" w:line="148" w:lineRule="exact"/>
              <w:rPr>
                <w:sz w:val="20"/>
                <w:szCs w:val="20"/>
                <w:color w:val="auto"/>
              </w:rPr>
            </w:pPr>
            <w:r>
              <w:rPr>
                <w:rFonts w:ascii="Times New Roman" w:cs="Times New Roman" w:eastAsia="Times New Roman" w:hAnsi="Times New Roman"/>
                <w:sz w:val="14"/>
                <w:szCs w:val="14"/>
                <w:color w:val="0000EE"/>
                <w:w w:val="99"/>
              </w:rPr>
              <w:t>Description of Purchase Contracts</w:t>
            </w:r>
          </w:p>
        </w:tc>
        <w:tc>
          <w:tcPr>
            <w:tcW w:w="20" w:type="dxa"/>
            <w:vAlign w:val="bottom"/>
            <w:tcBorders>
              <w:top w:val="single" w:sz="8" w:color="0000EE"/>
            </w:tcBorders>
          </w:tcPr>
          <w:p>
            <w:pPr>
              <w:spacing w:after="0"/>
              <w:rPr>
                <w:sz w:val="12"/>
                <w:szCs w:val="12"/>
                <w:color w:val="auto"/>
              </w:rPr>
            </w:pPr>
          </w:p>
        </w:tc>
        <w:tc>
          <w:tcPr>
            <w:tcW w:w="280" w:type="dxa"/>
            <w:vAlign w:val="bottom"/>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25</w:t>
            </w:r>
          </w:p>
        </w:tc>
      </w:tr>
      <w:tr>
        <w:trPr>
          <w:trHeight w:val="148"/>
        </w:trPr>
        <w:tc>
          <w:tcPr>
            <w:tcW w:w="1140" w:type="dxa"/>
            <w:vAlign w:val="bottom"/>
            <w:tcBorders>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1080" w:type="dxa"/>
            <w:vAlign w:val="bottom"/>
            <w:gridSpan w:val="11"/>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r>
      <w:tr>
        <w:trPr>
          <w:trHeight w:val="148"/>
        </w:trPr>
        <w:tc>
          <w:tcPr>
            <w:tcW w:w="222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27</w:t>
            </w:r>
          </w:p>
        </w:tc>
      </w:tr>
      <w:tr>
        <w:trPr>
          <w:trHeight w:val="148"/>
        </w:trPr>
        <w:tc>
          <w:tcPr>
            <w:tcW w:w="78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2"/>
          </w:tcPr>
          <w:p>
            <w:pPr>
              <w:spacing w:after="0"/>
              <w:rPr>
                <w:sz w:val="12"/>
                <w:szCs w:val="12"/>
                <w:color w:val="auto"/>
              </w:rPr>
            </w:pPr>
          </w:p>
        </w:tc>
        <w:tc>
          <w:tcPr>
            <w:tcW w:w="1120" w:type="dxa"/>
            <w:vAlign w:val="bottom"/>
            <w:gridSpan w:val="12"/>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222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420" w:type="dxa"/>
            <w:vAlign w:val="bottom"/>
            <w:shd w:val="clear" w:color="auto" w:fill="0000EE"/>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148"/>
        </w:trPr>
        <w:tc>
          <w:tcPr>
            <w:tcW w:w="2220" w:type="dxa"/>
            <w:vAlign w:val="bottom"/>
            <w:tcBorders>
              <w:bottom w:val="single" w:sz="8" w:color="0000EE"/>
            </w:tcBorders>
            <w:gridSpan w:val="18"/>
          </w:tcPr>
          <w:p>
            <w:pPr>
              <w:spacing w:after="0" w:line="148"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1540" w:type="dxa"/>
            <w:vAlign w:val="bottom"/>
            <w:tcBorders>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gridSpan w:val="7"/>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both this prospectus, the applicable prospectus supplement and any related free writing prospectus, together with the additional information described under the headings “Where You Can Find Additional Information” and “Incorporation by Reference.”</w:t>
      </w:r>
    </w:p>
    <w:p>
      <w:pPr>
        <w:spacing w:after="0" w:line="144"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or incorporated by reference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by reference in this prospectus,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or the applicable prospectus supplement. Accordingly, investors should not place undue reliance on this information.</w:t>
      </w:r>
    </w:p>
    <w:p>
      <w:pPr>
        <w:spacing w:after="0" w:line="2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18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453380" cy="461899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“ImmunityBio, Inc.,” “ImmunityBio,” “we,” “our” and “us” refer, collectively, to ImmunityBio, Inc., a Delaware corporation, and its subsidiaries taken as a whole.</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Our Business</w:t>
      </w:r>
    </w:p>
    <w:p>
      <w:pPr>
        <w:spacing w:after="0" w:line="93" w:lineRule="exact"/>
        <w:rPr>
          <w:sz w:val="20"/>
          <w:szCs w:val="20"/>
          <w:color w:val="auto"/>
        </w:rPr>
      </w:pPr>
    </w:p>
    <w:p>
      <w:pPr>
        <w:ind w:left="1500" w:right="379" w:firstLine="332"/>
        <w:spacing w:after="0" w:line="254" w:lineRule="auto"/>
        <w:rPr>
          <w:sz w:val="20"/>
          <w:szCs w:val="20"/>
          <w:color w:val="auto"/>
        </w:rPr>
      </w:pPr>
      <w:r>
        <w:rPr>
          <w:rFonts w:ascii="Times New Roman" w:cs="Times New Roman" w:eastAsia="Times New Roman" w:hAnsi="Times New Roman"/>
          <w:sz w:val="14"/>
          <w:szCs w:val="14"/>
          <w:color w:val="auto"/>
        </w:rPr>
        <w:t xml:space="preserve">We are an integrated clinical-stage biotechnology company discovering, developing, and commercializing next-generation immuno- and cellular therapies that bolster the natural immune system to drive and sustain an immune response. Using our proprietary platforms that amplify both the innate and adaptive branches of the immune system, our teams of clinical, scientific, and manufacturing experts, advance novel therapies and vaccines aimed at defeating urologic and other cancers, as well as infectious diseases. Although such designations may not lead to a faster development process or regulatory review and may not increase the likelihood that a product candidate will receive approval, N-803 (“Anktiva”), our lead biologic commercial product candidate, has received </w:t>
      </w:r>
      <w:r>
        <w:rPr>
          <w:rFonts w:ascii="Times New Roman" w:cs="Times New Roman" w:eastAsia="Times New Roman" w:hAnsi="Times New Roman"/>
          <w:sz w:val="14"/>
          <w:szCs w:val="14"/>
          <w:i w:val="1"/>
          <w:iCs w:val="1"/>
          <w:color w:val="auto"/>
        </w:rPr>
        <w:t>Breakthrough Therapy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Fast Track</w:t>
      </w:r>
      <w:r>
        <w:rPr>
          <w:rFonts w:ascii="Times New Roman" w:cs="Times New Roman" w:eastAsia="Times New Roman" w:hAnsi="Times New Roman"/>
          <w:sz w:val="14"/>
          <w:szCs w:val="14"/>
          <w:color w:val="auto"/>
        </w:rPr>
        <w:t xml:space="preserve"> designations and is currently under review by the U.S. Food and Drug Administration (the “FDA”) for treatment in combination with bacillus Calmette-Guérin (“BCG”) of patients with BCG-unresponsive non-muscle invasive bladder cancer (“NMIBC”) with </w:t>
      </w:r>
      <w:r>
        <w:rPr>
          <w:rFonts w:ascii="Times New Roman" w:cs="Times New Roman" w:eastAsia="Times New Roman" w:hAnsi="Times New Roman"/>
          <w:sz w:val="14"/>
          <w:szCs w:val="14"/>
          <w:i w:val="1"/>
          <w:iCs w:val="1"/>
          <w:color w:val="auto"/>
        </w:rPr>
        <w:t>carcinoma in situ</w:t>
      </w:r>
      <w:r>
        <w:rPr>
          <w:rFonts w:ascii="Times New Roman" w:cs="Times New Roman" w:eastAsia="Times New Roman" w:hAnsi="Times New Roman"/>
          <w:sz w:val="14"/>
          <w:szCs w:val="14"/>
          <w:color w:val="auto"/>
        </w:rPr>
        <w:t xml:space="preserve"> (“CIS”) with or without Ta or T1 disease and has a new user fee goal date (PDUFA date) of April 23, 2024.</w:t>
      </w:r>
    </w:p>
    <w:p>
      <w:pPr>
        <w:spacing w:after="0" w:line="149" w:lineRule="exact"/>
        <w:rPr>
          <w:sz w:val="20"/>
          <w:szCs w:val="20"/>
          <w:color w:val="auto"/>
        </w:rPr>
      </w:pPr>
    </w:p>
    <w:p>
      <w:pPr>
        <w:ind w:left="1500" w:right="499" w:firstLine="332"/>
        <w:spacing w:after="0" w:line="257" w:lineRule="auto"/>
        <w:rPr>
          <w:sz w:val="20"/>
          <w:szCs w:val="20"/>
          <w:color w:val="auto"/>
        </w:rPr>
      </w:pPr>
      <w:r>
        <w:rPr>
          <w:rFonts w:ascii="Times New Roman" w:cs="Times New Roman" w:eastAsia="Times New Roman" w:hAnsi="Times New Roman"/>
          <w:sz w:val="14"/>
          <w:szCs w:val="14"/>
          <w:color w:val="auto"/>
        </w:rPr>
        <w:t>Our platforms and their associated product candidates are designed to attack cancer and infectious pathogens by activating both the innate immune system, including natural killer (“NK”) cells, dendritic cells, and macrophages, as well as the adaptive immune system comprising B and T cells,—in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checkpoint inhibitors, and/or reduce the need for standard high-dose chemotherapy in cancer by employing this coordinated approach to establish “immunological memory” that confers long-term benefit for the patient.</w:t>
      </w:r>
    </w:p>
    <w:p>
      <w:pPr>
        <w:spacing w:after="0" w:line="143" w:lineRule="exact"/>
        <w:rPr>
          <w:sz w:val="20"/>
          <w:szCs w:val="20"/>
          <w:color w:val="auto"/>
        </w:rPr>
      </w:pPr>
    </w:p>
    <w:p>
      <w:pPr>
        <w:ind w:left="1500" w:right="419" w:firstLine="332"/>
        <w:spacing w:after="0" w:line="258" w:lineRule="auto"/>
        <w:rPr>
          <w:sz w:val="20"/>
          <w:szCs w:val="20"/>
          <w:color w:val="auto"/>
        </w:rPr>
      </w:pPr>
      <w:r>
        <w:rPr>
          <w:rFonts w:ascii="Times New Roman" w:cs="Times New Roman" w:eastAsia="Times New Roman" w:hAnsi="Times New Roman"/>
          <w:sz w:val="14"/>
          <w:szCs w:val="14"/>
          <w:color w:val="auto"/>
        </w:rPr>
        <w:t>Our proprietary platforms for the development of biologic product candidates include: (i) antibody-cytokine fusion proteins, (ii) DNA, RNA, and recombinant protein vaccines, and (iii) cell therapies. These platforms have generated 9 novel therapeutic agents for which clinical trials are either underway or planned in solid and liquid tumors. Specifically, our clinical focus includes bladder, lung, and colorectal cancers and glioblastoma multiforme (“GBM”), which are among the most frequent and lethal cancer types, and where there are high failure rates for existing standards of care or no available effective treatment.</w:t>
      </w:r>
    </w:p>
    <w:p>
      <w:pPr>
        <w:spacing w:after="0" w:line="144" w:lineRule="exact"/>
        <w:rPr>
          <w:sz w:val="20"/>
          <w:szCs w:val="20"/>
          <w:color w:val="auto"/>
        </w:rPr>
      </w:pPr>
    </w:p>
    <w:p>
      <w:pPr>
        <w:ind w:left="1500" w:right="539" w:firstLine="332"/>
        <w:spacing w:after="0" w:line="234" w:lineRule="auto"/>
        <w:rPr>
          <w:sz w:val="20"/>
          <w:szCs w:val="20"/>
          <w:color w:val="auto"/>
        </w:rPr>
      </w:pPr>
      <w:r>
        <w:rPr>
          <w:rFonts w:ascii="Times New Roman" w:cs="Times New Roman" w:eastAsia="Times New Roman" w:hAnsi="Times New Roman"/>
          <w:sz w:val="14"/>
          <w:szCs w:val="14"/>
          <w:color w:val="auto"/>
        </w:rPr>
        <w:t>Our lead biologic commercial product candidate Anktiva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is an IL-15 superagonist antibody-cytokine fusion protein. In May 2022, we announced the submission of a Biologics License Application (“BLA”) to the FDA for Anktiva in combination with BCG for the treatment of patients with BCG-unresponsive NMIBC with CIS with or without Ta or T1 disease. On May 9, 2023, the FDA delivered a complete response letter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contract</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19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453380" cy="4819015"/>
                    </a:xfrm>
                    <a:prstGeom prst="rect">
                      <a:avLst/>
                    </a:prstGeom>
                    <a:noFill/>
                  </pic:spPr>
                </pic:pic>
              </a:graphicData>
            </a:graphic>
          </wp:anchor>
        </w:drawing>
      </w:r>
    </w:p>
    <w:p>
      <w:pPr>
        <w:spacing w:after="0" w:line="368" w:lineRule="exact"/>
        <w:rPr>
          <w:sz w:val="20"/>
          <w:szCs w:val="20"/>
          <w:color w:val="auto"/>
        </w:rPr>
      </w:pPr>
    </w:p>
    <w:p>
      <w:pPr>
        <w:ind w:left="1500" w:right="379"/>
        <w:spacing w:after="0" w:line="258" w:lineRule="auto"/>
        <w:rPr>
          <w:sz w:val="20"/>
          <w:szCs w:val="20"/>
          <w:color w:val="auto"/>
        </w:rPr>
      </w:pPr>
      <w:r>
        <w:rPr>
          <w:rFonts w:ascii="Times New Roman" w:cs="Times New Roman" w:eastAsia="Times New Roman" w:hAnsi="Times New Roman"/>
          <w:sz w:val="14"/>
          <w:szCs w:val="14"/>
          <w:color w:val="auto"/>
        </w:rPr>
        <w:t>manufacturing organizations (“CMOs”), among other items. Satisfactory resolution of the observations noted at the pre-license inspection would be required before the BLA could be approved. At the time, the FDA further provided recommendations specific to additional Chemistry, Manufacturing and Controls (“CMC”) issues and assays to be resolved. The CRL did not request new preclinical studies or Phase III clinical trials to evaluate safety or efficacy. The FDA requested that the company provide updated duration of response data for the efficacy population as identified by the FDA in the company’s resubmission, as well as a safety update.</w:t>
      </w:r>
    </w:p>
    <w:p>
      <w:pPr>
        <w:spacing w:after="0" w:line="144" w:lineRule="exact"/>
        <w:rPr>
          <w:sz w:val="20"/>
          <w:szCs w:val="20"/>
          <w:color w:val="auto"/>
        </w:rPr>
      </w:pPr>
    </w:p>
    <w:p>
      <w:pPr>
        <w:ind w:left="1500" w:right="419" w:firstLine="332"/>
        <w:spacing w:after="0" w:line="257" w:lineRule="auto"/>
        <w:rPr>
          <w:sz w:val="20"/>
          <w:szCs w:val="20"/>
          <w:color w:val="auto"/>
        </w:rPr>
      </w:pPr>
      <w:r>
        <w:rPr>
          <w:rFonts w:ascii="Times New Roman" w:cs="Times New Roman" w:eastAsia="Times New Roman" w:hAnsi="Times New Roman"/>
          <w:sz w:val="14"/>
          <w:szCs w:val="14"/>
          <w:color w:val="auto"/>
        </w:rPr>
        <w:t>On October 23, 2023, we announced that we had completed the resubmission of the BLA addressing the issues in the CRL. As part of our resubmission, we provided an update of the duration of response regarding the responders identified by the FDA in the efficacy population for BCG unresponsive subjects with high-risk CIS disease. On October 26, 2023, we announced that the FDA had accepted our BLA resubmission for review and considered it as a complete response to the CRL. The FDA has set a new user fee goal date (PDUFA date) of April 23, 2024. While we believe the BLA resubmission addresses the issues identified in the CRL, there is no guarantee that the FDA will ultimately agree that such issues have been successfully addressed and resolved. It is unclear when the FDA will approve our BLA, if at all.</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Our Strategy</w:t>
      </w:r>
    </w:p>
    <w:p>
      <w:pPr>
        <w:spacing w:after="0" w:line="93" w:lineRule="exact"/>
        <w:rPr>
          <w:sz w:val="20"/>
          <w:szCs w:val="20"/>
          <w:color w:val="auto"/>
        </w:rPr>
      </w:pPr>
    </w:p>
    <w:p>
      <w:pPr>
        <w:jc w:val="both"/>
        <w:ind w:left="1500" w:right="419" w:firstLine="332"/>
        <w:spacing w:after="0" w:line="323" w:lineRule="auto"/>
        <w:rPr>
          <w:sz w:val="20"/>
          <w:szCs w:val="20"/>
          <w:color w:val="auto"/>
        </w:rPr>
      </w:pPr>
      <w:r>
        <w:rPr>
          <w:rFonts w:ascii="Times New Roman" w:cs="Times New Roman" w:eastAsia="Times New Roman" w:hAnsi="Times New Roman"/>
          <w:sz w:val="13"/>
          <w:szCs w:val="13"/>
          <w:color w:val="auto"/>
        </w:rPr>
        <w:t>We seek to become a leading global immunological therapeutics company by creating next-generation immuno- and cell therapies to address serious unmet needs within urologic and other cancers as well as infectious diseases. To achieve this goal, the key elements of our strategy include:</w:t>
      </w:r>
    </w:p>
    <w:p>
      <w:pPr>
        <w:spacing w:after="0" w:line="29" w:lineRule="exact"/>
        <w:rPr>
          <w:sz w:val="20"/>
          <w:szCs w:val="20"/>
          <w:color w:val="auto"/>
        </w:rPr>
      </w:pPr>
    </w:p>
    <w:p>
      <w:pPr>
        <w:ind w:left="2220" w:right="459" w:hanging="313"/>
        <w:spacing w:after="0" w:line="283"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advancing the approval and commercialization of our lead IL-15 superagonist antibody-cytokine fusion protein, N-803, as an integral component of immunotherapy combinations, including those with checkpoint inhibitors;</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continuously scrutinizing our clinical pipeline;</w:t>
      </w:r>
    </w:p>
    <w:p>
      <w:pPr>
        <w:spacing w:after="0" w:line="101" w:lineRule="exact"/>
        <w:rPr>
          <w:rFonts w:ascii="Times New Roman" w:cs="Times New Roman" w:eastAsia="Times New Roman" w:hAnsi="Times New Roman"/>
          <w:sz w:val="14"/>
          <w:szCs w:val="14"/>
          <w:color w:val="auto"/>
        </w:rPr>
      </w:pPr>
    </w:p>
    <w:p>
      <w:pPr>
        <w:ind w:left="2220" w:right="619" w:hanging="313"/>
        <w:spacing w:after="0" w:line="283"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accelerating product candidates generated from our immunotherapy platforms with registrational intent to address difficult-to-treat oncological and infectious disease indications;</w:t>
      </w:r>
    </w:p>
    <w:p>
      <w:pPr>
        <w:spacing w:after="0" w:line="51" w:lineRule="exact"/>
        <w:rPr>
          <w:rFonts w:ascii="Times New Roman" w:cs="Times New Roman" w:eastAsia="Times New Roman" w:hAnsi="Times New Roman"/>
          <w:sz w:val="14"/>
          <w:szCs w:val="14"/>
          <w:color w:val="auto"/>
        </w:rPr>
      </w:pPr>
    </w:p>
    <w:p>
      <w:pPr>
        <w:jc w:val="both"/>
        <w:ind w:left="2220" w:right="419" w:hanging="313"/>
        <w:spacing w:after="0" w:line="267"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prospect, license, and acquire technologies to complement and strengthen our platforms and product candidates, both as single agent and combination therapies, in order to optimize responses of the innate and adaptive immune systems to generate cellular memory against multiple tumor types and infectious diseases;</w:t>
      </w:r>
    </w:p>
    <w:p>
      <w:pPr>
        <w:spacing w:after="0" w:line="6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investing in our discovery, development, and manufacturing capabilities for our next-generation product candidates in both oncology and infectious disease; and</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cultivating new and expanding existing collaborations for our multi-stage pipeline to reach global scale efficiently.</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1500" w:right="379" w:firstLine="332"/>
        <w:spacing w:after="0" w:line="267" w:lineRule="auto"/>
        <w:rPr>
          <w:sz w:val="20"/>
          <w:szCs w:val="20"/>
          <w:color w:val="auto"/>
        </w:rPr>
      </w:pPr>
      <w:r>
        <w:rPr>
          <w:rFonts w:ascii="Times New Roman" w:cs="Times New Roman" w:eastAsia="Times New Roman" w:hAnsi="Times New Roman"/>
          <w:sz w:val="14"/>
          <w:szCs w:val="14"/>
          <w:color w:val="auto"/>
        </w:rPr>
        <w:t>ImmunityBio, Inc. was established following a series of mergers and name changes. We were incorporated in Illinois on October 7, 2002 under the name ZelleRx Corporation. Our name was later changed to Conkwest, Inc., and we were reincorporated in the state of Delaware in March 2014. On July 10, 2015, we changed our name to NantKwest, Inc.</w:t>
      </w:r>
    </w:p>
    <w:p>
      <w:pPr>
        <w:spacing w:after="0" w:line="136" w:lineRule="exact"/>
        <w:rPr>
          <w:sz w:val="20"/>
          <w:szCs w:val="20"/>
          <w:color w:val="auto"/>
        </w:rPr>
      </w:pPr>
    </w:p>
    <w:p>
      <w:pPr>
        <w:ind w:left="1500" w:right="659" w:firstLine="332"/>
        <w:spacing w:after="0" w:line="283" w:lineRule="auto"/>
        <w:rPr>
          <w:sz w:val="20"/>
          <w:szCs w:val="20"/>
          <w:color w:val="auto"/>
        </w:rPr>
      </w:pPr>
      <w:r>
        <w:rPr>
          <w:rFonts w:ascii="Times New Roman" w:cs="Times New Roman" w:eastAsia="Times New Roman" w:hAnsi="Times New Roman"/>
          <w:sz w:val="14"/>
          <w:szCs w:val="14"/>
          <w:color w:val="auto"/>
        </w:rPr>
        <w:t>NantCell, LLC was originally organized as a Delaware limited liability company in November 2014. In April 2015, it was converted to a Delaware corporation, NantCell, Inc., and in May 2019 changed its name to ImmunityBio, Inc. (a private company).</w:t>
      </w:r>
    </w:p>
    <w:p>
      <w:pPr>
        <w:spacing w:after="0" w:line="125" w:lineRule="exact"/>
        <w:rPr>
          <w:sz w:val="20"/>
          <w:szCs w:val="20"/>
          <w:color w:val="auto"/>
        </w:rPr>
      </w:pPr>
    </w:p>
    <w:p>
      <w:pPr>
        <w:ind w:left="1500" w:right="559" w:firstLine="332"/>
        <w:spacing w:after="0" w:line="283" w:lineRule="auto"/>
        <w:rPr>
          <w:sz w:val="20"/>
          <w:szCs w:val="20"/>
          <w:color w:val="auto"/>
        </w:rPr>
      </w:pPr>
      <w:r>
        <w:rPr>
          <w:rFonts w:ascii="Times New Roman" w:cs="Times New Roman" w:eastAsia="Times New Roman" w:hAnsi="Times New Roman"/>
          <w:sz w:val="14"/>
          <w:szCs w:val="14"/>
          <w:color w:val="auto"/>
        </w:rPr>
        <w:t>On December 21, 2020, NantKwest, Inc. and ImmunityBio, Inc. entered into a merger agreement providing for the combination of the two companies (the Merger), with NantKwest, Inc. being the surviving company</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72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453380" cy="4672330"/>
                    </a:xfrm>
                    <a:prstGeom prst="rect">
                      <a:avLst/>
                    </a:prstGeom>
                    <a:noFill/>
                  </pic:spPr>
                </pic:pic>
              </a:graphicData>
            </a:graphic>
          </wp:anchor>
        </w:drawing>
      </w:r>
    </w:p>
    <w:p>
      <w:pPr>
        <w:spacing w:after="0" w:line="368" w:lineRule="exact"/>
        <w:rPr>
          <w:sz w:val="20"/>
          <w:szCs w:val="20"/>
          <w:color w:val="auto"/>
        </w:rPr>
      </w:pPr>
    </w:p>
    <w:p>
      <w:pPr>
        <w:ind w:left="1500" w:right="419"/>
        <w:spacing w:after="0" w:line="278" w:lineRule="auto"/>
        <w:rPr>
          <w:sz w:val="20"/>
          <w:szCs w:val="20"/>
          <w:color w:val="auto"/>
        </w:rPr>
      </w:pPr>
      <w:r>
        <w:rPr>
          <w:rFonts w:ascii="Times New Roman" w:cs="Times New Roman" w:eastAsia="Times New Roman" w:hAnsi="Times New Roman"/>
          <w:sz w:val="13"/>
          <w:szCs w:val="13"/>
          <w:color w:val="auto"/>
        </w:rPr>
        <w:t>which then changed its name to ImmunityBio, Inc. (and ImmunityBio, Inc., a private company, changed its name back to NantCell, Inc. and is now our wholly owned subsidiary). At the time, NantKwest, Inc. was an innovative, clinical-stage immunotherapy company focused on harnessing the power of the innate immune system to treat cancer and infectious diseases, and ImmunityBio, Inc. was a clinical-stage immunotherapy company developing next-generation therapies that drive immunogenic mechanisms for defeating cancer and infectious diseases, with an immunotherapy platform designed to activate both the innate and adaptive immune systems to create long-term “immunological memory.” We believe that the Merger, which closed on March 9, 2021, combined two companies to create a clinical-stage biotechnology company developing next-generation therapies and vaccines that complement, harness, and amplify the immune system to defeat cancers and infectious diseases.</w:t>
      </w:r>
    </w:p>
    <w:p>
      <w:pPr>
        <w:spacing w:after="0" w:line="133" w:lineRule="exact"/>
        <w:rPr>
          <w:sz w:val="20"/>
          <w:szCs w:val="20"/>
          <w:color w:val="auto"/>
        </w:rPr>
      </w:pPr>
    </w:p>
    <w:p>
      <w:pPr>
        <w:ind w:left="1500" w:right="459" w:firstLine="332"/>
        <w:spacing w:after="0" w:line="283" w:lineRule="auto"/>
        <w:rPr>
          <w:sz w:val="20"/>
          <w:szCs w:val="20"/>
          <w:color w:val="auto"/>
        </w:rPr>
      </w:pPr>
      <w:r>
        <w:rPr>
          <w:rFonts w:ascii="Times New Roman" w:cs="Times New Roman" w:eastAsia="Times New Roman" w:hAnsi="Times New Roman"/>
          <w:sz w:val="13"/>
          <w:szCs w:val="13"/>
          <w:color w:val="auto"/>
        </w:rPr>
        <w:t>ImmunityBio, Inc. is incorporated in Delaware and its principal executive offices are located in San Diego, California at 3530 John Hopkins Court, San Diego, California 92121. Our telephone number is (844) 696-5235. Our website address is https://www.immunitybio.com. Information contained on, or that can be accessed through, our website is not part of, and is not incorporated by reference into this prospectus and you should not consider information on, or that can be accessed through, our website to be part of this prospectus. Inclusion of our website address in this prospectus is an inactive textual reference only. Investors should not rely on any such information in deciding whether to purchase our securities.</w:t>
      </w:r>
    </w:p>
    <w:p>
      <w:pPr>
        <w:spacing w:after="0" w:line="128" w:lineRule="exact"/>
        <w:rPr>
          <w:sz w:val="20"/>
          <w:szCs w:val="20"/>
          <w:color w:val="auto"/>
        </w:rPr>
      </w:pPr>
    </w:p>
    <w:p>
      <w:pPr>
        <w:ind w:left="1500" w:right="419" w:firstLine="332"/>
        <w:spacing w:after="0" w:line="236" w:lineRule="auto"/>
        <w:rPr>
          <w:sz w:val="20"/>
          <w:szCs w:val="20"/>
          <w:color w:val="auto"/>
        </w:rPr>
      </w:pPr>
      <w:r>
        <w:rPr>
          <w:rFonts w:ascii="Times New Roman" w:cs="Times New Roman" w:eastAsia="Times New Roman" w:hAnsi="Times New Roman"/>
          <w:sz w:val="14"/>
          <w:szCs w:val="14"/>
          <w:color w:val="auto"/>
        </w:rPr>
        <w:t xml:space="preserve">We use ImmunityBio, the ImmunityBio logo, and other marks as trademarks in the United States and other countries. This prospectus, the accompanying prospectus supplement and the other documents incorporated by reference contain references to our trademarks and service marks and to those belonging to other entities. Solely for convenience, trademarks and trade names referred to in this prospectus, the accompanying prospectus supplement and the other documents incorporated by reference, including logos, artwork, and other visual displays,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93" w:lineRule="exact"/>
        <w:rPr>
          <w:sz w:val="20"/>
          <w:szCs w:val="20"/>
          <w:color w:val="auto"/>
        </w:rPr>
      </w:pPr>
    </w:p>
    <w:p>
      <w:pPr>
        <w:ind w:left="1500" w:right="379" w:firstLine="332"/>
        <w:spacing w:after="0" w:line="255" w:lineRule="auto"/>
        <w:rPr>
          <w:sz w:val="20"/>
          <w:szCs w:val="20"/>
          <w:color w:val="auto"/>
        </w:rPr>
      </w:pPr>
      <w:r>
        <w:rPr>
          <w:rFonts w:ascii="Times New Roman" w:cs="Times New Roman" w:eastAsia="Times New Roman" w:hAnsi="Times New Roman"/>
          <w:sz w:val="14"/>
          <w:szCs w:val="14"/>
          <w:color w:val="auto"/>
        </w:rPr>
        <w:t>We are a “smaller reporting company,” meaning that the market value of our shares held by non-affiliates was less than $700 million as of June 30 of our prior fiscal year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of June 30 of our prior fiscal year.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Securities That May Be Offered</w:t>
      </w:r>
    </w:p>
    <w:p>
      <w:pPr>
        <w:spacing w:after="0" w:line="93"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We may offer or sell common stock, preferred stock, depositary shares, debt securities, warrants, subscription rights, purchase contracts and units in one or more offerings individually or in any combination as units comprised of one or more of the other securities.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41" w:lineRule="exact"/>
        <w:rPr>
          <w:sz w:val="20"/>
          <w:szCs w:val="20"/>
          <w:color w:val="auto"/>
        </w:rPr>
      </w:pPr>
    </w:p>
    <w:p>
      <w:pPr>
        <w:ind w:left="1500" w:right="379" w:firstLine="332"/>
        <w:spacing w:after="0" w:line="283" w:lineRule="auto"/>
        <w:rPr>
          <w:sz w:val="20"/>
          <w:szCs w:val="20"/>
          <w:color w:val="auto"/>
        </w:rPr>
      </w:pPr>
      <w:r>
        <w:rPr>
          <w:rFonts w:ascii="Times New Roman" w:cs="Times New Roman" w:eastAsia="Times New Roman" w:hAnsi="Times New Roman"/>
          <w:sz w:val="14"/>
          <w:szCs w:val="14"/>
          <w:color w:val="auto"/>
        </w:rPr>
        <w:t>The securities may be sold to or through underwriters, dealers or agents or directly to purchasers or as otherwise set forth in the section of this prospectus captioned “Plan of Distribution.” We, as well as any of our</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79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453380" cy="4779010"/>
                    </a:xfrm>
                    <a:prstGeom prst="rect">
                      <a:avLst/>
                    </a:prstGeom>
                    <a:noFill/>
                  </pic:spPr>
                </pic:pic>
              </a:graphicData>
            </a:graphic>
          </wp:anchor>
        </w:drawing>
      </w:r>
    </w:p>
    <w:p>
      <w:pPr>
        <w:spacing w:after="0" w:line="368" w:lineRule="exact"/>
        <w:rPr>
          <w:sz w:val="20"/>
          <w:szCs w:val="20"/>
          <w:color w:val="auto"/>
        </w:rPr>
      </w:pPr>
    </w:p>
    <w:p>
      <w:pPr>
        <w:ind w:left="1500" w:right="639"/>
        <w:spacing w:after="0" w:line="267" w:lineRule="auto"/>
        <w:rPr>
          <w:sz w:val="20"/>
          <w:szCs w:val="20"/>
          <w:color w:val="auto"/>
        </w:rPr>
      </w:pPr>
      <w:r>
        <w:rPr>
          <w:rFonts w:ascii="Times New Roman" w:cs="Times New Roman" w:eastAsia="Times New Roman" w:hAnsi="Times New Roman"/>
          <w:sz w:val="14"/>
          <w:szCs w:val="14"/>
          <w:color w:val="auto"/>
        </w:rPr>
        <w:t>agents acting on our behalf, reserve the sole right to accept or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3" w:lineRule="exact"/>
        <w:rPr>
          <w:sz w:val="20"/>
          <w:szCs w:val="20"/>
          <w:color w:val="auto"/>
        </w:rPr>
      </w:pPr>
    </w:p>
    <w:p>
      <w:pPr>
        <w:ind w:left="1500" w:right="419" w:firstLine="332"/>
        <w:spacing w:after="0" w:line="287" w:lineRule="auto"/>
        <w:rPr>
          <w:sz w:val="20"/>
          <w:szCs w:val="20"/>
          <w:color w:val="auto"/>
        </w:rPr>
      </w:pPr>
      <w:r>
        <w:rPr>
          <w:rFonts w:ascii="Times New Roman" w:cs="Times New Roman" w:eastAsia="Times New Roman" w:hAnsi="Times New Roman"/>
          <w:sz w:val="13"/>
          <w:szCs w:val="13"/>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3" w:lineRule="exact"/>
        <w:rPr>
          <w:sz w:val="20"/>
          <w:szCs w:val="20"/>
          <w:color w:val="auto"/>
        </w:rPr>
      </w:pPr>
    </w:p>
    <w:p>
      <w:pPr>
        <w:ind w:left="1500" w:right="519" w:firstLine="332"/>
        <w:spacing w:after="0" w:line="257" w:lineRule="auto"/>
        <w:rPr>
          <w:sz w:val="20"/>
          <w:szCs w:val="20"/>
          <w:color w:val="auto"/>
        </w:rPr>
      </w:pPr>
      <w:r>
        <w:rPr>
          <w:rFonts w:ascii="Times New Roman" w:cs="Times New Roman" w:eastAsia="Times New Roman" w:hAnsi="Times New Roman"/>
          <w:sz w:val="14"/>
          <w:szCs w:val="14"/>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of our company, voting rights and rights to convert into common stock.</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Debt Securities</w:t>
      </w:r>
    </w:p>
    <w:p>
      <w:pPr>
        <w:spacing w:after="0" w:line="93" w:lineRule="exact"/>
        <w:rPr>
          <w:sz w:val="20"/>
          <w:szCs w:val="20"/>
          <w:color w:val="auto"/>
        </w:rPr>
      </w:pPr>
    </w:p>
    <w:p>
      <w:pPr>
        <w:ind w:left="1500" w:right="559" w:firstLine="332"/>
        <w:spacing w:after="0" w:line="258" w:lineRule="auto"/>
        <w:rPr>
          <w:sz w:val="20"/>
          <w:szCs w:val="20"/>
          <w:color w:val="auto"/>
        </w:rPr>
      </w:pPr>
      <w:r>
        <w:rPr>
          <w:rFonts w:ascii="Times New Roman" w:cs="Times New Roman" w:eastAsia="Times New Roman" w:hAnsi="Times New Roman"/>
          <w:sz w:val="14"/>
          <w:szCs w:val="14"/>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44" w:lineRule="exact"/>
        <w:rPr>
          <w:sz w:val="20"/>
          <w:szCs w:val="20"/>
          <w:color w:val="auto"/>
        </w:rPr>
      </w:pPr>
    </w:p>
    <w:p>
      <w:pPr>
        <w:ind w:left="1500" w:right="499" w:firstLine="332"/>
        <w:spacing w:after="0" w:line="261" w:lineRule="auto"/>
        <w:rPr>
          <w:sz w:val="20"/>
          <w:szCs w:val="20"/>
          <w:color w:val="auto"/>
        </w:rPr>
      </w:pPr>
      <w:r>
        <w:rPr>
          <w:rFonts w:ascii="Times New Roman" w:cs="Times New Roman" w:eastAsia="Times New Roman" w:hAnsi="Times New Roman"/>
          <w:sz w:val="14"/>
          <w:szCs w:val="14"/>
          <w:color w:val="auto"/>
        </w:rPr>
        <w:t>The debt securities will be issued under an indenture, as supplemented by a resolution of our board of directors, an officer’s certificate or a supplemental indenture, between us and a trustee.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Depositary Shares</w:t>
      </w:r>
    </w:p>
    <w:p>
      <w:pPr>
        <w:spacing w:after="0" w:line="93" w:lineRule="exact"/>
        <w:rPr>
          <w:sz w:val="20"/>
          <w:szCs w:val="20"/>
          <w:color w:val="auto"/>
        </w:rPr>
      </w:pPr>
    </w:p>
    <w:p>
      <w:pPr>
        <w:jc w:val="both"/>
        <w:ind w:left="1500" w:right="459" w:firstLine="332"/>
        <w:spacing w:after="0" w:line="267" w:lineRule="auto"/>
        <w:rPr>
          <w:sz w:val="20"/>
          <w:szCs w:val="20"/>
          <w:color w:val="auto"/>
        </w:rPr>
      </w:pPr>
      <w:r>
        <w:rPr>
          <w:rFonts w:ascii="Times New Roman" w:cs="Times New Roman" w:eastAsia="Times New Roman" w:hAnsi="Times New Roman"/>
          <w:sz w:val="14"/>
          <w:szCs w:val="14"/>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93" w:lineRule="exact"/>
        <w:rPr>
          <w:sz w:val="20"/>
          <w:szCs w:val="20"/>
          <w:color w:val="auto"/>
        </w:rPr>
      </w:pPr>
    </w:p>
    <w:p>
      <w:pPr>
        <w:ind w:left="1500" w:right="799" w:firstLine="332"/>
        <w:spacing w:after="0" w:line="283" w:lineRule="auto"/>
        <w:rPr>
          <w:sz w:val="20"/>
          <w:szCs w:val="20"/>
          <w:color w:val="auto"/>
        </w:rPr>
      </w:pPr>
      <w:r>
        <w:rPr>
          <w:rFonts w:ascii="Times New Roman" w:cs="Times New Roman" w:eastAsia="Times New Roman" w:hAnsi="Times New Roman"/>
          <w:sz w:val="14"/>
          <w:szCs w:val="14"/>
          <w:color w:val="auto"/>
        </w:rPr>
        <w:t>We may offer warrants for the purchase of common stock, preferred stock, debt securities or depositary shares. We may offer warrants independently or together with other securities.</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734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453380" cy="173482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Subscription Rights</w:t>
      </w:r>
    </w:p>
    <w:p>
      <w:pPr>
        <w:spacing w:after="0" w:line="93" w:lineRule="exact"/>
        <w:rPr>
          <w:sz w:val="20"/>
          <w:szCs w:val="20"/>
          <w:color w:val="auto"/>
        </w:rPr>
      </w:pPr>
    </w:p>
    <w:p>
      <w:pPr>
        <w:ind w:left="1500" w:right="659" w:firstLine="332"/>
        <w:spacing w:after="0" w:line="267" w:lineRule="auto"/>
        <w:rPr>
          <w:sz w:val="20"/>
          <w:szCs w:val="20"/>
          <w:color w:val="auto"/>
        </w:rPr>
      </w:pPr>
      <w:r>
        <w:rPr>
          <w:rFonts w:ascii="Times New Roman" w:cs="Times New Roman" w:eastAsia="Times New Roman" w:hAnsi="Times New Roman"/>
          <w:sz w:val="14"/>
          <w:szCs w:val="14"/>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Purchase Contracts</w:t>
      </w:r>
    </w:p>
    <w:p>
      <w:pPr>
        <w:spacing w:after="0" w:line="93" w:lineRule="exact"/>
        <w:rPr>
          <w:sz w:val="20"/>
          <w:szCs w:val="20"/>
          <w:color w:val="auto"/>
        </w:rPr>
      </w:pPr>
    </w:p>
    <w:p>
      <w:pPr>
        <w:ind w:left="1500" w:right="659" w:firstLine="332"/>
        <w:spacing w:after="0" w:line="283" w:lineRule="auto"/>
        <w:rPr>
          <w:sz w:val="20"/>
          <w:szCs w:val="20"/>
          <w:color w:val="auto"/>
        </w:rPr>
      </w:pPr>
      <w:r>
        <w:rPr>
          <w:rFonts w:ascii="Times New Roman" w:cs="Times New Roman" w:eastAsia="Times New Roman" w:hAnsi="Times New Roman"/>
          <w:sz w:val="14"/>
          <w:szCs w:val="14"/>
          <w:color w:val="auto"/>
        </w:rPr>
        <w:t>We may offer purchase contracts, including contracts obligating holders or us to purchase from the other a specific or variable number of securities at a future date or dates.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Units</w:t>
      </w:r>
    </w:p>
    <w:p>
      <w:pPr>
        <w:spacing w:after="0" w:line="93" w:lineRule="exact"/>
        <w:rPr>
          <w:sz w:val="20"/>
          <w:szCs w:val="20"/>
          <w:color w:val="auto"/>
        </w:rPr>
      </w:pPr>
    </w:p>
    <w:p>
      <w:pPr>
        <w:ind w:left="1500" w:right="459" w:firstLine="332"/>
        <w:spacing w:after="0" w:line="283" w:lineRule="auto"/>
        <w:rPr>
          <w:sz w:val="20"/>
          <w:szCs w:val="20"/>
          <w:color w:val="auto"/>
        </w:rPr>
      </w:pPr>
      <w:r>
        <w:rPr>
          <w:rFonts w:ascii="Times New Roman" w:cs="Times New Roman" w:eastAsia="Times New Roman" w:hAnsi="Times New Roman"/>
          <w:sz w:val="14"/>
          <w:szCs w:val="14"/>
          <w:color w:val="auto"/>
        </w:rPr>
        <w:t>We may offer units comprised of one or more of the other classes of securities described in this prospectus in any combination. Each unit we may issue will be issued so that the holder of the unit is also the holder of each security included in the unit.</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7"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and any related free writing prospectus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which is incorporated herein by reference, as may be amended, updated, supplemented or superseded from time to time by annual, quarterly and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7"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and Section 21E of the Securities Exchange Act of 1934, as amended (the “Exchange Act”). Forward-looking statements include statements that are not historical facts and can be identified by terminology such as “may,” “will,” “should,” “could,” “would,” “expects,” “plans,” “intends,” “anticipates,” “believes,” “estimates,” “schedule,” “goal,” “predicts,” “projects,” “seek,” “should,” “potential,” or “continue,” or the negative of such terms and other same terminology.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including business, regulatory, economic and competitive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49"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Because forward-looking statements are inherently subject to risks and uncertainties, some of which cannot be predicted or quantified, you should not rely upon forward-looking statements as predictions of future events.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as of a specific time period.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concerning the following:</w:t>
      </w:r>
    </w:p>
    <w:p>
      <w:pPr>
        <w:spacing w:after="0" w:line="102" w:lineRule="exact"/>
        <w:rPr>
          <w:sz w:val="20"/>
          <w:szCs w:val="20"/>
          <w:color w:val="auto"/>
        </w:rPr>
      </w:pPr>
    </w:p>
    <w:p>
      <w:pPr>
        <w:ind w:left="2120" w:right="31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next-generation therapies and vaccines that complement, harness, and amplify the immune system to defeat cancers and infectious diseases;</w:t>
      </w:r>
    </w:p>
    <w:p>
      <w:pPr>
        <w:spacing w:after="0" w:line="5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to fund our operations and complete the development and commercialization of our various product candidates;</w:t>
      </w:r>
    </w:p>
    <w:p>
      <w:pPr>
        <w:spacing w:after="0" w:line="5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FDA will ultimately determine that the BLA resubmission and related actions successfully address and resolve the issues identified in the CRL;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third-party CMOs, to adequately address the issues raised in the FDA’s CRL;</w:t>
      </w:r>
    </w:p>
    <w:p>
      <w:pPr>
        <w:spacing w:after="0" w:line="10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FDA approval milestone after which Oberland Capital Management LLC and its affiliates (“Oberland”) may purchase $100.0 million in Revenue Interests will be achieved and, even if the</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milestone is achieved, whether Oberland will actually purchase such interests and fund such $100.0 million payment;</w:t>
      </w:r>
    </w:p>
    <w:p>
      <w:pPr>
        <w:spacing w:after="0" w:line="102" w:lineRule="exact"/>
        <w:rPr>
          <w:sz w:val="20"/>
          <w:szCs w:val="20"/>
          <w:color w:val="auto"/>
        </w:rPr>
      </w:pPr>
    </w:p>
    <w:p>
      <w:pPr>
        <w:ind w:left="2120" w:right="25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our payment obligations under the Revenue Interest Purchase Agreement (the “RIPA”) and to service the interest on our related-party promissory notes and repay such notes, to the extent required;</w:t>
      </w:r>
    </w:p>
    <w:p>
      <w:pPr>
        <w:spacing w:after="0" w:line="5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conditions, covenants, restrictions, and obligations set forth in the RIPA and related transaction documents;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benefits of our strategy and technology;</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operating results and make period-to-period comparisons predictive of future performance due to fluctuations in warrant values;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operation and effectiveness of our product candidates and related benefits;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multiple modes to induce cell death;</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benefits and perceived limitations of competing approaches, and the future of competing technologies and our industry;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our strategic vision and planned product candidate pipeline;</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success, cost and timing of our product candidate development activities and current and future clinical trials and studies, including study design and the enrollment of patients;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development and commercialization of our product candidates;</w:t>
      </w:r>
    </w:p>
    <w:p>
      <w:pPr>
        <w:spacing w:after="0" w:line="101" w:lineRule="exact"/>
        <w:rPr>
          <w:rFonts w:ascii="Times New Roman" w:cs="Times New Roman" w:eastAsia="Times New Roman" w:hAnsi="Times New Roman"/>
          <w:sz w:val="14"/>
          <w:szCs w:val="14"/>
          <w:color w:val="auto"/>
        </w:rPr>
      </w:pPr>
    </w:p>
    <w:p>
      <w:pPr>
        <w:ind w:left="2120" w:right="679" w:hanging="345"/>
        <w:spacing w:after="0" w:line="222"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utilize the Phase I/II aNK and 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clinical trials data to support the development of our product candidates, including our haNK, taNK, t-haNK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MSC, and M-ceNK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product candidates;</w:t>
      </w:r>
    </w:p>
    <w:p>
      <w:pPr>
        <w:ind w:left="2120" w:right="699" w:hanging="345"/>
        <w:spacing w:after="0" w:line="259"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development, application, commercialization, marketing, prospects and use generally of our product candidates, including Anktiva, hAd5 and saRNA constructs, and PD-L1 t-haNK and M-ceNK;</w:t>
      </w:r>
    </w:p>
    <w:p>
      <w:pPr>
        <w:spacing w:after="0" w:line="67" w:lineRule="exact"/>
        <w:rPr>
          <w:rFonts w:ascii="Times New Roman" w:cs="Times New Roman" w:eastAsia="Times New Roman" w:hAnsi="Times New Roman"/>
          <w:sz w:val="14"/>
          <w:szCs w:val="14"/>
          <w:color w:val="auto"/>
        </w:rPr>
      </w:pPr>
    </w:p>
    <w:p>
      <w:pPr>
        <w:ind w:left="2120" w:right="479" w:hanging="345"/>
        <w:spacing w:after="0" w:line="267"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or other actions and related regulatory authority responses, including any planned investigational new drug, BLA or New Drug Application filings or pursuit of accelerated regulatory approval pathways or orphan drug status and Breakthrough Therapy designations;</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an integrated discovery ecosystem and the operation of that planned ecosystem, including being able to regularly add neoepitopes and subsequently formulate new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strategic collaborators to share our vision and effectively work with us to achieve our goals;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various third parties to engage in research and development activities involving our product candidates, and our ability to leverage those activities;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additional third-party collaborators;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ease of administration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patient compatibility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markets for our product candidates and our ability to serve those markets;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enrollment and submission of our clinical trials, and protocols related to such trials;</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an antibody-cytokine fusion protein, a DNA, RNA, or recombinant protein vaccine, or a cell therapy;</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manufacturing and distribution benefits associated with our product candidates, and our third-party CMOs’ abilities to follow current Good Manufacturing Practice standards to scale up the production of our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regarding our manufacturing facilities and our belief that our manufacturing is capable of being conducted in-house;</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in the potential of our antibody-cytokine fusion proteins, DNA, RNA, or recombinant protein vaccines, or cell therapies, and the fact that our business is based upon the success individually and collectively of these platforms;</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regarding the magnitude or duration for additional clinical testing of our antibody-cytokine fusion proteins, DNA, RNA or recombinant protein vaccines, or cell therapies, along with other product candidate families;</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successfully develop and commercialize specific product candidates like our N-803 or PD-L1 t-haNK, our ability to develop and commercialize our other product candidates either alone or in combination with other therapeutic agents;</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and maintain regulatory approval of any of our product candidates, and any related restrictions, limitations and/or warnings in the label of any approved product candidate;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any approved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any approved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personnel;</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our future revenue, as well as our future operating expenses, capital requirements and needs for additional financing;</w:t>
      </w:r>
    </w:p>
    <w:p>
      <w:pPr>
        <w:spacing w:after="0" w:line="51" w:lineRule="exact"/>
        <w:rPr>
          <w:rFonts w:ascii="Times New Roman" w:cs="Times New Roman" w:eastAsia="Times New Roman" w:hAnsi="Times New Roman"/>
          <w:sz w:val="14"/>
          <w:szCs w:val="14"/>
          <w:color w:val="auto"/>
        </w:rPr>
      </w:pPr>
    </w:p>
    <w:p>
      <w:pPr>
        <w:ind w:left="2120" w:right="89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patent protection and other proprietary rights for our product candidates and technologies;</w:t>
      </w:r>
    </w:p>
    <w:p>
      <w:pPr>
        <w:spacing w:after="0" w:line="5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licenses granted to us and our ability to license additional intellectual property relating to our product candidates and technology;</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 shutdown, which could adversely affect the U.S. and global economies, and materially and adversely affect our business and/or our BLA submission;</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us, if any, if the contingent value rights held by former Altor BioScience, LLC stockholders become due and payable in accordance with their terms;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U.S. and foreign countries.</w:t>
      </w:r>
    </w:p>
    <w:p>
      <w:pPr>
        <w:spacing w:after="0" w:line="17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4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materially differ from the projections.</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jc w:val="right"/>
        <w:ind w:right="1939"/>
        <w:spacing w:after="0"/>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7" w:lineRule="exact"/>
        <w:rPr>
          <w:sz w:val="20"/>
          <w:szCs w:val="20"/>
          <w:color w:val="auto"/>
        </w:rPr>
      </w:pPr>
    </w:p>
    <w:p>
      <w:pPr>
        <w:ind w:left="1360" w:right="219" w:firstLine="343"/>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capital stock contained in </w:t>
      </w:r>
      <w:hyperlink r:id="rId69">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19, 2024, is incorporated herein by reference.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7"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1"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36"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trustee to be named in a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36"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62" w:lineRule="exact"/>
        <w:rPr>
          <w:sz w:val="20"/>
          <w:szCs w:val="20"/>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the debt securities and any limit on the aggregate principal amount of the debt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61"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7" w:lineRule="exact"/>
        <w:rPr>
          <w:rFonts w:ascii="Times New Roman" w:cs="Times New Roman" w:eastAsia="Times New Roman" w:hAnsi="Times New Roman"/>
          <w:sz w:val="14"/>
          <w:szCs w:val="14"/>
          <w:color w:val="auto"/>
        </w:rPr>
      </w:pPr>
    </w:p>
    <w:p>
      <w:pPr>
        <w:jc w:val="both"/>
        <w:ind w:left="2120" w:right="299" w:hanging="345"/>
        <w:spacing w:after="0" w:line="267"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61" w:lineRule="exact"/>
        <w:rPr>
          <w:rFonts w:ascii="Times New Roman" w:cs="Times New Roman" w:eastAsia="Times New Roman" w:hAnsi="Times New Roman"/>
          <w:sz w:val="14"/>
          <w:szCs w:val="14"/>
          <w:color w:val="auto"/>
        </w:rPr>
      </w:pPr>
    </w:p>
    <w:p>
      <w:pPr>
        <w:ind w:left="2120" w:right="77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51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the price or prices at which and the terms and conditions upon which securities of the series shall be redeemed or purchased, in whole or in part, pursuant to such obligation;</w:t>
      </w:r>
    </w:p>
    <w:p>
      <w:pPr>
        <w:spacing w:after="0" w:line="5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10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5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101" w:lineRule="exact"/>
        <w:rPr>
          <w:rFonts w:ascii="Times New Roman" w:cs="Times New Roman" w:eastAsia="Times New Roman" w:hAnsi="Times New Roman"/>
          <w:sz w:val="14"/>
          <w:szCs w:val="14"/>
          <w:color w:val="auto"/>
        </w:rPr>
      </w:pPr>
    </w:p>
    <w:p>
      <w:pPr>
        <w:ind w:left="2120" w:right="339" w:hanging="345"/>
        <w:spacing w:after="0" w:line="323" w:lineRule="auto"/>
        <w:tabs>
          <w:tab w:leader="none" w:pos="21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8"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1" w:lineRule="exact"/>
        <w:rPr>
          <w:rFonts w:ascii="Times New Roman" w:cs="Times New Roman" w:eastAsia="Times New Roman" w:hAnsi="Times New Roman"/>
          <w:sz w:val="14"/>
          <w:szCs w:val="14"/>
          <w:color w:val="auto"/>
        </w:rPr>
      </w:pPr>
    </w:p>
    <w:p>
      <w:pPr>
        <w:ind w:left="2120" w:right="419" w:hanging="345"/>
        <w:spacing w:after="0" w:line="267"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w:t>
      </w:r>
    </w:p>
    <w:p>
      <w:pPr>
        <w:spacing w:after="0" w:line="12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36"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respect to that issue of debt securities and such foreign currency or currencies or foreign currency unit or units in the applicable prospectus supplement.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Certificated Debt Securities</w:t>
      </w:r>
    </w:p>
    <w:p>
      <w:pPr>
        <w:spacing w:after="0" w:line="93"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36"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Global Debt Securities and Book-Entry System</w:t>
      </w:r>
    </w:p>
    <w:p>
      <w:pPr>
        <w:spacing w:after="0" w:line="93"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Each global debt security representing book-entry debt securities will be deposited with, or on behalf of, the depositary, and registered in the name of the depositary or a nominee of the depositary.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3"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which we refer to as a successor person, unless:</w:t>
      </w:r>
    </w:p>
    <w:p>
      <w:pPr>
        <w:spacing w:after="0" w:line="51" w:lineRule="exact"/>
        <w:rPr>
          <w:sz w:val="20"/>
          <w:szCs w:val="20"/>
          <w:color w:val="auto"/>
        </w:rPr>
      </w:pPr>
    </w:p>
    <w:p>
      <w:pPr>
        <w:ind w:left="2120" w:right="279" w:hanging="345"/>
        <w:spacing w:after="0" w:line="283" w:lineRule="auto"/>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102" w:lineRule="exact"/>
        <w:rPr>
          <w:sz w:val="20"/>
          <w:szCs w:val="20"/>
          <w:color w:val="auto"/>
        </w:rPr>
      </w:pPr>
    </w:p>
    <w:p>
      <w:pPr>
        <w:ind w:left="2120" w:right="359" w:hanging="345"/>
        <w:spacing w:after="0" w:line="267"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us;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w:t>
      </w:r>
    </w:p>
    <w:p>
      <w:pPr>
        <w:spacing w:after="0" w:line="175" w:lineRule="exact"/>
        <w:rPr>
          <w:sz w:val="20"/>
          <w:szCs w:val="20"/>
          <w:color w:val="auto"/>
        </w:rPr>
      </w:pPr>
    </w:p>
    <w:p>
      <w:pPr>
        <w:ind w:left="1360" w:right="299" w:firstLine="343"/>
        <w:spacing w:after="0" w:line="296" w:lineRule="auto"/>
        <w:rPr>
          <w:sz w:val="20"/>
          <w:szCs w:val="20"/>
          <w:color w:val="auto"/>
        </w:rPr>
      </w:pPr>
      <w:r>
        <w:rPr>
          <w:rFonts w:ascii="Times New Roman" w:cs="Times New Roman" w:eastAsia="Times New Roman" w:hAnsi="Times New Roman"/>
          <w:sz w:val="13"/>
          <w:szCs w:val="13"/>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20"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36"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50"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1" w:lineRule="exact"/>
        <w:rPr>
          <w:sz w:val="20"/>
          <w:szCs w:val="20"/>
          <w:color w:val="auto"/>
        </w:rPr>
      </w:pPr>
    </w:p>
    <w:p>
      <w:pPr>
        <w:ind w:left="2120" w:right="33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51" w:lineRule="exact"/>
        <w:rPr>
          <w:rFonts w:ascii="Times New Roman" w:cs="Times New Roman" w:eastAsia="Times New Roman" w:hAnsi="Times New Roman"/>
          <w:sz w:val="14"/>
          <w:szCs w:val="14"/>
          <w:color w:val="auto"/>
        </w:rPr>
      </w:pPr>
    </w:p>
    <w:p>
      <w:pPr>
        <w:ind w:left="2120" w:right="259" w:hanging="345"/>
        <w:spacing w:after="0" w:line="261"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41"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3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51" w:lineRule="exact"/>
        <w:rPr>
          <w:sz w:val="20"/>
          <w:szCs w:val="20"/>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101" w:lineRule="exact"/>
        <w:rPr>
          <w:rFonts w:ascii="Times New Roman" w:cs="Times New Roman" w:eastAsia="Times New Roman" w:hAnsi="Times New Roman"/>
          <w:sz w:val="14"/>
          <w:szCs w:val="14"/>
          <w:color w:val="auto"/>
        </w:rPr>
      </w:pPr>
    </w:p>
    <w:p>
      <w:pPr>
        <w:ind w:left="5580" w:right="259" w:hanging="3805"/>
        <w:spacing w:after="0" w:line="455" w:lineRule="auto"/>
        <w:tabs>
          <w:tab w:leader="none" w:pos="211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 16</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81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175"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2" w:lineRule="exact"/>
        <w:rPr>
          <w:sz w:val="20"/>
          <w:szCs w:val="20"/>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7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Legal Defeasance</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1"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Defeasance of Certain Covenants</w:t>
      </w:r>
    </w:p>
    <w:p>
      <w:pPr>
        <w:spacing w:after="0" w:line="93"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upon compliance with certain conditions:</w:t>
      </w:r>
    </w:p>
    <w:p>
      <w:pPr>
        <w:spacing w:after="0" w:line="51" w:lineRule="exact"/>
        <w:rPr>
          <w:sz w:val="20"/>
          <w:szCs w:val="20"/>
          <w:color w:val="auto"/>
        </w:rPr>
      </w:pPr>
    </w:p>
    <w:p>
      <w:pPr>
        <w:ind w:left="2120" w:right="399" w:hanging="345"/>
        <w:spacing w:after="0" w:line="267"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refer to this as covenant defeasance. The conditions include:</w:t>
      </w:r>
    </w:p>
    <w:p>
      <w:pPr>
        <w:spacing w:after="0" w:line="102" w:lineRule="exact"/>
        <w:rPr>
          <w:sz w:val="20"/>
          <w:szCs w:val="20"/>
          <w:color w:val="auto"/>
        </w:rPr>
      </w:pPr>
    </w:p>
    <w:p>
      <w:pPr>
        <w:ind w:left="2120" w:right="299" w:hanging="345"/>
        <w:spacing w:after="0" w:line="257"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69"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the indenture or any other agreement to which we are a party;</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applicable series of debt securities shall have occurred or is continuing on the date of such deposit; and</w:t>
      </w:r>
    </w:p>
    <w:p>
      <w:pPr>
        <w:spacing w:after="0" w:line="51" w:lineRule="exact"/>
        <w:rPr>
          <w:rFonts w:ascii="Times New Roman" w:cs="Times New Roman" w:eastAsia="Times New Roman" w:hAnsi="Times New Roman"/>
          <w:sz w:val="14"/>
          <w:szCs w:val="14"/>
          <w:color w:val="auto"/>
        </w:rPr>
      </w:pPr>
    </w:p>
    <w:p>
      <w:pPr>
        <w:ind w:left="2120" w:right="279" w:hanging="345"/>
        <w:spacing w:after="0" w:line="257"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Stockholders</w:t>
      </w:r>
    </w:p>
    <w:p>
      <w:pPr>
        <w:spacing w:after="0" w:line="9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stockholders, as such, will have any liability for any of our obligations under the debt securities or the indenture or for any claim based on, or in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3"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12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36"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43"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36" w:lineRule="exact"/>
        <w:rPr>
          <w:sz w:val="20"/>
          <w:szCs w:val="20"/>
          <w:color w:val="auto"/>
        </w:rPr>
      </w:pPr>
    </w:p>
    <w:p>
      <w:pPr>
        <w:jc w:val="both"/>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5" w:lineRule="exact"/>
        <w:rPr>
          <w:sz w:val="20"/>
          <w:szCs w:val="20"/>
          <w:color w:val="auto"/>
        </w:rPr>
      </w:pPr>
    </w:p>
    <w:p>
      <w:pPr>
        <w:ind w:left="1360" w:right="219" w:firstLine="343"/>
        <w:spacing w:after="0" w:line="323" w:lineRule="auto"/>
        <w:rPr>
          <w:sz w:val="20"/>
          <w:szCs w:val="20"/>
          <w:color w:val="auto"/>
        </w:rPr>
      </w:pPr>
      <w:r>
        <w:rPr>
          <w:rFonts w:ascii="Times New Roman" w:cs="Times New Roman" w:eastAsia="Times New Roman" w:hAnsi="Times New Roman"/>
          <w:sz w:val="13"/>
          <w:szCs w:val="13"/>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93"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36"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Liquidation Preference</w:t>
      </w:r>
    </w:p>
    <w:p>
      <w:pPr>
        <w:spacing w:after="0" w:line="93"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Withdrawal of Stock</w:t>
      </w:r>
    </w:p>
    <w:p>
      <w:pPr>
        <w:spacing w:after="0" w:line="9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43"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 the Preferred Stock</w:t>
      </w:r>
    </w:p>
    <w:p>
      <w:pPr>
        <w:spacing w:after="0" w:line="9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Charges of the Depositary</w:t>
      </w:r>
    </w:p>
    <w:p>
      <w:pPr>
        <w:spacing w:after="0" w:line="93"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 Agreement</w:t>
      </w:r>
    </w:p>
    <w:p>
      <w:pPr>
        <w:spacing w:after="0" w:line="93"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depositary shares have been redeemed; or</w:t>
      </w:r>
    </w:p>
    <w:p>
      <w:pPr>
        <w:spacing w:after="0" w:line="10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final distribution of the preferred stock in connection with our dissolution and such distribution has been made to all the holders of depositary shares.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93" w:lineRule="exact"/>
        <w:rPr>
          <w:sz w:val="20"/>
          <w:szCs w:val="20"/>
          <w:color w:val="auto"/>
        </w:rPr>
      </w:pPr>
    </w:p>
    <w:p>
      <w:pPr>
        <w:jc w:val="both"/>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 of Liability</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7"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We may issue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70" w:lineRule="exact"/>
        <w:rPr>
          <w:sz w:val="20"/>
          <w:szCs w:val="20"/>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offering price at which we will issue, the warrants;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are to be sold separately or with other securities as parts of units;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or other agents;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equity securities purchasable upon exercise of the warrants;</w:t>
      </w:r>
    </w:p>
    <w:p>
      <w:pPr>
        <w:spacing w:after="0" w:line="10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currency and terms of any debt securities that may be purchased upon exercise of the warrants;</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debt securities, preferred stock or common stock with which the warrants are issued and the number of warrants issued with each security;</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any warrants issued as part of a unit and the related debt securities, preferred stock or common stock will be separately transferable;</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preferred stock or the number of shares of common stock purchasable upon exercise of a warrant and the price at which those shares may be purchased;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and other provisions for changes to or adjustment in the exercise price, of the warrants, if any;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or exercise of the warrants.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77"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4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any subscription rights we offer, if any, will, to the extent applicable, include specific terms relating to the offering, including some or all of the following:</w:t>
      </w:r>
    </w:p>
    <w:p>
      <w:pPr>
        <w:spacing w:after="0" w:line="51" w:lineRule="exact"/>
        <w:rPr>
          <w:sz w:val="20"/>
          <w:szCs w:val="20"/>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our common stock, preferred stock, debt securities, depositary shares, warrants or units consisting of some or all of these securities upon the exercise of the subscription rights;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subscription rights to be issued to each stockholder;</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our common stock, preferred stock, debt securities, depositary shares, warrants or units consisting of some or all of these securities which may be purchased per each subscription right;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shall commence, and the date on which the subscription rights shall expire;</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or an over-allotment privilege to the extent the securities are fully subscribed; and</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which may be entered into by us in connection with the offering of subscription rights.</w:t>
      </w:r>
    </w:p>
    <w:p>
      <w:pPr>
        <w:spacing w:after="0" w:line="12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77"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44"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4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36"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If we offer any purchase contracts, certain terms of that series of purchase contracts will be described in the applicable prospectus supplement, including, without limitation, the following:</w:t>
      </w:r>
    </w:p>
    <w:p>
      <w:pPr>
        <w:spacing w:after="0" w:line="51" w:lineRule="exact"/>
        <w:rPr>
          <w:sz w:val="20"/>
          <w:szCs w:val="20"/>
          <w:color w:val="auto"/>
        </w:rPr>
      </w:pPr>
    </w:p>
    <w:p>
      <w:pPr>
        <w:ind w:left="2120" w:right="339" w:hanging="345"/>
        <w:spacing w:after="0" w:line="283" w:lineRule="auto"/>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the securities or other property subject to the purchase contracts (which may be determined by reference to a specific formula described in the purchase contracts);</w:t>
      </w:r>
    </w:p>
    <w:p>
      <w:pPr>
        <w:spacing w:after="0" w:line="5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requirement for us to make periodic payments to holders or vice versa, and whether the payments are unsecured or pre-funded;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purchase contracts;</w:t>
      </w:r>
    </w:p>
    <w:p>
      <w:pPr>
        <w:spacing w:after="0" w:line="101" w:lineRule="exact"/>
        <w:rPr>
          <w:rFonts w:ascii="Times New Roman" w:cs="Times New Roman" w:eastAsia="Times New Roman" w:hAnsi="Times New Roman"/>
          <w:sz w:val="14"/>
          <w:szCs w:val="14"/>
          <w:color w:val="auto"/>
        </w:rPr>
      </w:pPr>
    </w:p>
    <w:p>
      <w:pPr>
        <w:ind w:left="2120" w:right="479" w:hanging="345"/>
        <w:spacing w:after="0" w:line="323" w:lineRule="auto"/>
        <w:tabs>
          <w:tab w:leader="none" w:pos="21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8"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to be prepaid or not;</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to be settled by delivery, or by reference or linkage to the value, performance or level of the securities subject to purchase under the purchase contract;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acceleration, cancellation, termination or other provisions relating to the settlement of the purchase contracts;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U.S. federal income tax considerations applicable to the purchase contracts;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will be issued in fully registered or global form;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purchase contracts and any securities subject to such purchase contracts.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7"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4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43"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any particular issuance of units will describe the terms of those units, including, to the extent applicable, the following:</w:t>
      </w:r>
    </w:p>
    <w:p>
      <w:pPr>
        <w:spacing w:after="0" w:line="51" w:lineRule="exact"/>
        <w:rPr>
          <w:sz w:val="20"/>
          <w:szCs w:val="20"/>
          <w:color w:val="auto"/>
        </w:rPr>
      </w:pPr>
    </w:p>
    <w:p>
      <w:pPr>
        <w:ind w:left="2120" w:right="61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the securities comprising the units, including whether and under what circumstances those securities may be held or transferred separately;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for the issuance, payment, settlement, transfer or exchange of the units or of the securities comprising the units;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may sell securities:</w:t>
      </w:r>
    </w:p>
    <w:p>
      <w:pPr>
        <w:spacing w:after="0" w:line="102" w:lineRule="exact"/>
        <w:rPr>
          <w:sz w:val="20"/>
          <w:szCs w:val="20"/>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securityholders.</w:t>
      </w:r>
    </w:p>
    <w:p>
      <w:pPr>
        <w:spacing w:after="0" w:line="175"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102" w:lineRule="exact"/>
        <w:rPr>
          <w:sz w:val="20"/>
          <w:szCs w:val="20"/>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that may be changed from time to time;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75"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51" w:lineRule="exact"/>
        <w:rPr>
          <w:sz w:val="20"/>
          <w:szCs w:val="20"/>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the agent or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75"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36"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5" w:lineRule="exact"/>
        <w:rPr>
          <w:sz w:val="20"/>
          <w:szCs w:val="20"/>
          <w:color w:val="auto"/>
        </w:rPr>
      </w:pPr>
    </w:p>
    <w:p>
      <w:pPr>
        <w:ind w:left="1360" w:right="219" w:firstLine="343"/>
        <w:spacing w:after="0" w:line="283" w:lineRule="auto"/>
        <w:rPr>
          <w:sz w:val="20"/>
          <w:szCs w:val="20"/>
          <w:color w:val="auto"/>
        </w:rPr>
      </w:pPr>
      <w:r>
        <w:rPr>
          <w:rFonts w:ascii="Times New Roman" w:cs="Times New Roman" w:eastAsia="Times New Roman" w:hAnsi="Times New Roman"/>
          <w:sz w:val="14"/>
          <w:szCs w:val="14"/>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36" w:lineRule="exact"/>
        <w:rPr>
          <w:sz w:val="20"/>
          <w:szCs w:val="20"/>
          <w:color w:val="auto"/>
        </w:rPr>
      </w:pPr>
    </w:p>
    <w:p>
      <w:pPr>
        <w:ind w:left="1360" w:right="239" w:firstLine="343"/>
        <w:spacing w:after="0" w:line="277"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4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validity of the securities offered hereby will be passed upon for us by Wilson Sonsini Goodrich &amp; Rosati, Professional Corporation, San Diego, California. Additional legal matters may be passed on for us, or any underwriters, dealers or agents, by counsel that we will name in the applicable prospectus supplement.</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ImmunityBio, Inc. appearing in ImmunityBio,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over the Internet at the SEC’s website </w:t>
      </w:r>
      <w:r>
        <w:rPr>
          <w:rFonts w:ascii="Times New Roman" w:cs="Times New Roman" w:eastAsia="Times New Roman" w:hAnsi="Times New Roman"/>
          <w:sz w:val="14"/>
          <w:szCs w:val="14"/>
          <w:i w:val="1"/>
          <w:iCs w:val="1"/>
          <w:color w:val="auto"/>
        </w:rPr>
        <w:t>at www.sec.gov</w:t>
      </w:r>
      <w:r>
        <w:rPr>
          <w:rFonts w:ascii="Times New Roman" w:cs="Times New Roman" w:eastAsia="Times New Roman" w:hAnsi="Times New Roman"/>
          <w:sz w:val="14"/>
          <w:szCs w:val="14"/>
          <w:color w:val="auto"/>
        </w:rPr>
        <w:t xml:space="preserve">. Copies of certain information filed by us with the SEC are also available on our website at </w:t>
      </w:r>
      <w:r>
        <w:rPr>
          <w:rFonts w:ascii="Times New Roman" w:cs="Times New Roman" w:eastAsia="Times New Roman" w:hAnsi="Times New Roman"/>
          <w:sz w:val="14"/>
          <w:szCs w:val="14"/>
          <w:i w:val="1"/>
          <w:iCs w:val="1"/>
          <w:color w:val="auto"/>
        </w:rPr>
        <w:t>www.immunitybio.com</w:t>
      </w:r>
      <w:r>
        <w:rPr>
          <w:rFonts w:ascii="Times New Roman" w:cs="Times New Roman" w:eastAsia="Times New Roman" w:hAnsi="Times New Roman"/>
          <w:sz w:val="14"/>
          <w:szCs w:val="14"/>
          <w:color w:val="auto"/>
        </w:rPr>
        <w:t>. Information accessible on or through our website is not a part of this prospectus.</w:t>
      </w:r>
    </w:p>
    <w:p>
      <w:pPr>
        <w:spacing w:after="0" w:line="136"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This prospectus and any prospectus supplement we may file are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73" w:lineRule="exact"/>
        <w:rPr>
          <w:sz w:val="20"/>
          <w:szCs w:val="20"/>
          <w:color w:val="auto"/>
        </w:rPr>
      </w:pPr>
    </w:p>
    <w:p>
      <w:pPr>
        <w:ind w:left="2120" w:hanging="345"/>
        <w:spacing w:after="0"/>
        <w:tabs>
          <w:tab w:leader="none" w:pos="21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2023, filed with the SEC on </w:t>
      </w:r>
      <w:hyperlink r:id="rId69">
        <w:r>
          <w:rPr>
            <w:rFonts w:ascii="Times New Roman" w:cs="Times New Roman" w:eastAsia="Times New Roman" w:hAnsi="Times New Roman"/>
            <w:sz w:val="14"/>
            <w:szCs w:val="14"/>
            <w:u w:val="single" w:color="auto"/>
            <w:color w:val="0000EE"/>
          </w:rPr>
          <w:t>March 19, 2024</w:t>
        </w:r>
      </w:hyperlink>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2120" w:right="1039" w:hanging="345"/>
        <w:spacing w:after="0" w:line="283" w:lineRule="auto"/>
        <w:tabs>
          <w:tab w:leader="none" w:pos="21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incorporated by reference into our Annual Report on Form 10-K for the year ended December 31, 2022 from our Definitive Proxy Statement on Schedule 14A, filed with the SEC on </w:t>
      </w:r>
      <w:hyperlink r:id="rId88">
        <w:r>
          <w:rPr>
            <w:rFonts w:ascii="Times New Roman" w:cs="Times New Roman" w:eastAsia="Times New Roman" w:hAnsi="Times New Roman"/>
            <w:sz w:val="14"/>
            <w:szCs w:val="14"/>
            <w:u w:val="single" w:color="auto"/>
            <w:color w:val="0000EE"/>
          </w:rPr>
          <w:t>April 28, 2023</w:t>
        </w:r>
      </w:hyperlink>
      <w:r>
        <w:rPr>
          <w:rFonts w:ascii="Times New Roman" w:cs="Times New Roman" w:eastAsia="Times New Roman" w:hAnsi="Times New Roman"/>
          <w:sz w:val="14"/>
          <w:szCs w:val="14"/>
          <w:color w:val="auto"/>
        </w:rPr>
        <w:t>;</w:t>
      </w:r>
    </w:p>
    <w:p>
      <w:pPr>
        <w:spacing w:after="0" w:line="72"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90">
        <w:r>
          <w:rPr>
            <w:rFonts w:ascii="Times New Roman" w:cs="Times New Roman" w:eastAsia="Times New Roman" w:hAnsi="Times New Roman"/>
            <w:sz w:val="14"/>
            <w:szCs w:val="14"/>
            <w:u w:val="single" w:color="auto"/>
            <w:color w:val="0000EE"/>
          </w:rPr>
          <w:t>January 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1">
        <w:r>
          <w:rPr>
            <w:rFonts w:ascii="Times New Roman" w:cs="Times New Roman" w:eastAsia="Times New Roman" w:hAnsi="Times New Roman"/>
            <w:sz w:val="14"/>
            <w:szCs w:val="14"/>
            <w:u w:val="single" w:color="auto"/>
            <w:color w:val="0000EE"/>
          </w:rPr>
          <w:t>February 26, 2024</w:t>
        </w:r>
      </w:hyperlink>
      <w:r>
        <w:rPr>
          <w:rFonts w:ascii="Times New Roman" w:cs="Times New Roman" w:eastAsia="Times New Roman" w:hAnsi="Times New Roman"/>
          <w:sz w:val="14"/>
          <w:szCs w:val="14"/>
          <w:color w:val="auto"/>
        </w:rPr>
        <w:t>; and</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69">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19, 2024, including any amendment or report filed for the purpose of updating such description.</w:t>
      </w:r>
    </w:p>
    <w:p>
      <w:pPr>
        <w:spacing w:after="0" w:line="125" w:lineRule="exact"/>
        <w:rPr>
          <w:rFonts w:ascii="Times New Roman" w:cs="Times New Roman" w:eastAsia="Times New Roman" w:hAnsi="Times New Roman"/>
          <w:sz w:val="14"/>
          <w:szCs w:val="14"/>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25" w:lineRule="exact"/>
        <w:rPr>
          <w:rFonts w:ascii="Times New Roman" w:cs="Times New Roman" w:eastAsia="Times New Roman" w:hAnsi="Times New Roman"/>
          <w:sz w:val="14"/>
          <w:szCs w:val="14"/>
          <w:color w:val="auto"/>
        </w:rPr>
      </w:pPr>
    </w:p>
    <w:p>
      <w:pPr>
        <w:ind w:left="170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and telephone number:</w:t>
      </w:r>
    </w:p>
    <w:p>
      <w:pPr>
        <w:spacing w:after="0" w:line="17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ImmunityBio, Inc.</w:t>
      </w:r>
    </w:p>
    <w:p>
      <w:pPr>
        <w:spacing w:after="0" w:line="2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3530 John Hopkins Court</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San Diego, CA 92121</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(844) 696-5235</w:t>
      </w:r>
    </w:p>
    <w:p>
      <w:pPr>
        <w:spacing w:after="0" w:line="108"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188595</wp:posOffset>
            </wp:positionV>
            <wp:extent cx="54470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228600</wp:posOffset>
            </wp:positionV>
            <wp:extent cx="54470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Up to $459,972,480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272415</wp:posOffset>
            </wp:positionV>
            <wp:extent cx="3344545" cy="934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334454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1036320</wp:posOffset>
            </wp:positionV>
            <wp:extent cx="114173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185420</wp:posOffset>
            </wp:positionV>
            <wp:extent cx="11417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325755</wp:posOffset>
            </wp:positionV>
            <wp:extent cx="11417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December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335915</wp:posOffset>
            </wp:positionV>
            <wp:extent cx="544703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389255</wp:posOffset>
            </wp:positionV>
            <wp:extent cx="54470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bookmarkStart w:id="60" w:name="page61"/>
    <w:bookmarkEnd w:id="60"/>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ImmunityBio,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6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$ 63,522.20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459,972,480.00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$ 63,522.20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459,972,480.00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$ 63,522.20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jc w:val="both"/>
        <w:ind w:left="220" w:right="440" w:hanging="184"/>
        <w:spacing w:after="0" w:line="227" w:lineRule="auto"/>
        <w:tabs>
          <w:tab w:leader="none" w:pos="220" w:val="left"/>
        </w:tabs>
        <w:numPr>
          <w:ilvl w:val="0"/>
          <w:numId w:val="42"/>
        </w:numPr>
        <w:rPr>
          <w:rFonts w:ascii="Arial" w:cs="Arial" w:eastAsia="Arial" w:hAnsi="Arial"/>
          <w:sz w:val="21"/>
          <w:szCs w:val="21"/>
          <w:color w:val="auto"/>
          <w:vertAlign w:val="superscript"/>
        </w:rPr>
      </w:pPr>
      <w:r>
        <w:rPr>
          <w:rFonts w:ascii="Arial" w:cs="Arial" w:eastAsia="Arial" w:hAnsi="Arial"/>
          <w:sz w:val="17"/>
          <w:szCs w:val="17"/>
          <w:color w:val="auto"/>
        </w:rPr>
        <w:t>Payment of the registration fee at the time of filing of the registrant's Registration Statement on Form S-3ASR (File No. 333-278770) on April 17, 2024 (the "Registration Statement") was deferred pursuant to Rules 456(b) and 457(r) under the Securities Act of 1933, as amended and is paid herewith. This "Calculation of Filing Fee" table shall be deemed to update the table in Item 14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4819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2"/>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vMerge w:val="restart"/>
            <w:shd w:val="clear" w:color="auto" w:fill="E7E7E2"/>
          </w:tcPr>
          <w:p>
            <w:pPr>
              <w:jc w:val="center"/>
              <w:ind w:right="5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60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6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98"/>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59"/>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79"/>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lowerRoman"/>
      <w:start w:val="1"/>
    </w:lvl>
  </w:abstractNum>
  <w:abstractNum w:abstractNumId="15">
    <w:nsid w:val="2901D82"/>
    <w:multiLevelType w:val="hybridMultilevel"/>
    <w:lvl w:ilvl="0">
      <w:lvlJc w:val="left"/>
      <w:lvlText w:val="(%1)"/>
      <w:numFmt w:val="lowerRoman"/>
      <w:start w:val="4"/>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jpe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9"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jpe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38" Type="http://schemas.openxmlformats.org/officeDocument/2006/relationships/hyperlink" Target="http://www.sec.gov/ix?doc=/Archives/edgar/data/0001326110/000132611025000033/ibrx-20241231.htm" TargetMode="External"/><Relationship Id="rId40" Type="http://schemas.openxmlformats.org/officeDocument/2006/relationships/hyperlink" Target="http://www.sec.gov/ix?doc=/Archives/edgar/data/0001326110/000132611025000071/ibrx-20250331.htm" TargetMode="External"/><Relationship Id="rId41" Type="http://schemas.openxmlformats.org/officeDocument/2006/relationships/hyperlink" Target="http://www.sec.gov/ix?doc=/Archives/edgar/data/0001326110/000132611025000114/ibrx-20250630.htm" TargetMode="External"/><Relationship Id="rId42" Type="http://schemas.openxmlformats.org/officeDocument/2006/relationships/hyperlink" Target="http://www.sec.gov/ix?doc=/Archives/edgar/data/0001326110/000132611025000139/ibrx-20250930.htm" TargetMode="External"/><Relationship Id="rId43" Type="http://schemas.openxmlformats.org/officeDocument/2006/relationships/hyperlink" Target="http://www.sec.gov/ix?doc=/Archives/edgar/data/0001326110/000132611025000054/ibrx-20250429.htm" TargetMode="External"/><Relationship Id="rId44" Type="http://schemas.openxmlformats.org/officeDocument/2006/relationships/hyperlink" Target="http://www.sec.gov/ix?doc=/Archives/edgar/data/0001326110/000132611025000084/ibrx-20250618.htm" TargetMode="External"/><Relationship Id="rId45" Type="http://schemas.openxmlformats.org/officeDocument/2006/relationships/hyperlink" Target="http://www.sec.gov/ix?doc=/Archives/edgar/data/0001326110/000119312525164789/d20571d8k.htm" TargetMode="External"/><Relationship Id="rId46" Type="http://schemas.openxmlformats.org/officeDocument/2006/relationships/hyperlink" Target="http://www.sec.gov/ix?doc=/Archives/edgar/data/0001326110/000119312525177024/d29656d8k.htm" TargetMode="External"/><Relationship Id="rId47" Type="http://schemas.openxmlformats.org/officeDocument/2006/relationships/hyperlink" Target="http://www.sec.gov/ix?doc=/Archives/edgar/data/1326110/000132611025000143/ibrx-20251212.htm" TargetMode="External"/><Relationship Id="rId48" Type="http://schemas.openxmlformats.org/officeDocument/2006/relationships/hyperlink" Target="http://www.sec.gov/ix?doc=/Archives/edgar/data/1326110/000132611025000146/ibrx-20251210.htm" TargetMode="External"/><Relationship Id="rId69" Type="http://schemas.openxmlformats.org/officeDocument/2006/relationships/hyperlink" Target="http://www.sec.gov/ix?doc=/Archives/edgar/data/1326110/000132611024000037/ibrx-20231231.htm" TargetMode="External"/><Relationship Id="rId88" Type="http://schemas.openxmlformats.org/officeDocument/2006/relationships/hyperlink" Target="http://www.sec.gov/ix?doc=/Archives/edgar/data/1326110/000132611023000050/ibrx-20230427.htm" TargetMode="External"/><Relationship Id="rId90" Type="http://schemas.openxmlformats.org/officeDocument/2006/relationships/hyperlink" Target="http://www.sec.gov/ix?doc=/Archives/edgar/data/1326110/000132611024000003/ibrx-20231229.htm" TargetMode="External"/><Relationship Id="rId91" Type="http://schemas.openxmlformats.org/officeDocument/2006/relationships/hyperlink" Target="http://www.sec.gov/ix?doc=/Archives/edgar/data/1326110/000119312524044886/d78599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2025-12-29T06:08:23Z</dcterms:created>
  <dcterms:modified xsi:type="dcterms:W3CDTF">2025-12-29T06:08:23Z</dcterms:modified>
</cp:coreProperties>
</file>