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1438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143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2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2"/>
                </w:rPr>
                <w:t>Clark Wesley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spacing w:after="0" w:line="83" w:lineRule="exact"/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9"/>
                  <w:szCs w:val="9"/>
                  <w:color w:val="0000EE"/>
                </w:rPr>
                <w:t xml:space="preserve">ImmunityBio, Inc. </w:t>
              </w:r>
            </w:hyperlink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IBRX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C/O IMMUNITYBIO, INC.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06/09/2026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3530 JOHN HOPKINS COURT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SAN DIEGO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92121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 Option (right to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7.25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06/09/2026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65,600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06/09/2036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65,600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65,600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buy)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 w:right="18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Subject to the reporting person's continuing to be a Service Provider (as defined in the Issuer's 2025 Equity Incentive Plan) through such applicable vesting date, one hundred percent (100%) of the shares subject to the award will vest on the earlier to occur of June 9, 2027 or the date immediately preceding the next annual meeting of stockholders.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Exhibit 24 - Power of Attorney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/a/ David C. Sachs, as Attorney-in-Fact  06/10/2026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-2540</wp:posOffset>
            </wp:positionV>
            <wp:extent cx="1791335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133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620"/>
        <w:spacing w:after="0"/>
        <w:tabs>
          <w:tab w:leader="none" w:pos="8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349193" TargetMode="External"/><Relationship Id="rId14" Type="http://schemas.openxmlformats.org/officeDocument/2006/relationships/hyperlink" Target="http://www.sec.gov/cgi-bin/browse-edgar?action=getcompany&amp;CIK=00013261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2026-06-10T19:12:46Z</dcterms:created>
  <dcterms:modified xsi:type="dcterms:W3CDTF">2026-06-10T19:12:46Z</dcterms:modified>
</cp:coreProperties>
</file>